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2"/>
        </w:tabs>
        <w:ind w:right="210" w:rightChars="100"/>
        <w:jc w:val="distribute"/>
        <w:rPr>
          <w:rFonts w:ascii="宋体" w:hAnsi="宋体" w:eastAsia="方正小标宋_GBK"/>
          <w:b/>
          <w:w w:val="53"/>
          <w:sz w:val="28"/>
        </w:rPr>
      </w:pPr>
      <w:r>
        <w:rPr>
          <w:rFonts w:hint="eastAsia" w:ascii="宋体" w:hAnsi="宋体" w:eastAsia="方正小标宋_GBK"/>
          <w:b/>
          <w:bCs/>
          <w:color w:val="FF0000"/>
          <w:w w:val="42"/>
          <w:kern w:val="0"/>
          <w:sz w:val="88"/>
          <w:szCs w:val="100"/>
        </w:rPr>
        <w:t>“智慧黔江”规划与建设领导小组办公室电子公文</w:t>
      </w:r>
    </w:p>
    <w:p>
      <w:pPr>
        <w:ind w:right="640" w:firstLine="210" w:firstLineChars="100"/>
        <w:rPr>
          <w:rFonts w:hint="eastAsia" w:ascii="宋体" w:hAnsi="宋体"/>
          <w:color w:val="000000"/>
          <w:szCs w:val="32"/>
        </w:rPr>
      </w:pPr>
      <w:r>
        <w:rPr>
          <w:rFonts w:hint="eastAsia" w:ascii="宋体" w:hAnsi="宋体"/>
          <w:color w:val="000000"/>
          <w:szCs w:val="32"/>
        </w:rPr>
        <w:t xml:space="preserve">  </w:t>
      </w:r>
    </w:p>
    <w:p>
      <w:pPr>
        <w:spacing w:line="580" w:lineRule="exact"/>
        <w:rPr>
          <w:rFonts w:hint="eastAsia" w:ascii="宋体" w:hAnsi="宋体" w:eastAsia="方正仿宋_GBK" w:cs="方正仿宋_GBK"/>
          <w:color w:val="000000"/>
          <w:sz w:val="32"/>
          <w:szCs w:val="32"/>
        </w:rPr>
      </w:pPr>
      <w:r>
        <w:rPr>
          <w:rFonts w:hint="eastAsia" w:ascii="宋体" w:hAnsi="宋体"/>
          <w:sz w:val="32"/>
          <w:szCs w:val="32"/>
        </w:rPr>
        <w:t xml:space="preserve">  </w:t>
      </w:r>
      <w:r>
        <w:rPr>
          <w:rFonts w:hint="eastAsia" w:ascii="宋体" w:hAnsi="宋体" w:eastAsia="方正仿宋_GBK"/>
          <w:sz w:val="32"/>
          <w:szCs w:val="32"/>
        </w:rPr>
        <w:t xml:space="preserve"> 智慧</w:t>
      </w:r>
      <w:r>
        <w:rPr>
          <w:rFonts w:ascii="宋体" w:hAnsi="宋体" w:eastAsia="方正仿宋_GBK"/>
          <w:sz w:val="32"/>
          <w:szCs w:val="32"/>
        </w:rPr>
        <w:t>黔江</w:t>
      </w:r>
      <w:r>
        <w:rPr>
          <w:rFonts w:hint="eastAsia" w:ascii="宋体" w:hAnsi="宋体" w:eastAsia="方正仿宋_GBK"/>
          <w:sz w:val="32"/>
          <w:szCs w:val="32"/>
        </w:rPr>
        <w:t>组</w:t>
      </w:r>
      <w:r>
        <w:rPr>
          <w:rFonts w:ascii="宋体" w:hAnsi="宋体" w:eastAsia="方正仿宋_GBK"/>
          <w:sz w:val="32"/>
          <w:szCs w:val="32"/>
        </w:rPr>
        <w:t>办</w:t>
      </w:r>
      <w:r>
        <w:rPr>
          <w:rFonts w:hint="eastAsia" w:ascii="宋体" w:hAnsi="宋体" w:eastAsia="方正仿宋_GBK"/>
          <w:sz w:val="32"/>
          <w:szCs w:val="32"/>
        </w:rPr>
        <w:t>发</w:t>
      </w:r>
      <w:r>
        <w:rPr>
          <w:rFonts w:ascii="宋体" w:hAnsi="宋体" w:eastAsia="方正仿宋_GBK"/>
          <w:sz w:val="32"/>
          <w:szCs w:val="32"/>
        </w:rPr>
        <w:t>〔</w:t>
      </w:r>
      <w:r>
        <w:rPr>
          <w:rFonts w:ascii="Times New Roman" w:hAnsi="Times New Roman" w:eastAsia="方正仿宋_GBK"/>
          <w:sz w:val="32"/>
          <w:szCs w:val="32"/>
        </w:rPr>
        <w:t>20</w:t>
      </w:r>
      <w:r>
        <w:rPr>
          <w:rFonts w:hint="eastAsia" w:ascii="Times New Roman" w:hAnsi="Times New Roman" w:eastAsia="方正仿宋_GBK"/>
          <w:sz w:val="32"/>
          <w:szCs w:val="32"/>
        </w:rPr>
        <w:t>21</w:t>
      </w:r>
      <w:r>
        <w:rPr>
          <w:rFonts w:ascii="宋体" w:hAnsi="宋体" w:eastAsia="方正仿宋_GBK"/>
          <w:sz w:val="32"/>
          <w:szCs w:val="32"/>
        </w:rPr>
        <w:t>〕</w:t>
      </w:r>
      <w:r>
        <w:rPr>
          <w:rFonts w:hint="eastAsia" w:ascii="Times New Roman" w:hAnsi="Times New Roman" w:eastAsia="方正仿宋_GBK"/>
          <w:sz w:val="32"/>
          <w:szCs w:val="32"/>
        </w:rPr>
        <w:t>1</w:t>
      </w:r>
      <w:r>
        <w:rPr>
          <w:rFonts w:ascii="宋体" w:hAnsi="宋体" w:eastAsia="方正仿宋_GBK"/>
          <w:sz w:val="32"/>
          <w:szCs w:val="32"/>
        </w:rPr>
        <w:t>号</w:t>
      </w:r>
      <w:r>
        <w:rPr>
          <w:rFonts w:hint="eastAsia" w:ascii="宋体" w:hAnsi="宋体" w:cs="方正仿宋_GBK"/>
        </w:rPr>
        <w:t xml:space="preserve"> </w:t>
      </w:r>
      <w:r>
        <w:rPr>
          <w:rFonts w:hint="eastAsia" w:ascii="宋体" w:hAnsi="宋体" w:eastAsia="方正仿宋_GBK"/>
          <w:sz w:val="32"/>
          <w:szCs w:val="32"/>
        </w:rPr>
        <w:t xml:space="preserve">    </w:t>
      </w:r>
      <w:r>
        <w:rPr>
          <w:rFonts w:hint="eastAsia" w:ascii="宋体" w:hAnsi="宋体"/>
          <w:sz w:val="32"/>
          <w:szCs w:val="32"/>
        </w:rPr>
        <w:t xml:space="preserve"> </w:t>
      </w:r>
      <w:r>
        <w:rPr>
          <w:rFonts w:hint="eastAsia" w:ascii="宋体" w:hAnsi="宋体" w:eastAsia="方正仿宋_GBK"/>
          <w:sz w:val="32"/>
          <w:szCs w:val="32"/>
        </w:rPr>
        <w:t xml:space="preserve"> </w:t>
      </w:r>
      <w:r>
        <w:rPr>
          <w:rFonts w:hint="eastAsia" w:ascii="宋体" w:hAnsi="宋体" w:eastAsia="方正仿宋_GBK" w:cs="方正仿宋_GBK"/>
          <w:color w:val="000000"/>
          <w:sz w:val="32"/>
          <w:szCs w:val="32"/>
        </w:rPr>
        <w:t>电子公文专用章</w:t>
      </w:r>
    </w:p>
    <w:p>
      <w:pPr>
        <w:spacing w:line="560" w:lineRule="exact"/>
        <w:jc w:val="center"/>
        <w:rPr>
          <w:rFonts w:hint="eastAsia" w:ascii="宋体" w:hAnsi="宋体" w:eastAsia="方正仿宋_GBK" w:cs="方正仿宋_GBK"/>
          <w:color w:val="000000"/>
          <w:sz w:val="32"/>
          <w:szCs w:val="32"/>
        </w:rPr>
      </w:pPr>
      <w:r>
        <w:rPr>
          <w:rFonts w:hint="eastAsia" w:ascii="宋体" w:hAnsi="宋体" w:eastAsia="方正仿宋_GBK" w:cs="方正仿宋_GBK"/>
          <w:color w:val="000000"/>
          <w:sz w:val="32"/>
          <w:szCs w:val="32"/>
        </w:rPr>
        <w:tab/>
      </w:r>
      <w:r>
        <w:rPr>
          <w:rFonts w:hint="eastAsia" w:ascii="宋体" w:hAnsi="宋体" w:eastAsia="方正仿宋_GBK" w:cs="方正仿宋_GBK"/>
          <w:color w:val="000000"/>
          <w:sz w:val="32"/>
          <w:szCs w:val="32"/>
        </w:rPr>
        <w:tab/>
      </w:r>
      <w:r>
        <w:rPr>
          <w:rFonts w:hint="eastAsia" w:ascii="宋体" w:hAnsi="宋体" w:eastAsia="方正仿宋_GBK" w:cs="方正仿宋_GBK"/>
          <w:color w:val="000000"/>
          <w:sz w:val="32"/>
          <w:szCs w:val="32"/>
        </w:rPr>
        <w:tab/>
      </w:r>
      <w:r>
        <w:rPr>
          <w:rFonts w:hint="eastAsia" w:ascii="宋体" w:hAnsi="宋体" w:eastAsia="方正仿宋_GBK" w:cs="方正仿宋_GBK"/>
          <w:color w:val="000000"/>
          <w:sz w:val="32"/>
          <w:szCs w:val="32"/>
        </w:rPr>
        <w:t xml:space="preserve">     </w:t>
      </w:r>
      <w:r>
        <w:rPr>
          <w:rFonts w:hint="eastAsia" w:ascii="宋体" w:hAnsi="宋体" w:cs="方正仿宋_GBK"/>
          <w:color w:val="000000"/>
          <w:sz w:val="32"/>
          <w:szCs w:val="32"/>
        </w:rPr>
        <w:t xml:space="preserve">         </w:t>
      </w:r>
      <w:r>
        <w:rPr>
          <w:rFonts w:hint="eastAsia" w:ascii="宋体" w:hAnsi="宋体" w:eastAsia="方正仿宋_GBK" w:cs="方正仿宋_GBK"/>
          <w:color w:val="000000"/>
          <w:sz w:val="32"/>
          <w:szCs w:val="32"/>
        </w:rPr>
        <w:t xml:space="preserve"> 核收：</w:t>
      </w:r>
    </w:p>
    <w:p>
      <w:pPr>
        <w:spacing w:line="560" w:lineRule="exact"/>
        <w:jc w:val="center"/>
        <w:rPr>
          <w:rFonts w:ascii="宋体" w:hAnsi="宋体" w:eastAsia="方正小标宋_GBK"/>
          <w:sz w:val="44"/>
          <w:szCs w:val="44"/>
        </w:rPr>
      </w:pPr>
    </w:p>
    <w:p>
      <w:pPr>
        <w:spacing w:line="560" w:lineRule="exact"/>
        <w:jc w:val="center"/>
        <w:rPr>
          <w:rFonts w:ascii="宋体" w:hAnsi="宋体" w:eastAsia="方正小标宋_GBK"/>
          <w:sz w:val="44"/>
          <w:szCs w:val="44"/>
        </w:rPr>
      </w:pPr>
    </w:p>
    <w:p>
      <w:pPr>
        <w:spacing w:line="579" w:lineRule="exact"/>
        <w:jc w:val="center"/>
        <w:rPr>
          <w:rFonts w:ascii="宋体" w:hAnsi="宋体" w:eastAsia="方正小标宋_GBK"/>
          <w:sz w:val="44"/>
          <w:szCs w:val="44"/>
        </w:rPr>
      </w:pPr>
      <w:r>
        <w:rPr>
          <w:rFonts w:hint="eastAsia" w:ascii="宋体" w:hAnsi="宋体" w:eastAsia="方正小标宋_GBK"/>
          <w:sz w:val="44"/>
          <w:szCs w:val="44"/>
        </w:rPr>
        <w:t>“智慧黔江”规划与建设领导小组</w:t>
      </w:r>
      <w:r>
        <w:rPr>
          <w:rFonts w:ascii="宋体" w:hAnsi="宋体" w:eastAsia="方正小标宋_GBK"/>
          <w:sz w:val="44"/>
          <w:szCs w:val="44"/>
        </w:rPr>
        <w:t>办公室</w:t>
      </w:r>
    </w:p>
    <w:p>
      <w:pPr>
        <w:spacing w:line="579" w:lineRule="exact"/>
        <w:jc w:val="center"/>
        <w:rPr>
          <w:rFonts w:ascii="宋体" w:hAnsi="宋体" w:eastAsia="方正小标宋_GBK"/>
          <w:spacing w:val="-23"/>
          <w:w w:val="96"/>
          <w:sz w:val="44"/>
          <w:szCs w:val="44"/>
        </w:rPr>
      </w:pPr>
      <w:r>
        <w:rPr>
          <w:rFonts w:ascii="宋体" w:hAnsi="宋体" w:eastAsia="方正小标宋_GBK"/>
          <w:spacing w:val="-23"/>
          <w:w w:val="96"/>
          <w:sz w:val="44"/>
          <w:szCs w:val="44"/>
        </w:rPr>
        <w:t>关于印发</w:t>
      </w:r>
      <w:r>
        <w:rPr>
          <w:rFonts w:hint="eastAsia" w:ascii="宋体" w:hAnsi="宋体" w:eastAsia="方正小标宋_GBK"/>
          <w:spacing w:val="-23"/>
          <w:w w:val="96"/>
          <w:sz w:val="44"/>
          <w:szCs w:val="44"/>
        </w:rPr>
        <w:t>“智慧黔江”发展规划（</w:t>
      </w:r>
      <w:r>
        <w:rPr>
          <w:rFonts w:hint="eastAsia" w:ascii="Times New Roman" w:hAnsi="Times New Roman" w:eastAsia="方正小标宋_GBK"/>
          <w:spacing w:val="-23"/>
          <w:w w:val="96"/>
          <w:sz w:val="44"/>
          <w:szCs w:val="44"/>
        </w:rPr>
        <w:t>2021</w:t>
      </w:r>
      <w:r>
        <w:rPr>
          <w:rFonts w:hint="eastAsia" w:ascii="宋体" w:hAnsi="宋体" w:eastAsia="方正小标宋_GBK"/>
          <w:spacing w:val="-23"/>
          <w:w w:val="96"/>
          <w:sz w:val="44"/>
          <w:szCs w:val="44"/>
        </w:rPr>
        <w:t>-</w:t>
      </w:r>
      <w:r>
        <w:rPr>
          <w:rFonts w:hint="eastAsia" w:ascii="Times New Roman" w:hAnsi="Times New Roman" w:eastAsia="方正小标宋_GBK"/>
          <w:spacing w:val="-23"/>
          <w:w w:val="96"/>
          <w:sz w:val="44"/>
          <w:szCs w:val="44"/>
        </w:rPr>
        <w:t>2025</w:t>
      </w:r>
      <w:r>
        <w:rPr>
          <w:rFonts w:hint="eastAsia" w:ascii="宋体" w:hAnsi="宋体" w:eastAsia="方正小标宋_GBK"/>
          <w:spacing w:val="-23"/>
          <w:w w:val="96"/>
          <w:sz w:val="44"/>
          <w:szCs w:val="44"/>
        </w:rPr>
        <w:t>年）</w:t>
      </w:r>
      <w:r>
        <w:rPr>
          <w:rFonts w:ascii="宋体" w:hAnsi="宋体" w:eastAsia="方正小标宋_GBK"/>
          <w:spacing w:val="-23"/>
          <w:w w:val="96"/>
          <w:sz w:val="44"/>
          <w:szCs w:val="44"/>
        </w:rPr>
        <w:t>的</w:t>
      </w:r>
    </w:p>
    <w:p>
      <w:pPr>
        <w:spacing w:line="579" w:lineRule="exact"/>
        <w:jc w:val="center"/>
        <w:rPr>
          <w:rFonts w:ascii="宋体" w:hAnsi="宋体" w:eastAsia="方正小标宋_GBK"/>
          <w:spacing w:val="-20"/>
          <w:sz w:val="44"/>
          <w:szCs w:val="44"/>
        </w:rPr>
      </w:pPr>
      <w:r>
        <w:rPr>
          <w:rFonts w:ascii="宋体" w:hAnsi="宋体" w:eastAsia="方正小标宋_GBK"/>
          <w:spacing w:val="-20"/>
          <w:sz w:val="44"/>
          <w:szCs w:val="44"/>
        </w:rPr>
        <w:t>通  知</w:t>
      </w:r>
    </w:p>
    <w:p>
      <w:pPr>
        <w:spacing w:line="579" w:lineRule="exact"/>
        <w:rPr>
          <w:rFonts w:ascii="宋体" w:hAnsi="宋体" w:eastAsia="方正仿宋_GBK"/>
          <w:sz w:val="32"/>
          <w:szCs w:val="32"/>
        </w:rPr>
      </w:pPr>
    </w:p>
    <w:p>
      <w:pPr>
        <w:spacing w:line="579" w:lineRule="exact"/>
        <w:rPr>
          <w:rFonts w:ascii="宋体" w:hAnsi="宋体" w:eastAsia="方正仿宋_GBK"/>
          <w:sz w:val="32"/>
          <w:szCs w:val="32"/>
        </w:rPr>
      </w:pPr>
      <w:r>
        <w:rPr>
          <w:rFonts w:ascii="宋体" w:hAnsi="宋体" w:eastAsia="方正仿宋_GBK"/>
          <w:sz w:val="32"/>
          <w:szCs w:val="32"/>
        </w:rPr>
        <w:t>各乡、镇人民政府，各街道办事处，区政府各部门，有关单位：</w:t>
      </w:r>
    </w:p>
    <w:p>
      <w:pPr>
        <w:spacing w:line="579" w:lineRule="exact"/>
        <w:ind w:firstLine="640"/>
        <w:rPr>
          <w:rFonts w:ascii="宋体" w:hAnsi="宋体" w:eastAsia="方正仿宋_GBK"/>
          <w:sz w:val="32"/>
          <w:szCs w:val="32"/>
        </w:rPr>
      </w:pPr>
      <w:r>
        <w:rPr>
          <w:rFonts w:ascii="宋体" w:hAnsi="宋体" w:eastAsia="方正仿宋_GBK"/>
          <w:sz w:val="32"/>
          <w:szCs w:val="32"/>
        </w:rPr>
        <w:t>《</w:t>
      </w:r>
      <w:r>
        <w:rPr>
          <w:rFonts w:hint="eastAsia" w:ascii="宋体" w:hAnsi="宋体" w:eastAsia="方正仿宋_GBK"/>
          <w:sz w:val="32"/>
          <w:szCs w:val="32"/>
        </w:rPr>
        <w:t>“智慧黔江”发展规划（</w:t>
      </w:r>
      <w:r>
        <w:rPr>
          <w:rFonts w:hint="eastAsia" w:ascii="Times New Roman" w:hAnsi="Times New Roman" w:eastAsia="方正仿宋_GBK"/>
          <w:sz w:val="32"/>
          <w:szCs w:val="32"/>
        </w:rPr>
        <w:t>2021</w:t>
      </w:r>
      <w:r>
        <w:rPr>
          <w:rFonts w:hint="eastAsia" w:ascii="宋体" w:hAnsi="宋体" w:eastAsia="方正仿宋_GBK"/>
          <w:sz w:val="32"/>
          <w:szCs w:val="32"/>
        </w:rPr>
        <w:t>-</w:t>
      </w:r>
      <w:r>
        <w:rPr>
          <w:rFonts w:hint="eastAsia" w:ascii="Times New Roman" w:hAnsi="Times New Roman" w:eastAsia="方正仿宋_GBK"/>
          <w:sz w:val="32"/>
          <w:szCs w:val="32"/>
        </w:rPr>
        <w:t>2025</w:t>
      </w:r>
      <w:r>
        <w:rPr>
          <w:rFonts w:hint="eastAsia" w:ascii="宋体" w:hAnsi="宋体" w:eastAsia="方正仿宋_GBK"/>
          <w:sz w:val="32"/>
          <w:szCs w:val="32"/>
        </w:rPr>
        <w:t>年）</w:t>
      </w:r>
      <w:r>
        <w:rPr>
          <w:rFonts w:ascii="宋体" w:hAnsi="宋体" w:eastAsia="方正仿宋_GBK"/>
          <w:sz w:val="32"/>
          <w:szCs w:val="32"/>
        </w:rPr>
        <w:t>》已经区政府同意，现印发给你们，请认真组织实施。</w:t>
      </w:r>
    </w:p>
    <w:p>
      <w:pPr>
        <w:spacing w:line="579" w:lineRule="exact"/>
        <w:rPr>
          <w:rFonts w:ascii="宋体" w:hAnsi="宋体" w:eastAsia="方正仿宋_GBK"/>
          <w:sz w:val="32"/>
          <w:szCs w:val="32"/>
        </w:rPr>
      </w:pPr>
    </w:p>
    <w:p>
      <w:pPr>
        <w:spacing w:line="579" w:lineRule="exact"/>
        <w:ind w:firstLine="4166" w:firstLineChars="1302"/>
        <w:rPr>
          <w:rFonts w:ascii="宋体" w:hAnsi="宋体" w:eastAsia="方正仿宋_GBK"/>
          <w:sz w:val="32"/>
          <w:szCs w:val="32"/>
        </w:rPr>
      </w:pPr>
    </w:p>
    <w:p>
      <w:pPr>
        <w:spacing w:line="579" w:lineRule="exact"/>
        <w:jc w:val="right"/>
        <w:rPr>
          <w:rFonts w:ascii="宋体" w:hAnsi="宋体" w:eastAsia="方正仿宋_GBK"/>
          <w:sz w:val="32"/>
          <w:szCs w:val="32"/>
        </w:rPr>
      </w:pPr>
      <w:r>
        <w:rPr>
          <w:rFonts w:hint="eastAsia" w:ascii="宋体" w:hAnsi="宋体" w:eastAsia="方正仿宋_GBK"/>
          <w:sz w:val="32"/>
          <w:szCs w:val="32"/>
        </w:rPr>
        <w:t>“智慧黔江”规划与建设领导小组</w:t>
      </w:r>
      <w:r>
        <w:rPr>
          <w:rFonts w:ascii="宋体" w:hAnsi="宋体" w:eastAsia="方正仿宋_GBK"/>
          <w:sz w:val="32"/>
          <w:szCs w:val="32"/>
        </w:rPr>
        <w:t>办公室</w:t>
      </w:r>
    </w:p>
    <w:p>
      <w:pPr>
        <w:spacing w:line="579" w:lineRule="exact"/>
        <w:ind w:firstLine="5120" w:firstLineChars="1600"/>
        <w:rPr>
          <w:rFonts w:ascii="宋体" w:hAnsi="宋体" w:eastAsia="方正仿宋_GBK"/>
          <w:sz w:val="32"/>
          <w:szCs w:val="32"/>
        </w:rPr>
      </w:pPr>
      <w:r>
        <w:rPr>
          <w:rFonts w:ascii="Times New Roman" w:hAnsi="Times New Roman" w:eastAsia="方正仿宋_GBK"/>
          <w:sz w:val="32"/>
          <w:szCs w:val="32"/>
        </w:rPr>
        <w:t>20</w:t>
      </w:r>
      <w:r>
        <w:rPr>
          <w:rFonts w:hint="eastAsia" w:ascii="Times New Roman" w:hAnsi="Times New Roman" w:eastAsia="方正仿宋_GBK"/>
          <w:sz w:val="32"/>
          <w:szCs w:val="32"/>
        </w:rPr>
        <w:t>21</w:t>
      </w:r>
      <w:r>
        <w:rPr>
          <w:rFonts w:ascii="宋体" w:hAnsi="宋体" w:eastAsia="方正仿宋_GBK"/>
          <w:sz w:val="32"/>
          <w:szCs w:val="32"/>
        </w:rPr>
        <w:t>年</w:t>
      </w:r>
      <w:r>
        <w:rPr>
          <w:rFonts w:hint="eastAsia" w:ascii="Times New Roman" w:hAnsi="Times New Roman" w:eastAsia="方正仿宋_GBK"/>
          <w:sz w:val="32"/>
          <w:szCs w:val="32"/>
        </w:rPr>
        <w:t>7</w:t>
      </w:r>
      <w:r>
        <w:rPr>
          <w:rFonts w:ascii="宋体" w:hAnsi="宋体" w:eastAsia="方正仿宋_GBK"/>
          <w:sz w:val="32"/>
          <w:szCs w:val="32"/>
        </w:rPr>
        <w:t>月</w:t>
      </w:r>
      <w:r>
        <w:rPr>
          <w:rFonts w:hint="eastAsia" w:ascii="Times New Roman" w:hAnsi="Times New Roman" w:eastAsia="方正仿宋_GBK"/>
          <w:sz w:val="32"/>
          <w:szCs w:val="32"/>
        </w:rPr>
        <w:t>7</w:t>
      </w:r>
      <w:r>
        <w:rPr>
          <w:rFonts w:ascii="宋体" w:hAnsi="宋体" w:eastAsia="方正仿宋_GBK"/>
          <w:sz w:val="32"/>
          <w:szCs w:val="32"/>
        </w:rPr>
        <w:t>日</w:t>
      </w:r>
    </w:p>
    <w:p>
      <w:pPr>
        <w:spacing w:line="579" w:lineRule="exact"/>
        <w:ind w:firstLine="1040" w:firstLineChars="200"/>
        <w:rPr>
          <w:rFonts w:ascii="宋体" w:hAnsi="宋体" w:eastAsia="方正小标宋_GBK"/>
          <w:kern w:val="0"/>
          <w:sz w:val="52"/>
          <w:szCs w:val="52"/>
        </w:rPr>
      </w:pPr>
    </w:p>
    <w:p>
      <w:pPr>
        <w:jc w:val="center"/>
        <w:rPr>
          <w:rFonts w:hint="eastAsia" w:ascii="宋体" w:hAnsi="宋体" w:eastAsia="方正小标宋_GBK"/>
          <w:sz w:val="44"/>
          <w:szCs w:val="44"/>
        </w:rPr>
      </w:pPr>
      <w:r>
        <w:rPr>
          <w:rFonts w:ascii="宋体" w:hAnsi="宋体" w:eastAsia="方正小标宋_GBK"/>
          <w:sz w:val="44"/>
          <w:szCs w:val="44"/>
        </w:rPr>
        <w:br w:type="page"/>
      </w:r>
    </w:p>
    <w:p>
      <w:pPr>
        <w:pStyle w:val="2"/>
        <w:rPr>
          <w:rFonts w:hint="eastAsia" w:ascii="宋体" w:hAnsi="宋体"/>
        </w:rPr>
      </w:pPr>
    </w:p>
    <w:p>
      <w:pPr>
        <w:jc w:val="center"/>
        <w:rPr>
          <w:rFonts w:hint="eastAsia" w:ascii="宋体" w:hAnsi="宋体"/>
          <w:szCs w:val="67"/>
        </w:rPr>
      </w:pPr>
    </w:p>
    <w:p>
      <w:pPr>
        <w:jc w:val="center"/>
        <w:rPr>
          <w:rFonts w:hint="eastAsia" w:ascii="宋体" w:hAnsi="宋体"/>
          <w:szCs w:val="67"/>
        </w:rPr>
      </w:pPr>
    </w:p>
    <w:p>
      <w:pPr>
        <w:jc w:val="center"/>
        <w:rPr>
          <w:rFonts w:hint="eastAsia" w:ascii="宋体" w:hAnsi="宋体"/>
          <w:szCs w:val="67"/>
        </w:rPr>
      </w:pPr>
    </w:p>
    <w:p>
      <w:pPr>
        <w:jc w:val="center"/>
        <w:rPr>
          <w:rFonts w:ascii="宋体" w:hAnsi="宋体" w:eastAsia="方正小标宋_GBK"/>
          <w:sz w:val="67"/>
          <w:szCs w:val="67"/>
        </w:rPr>
      </w:pPr>
      <w:r>
        <w:rPr>
          <w:rFonts w:hint="eastAsia" w:ascii="宋体" w:hAnsi="宋体" w:eastAsia="方正小标宋_GBK"/>
          <w:sz w:val="67"/>
          <w:szCs w:val="67"/>
        </w:rPr>
        <w:t>“智慧黔江”发展规划</w:t>
      </w:r>
    </w:p>
    <w:p>
      <w:pPr>
        <w:jc w:val="center"/>
        <w:rPr>
          <w:rFonts w:hint="eastAsia" w:ascii="宋体" w:hAnsi="宋体" w:eastAsia="方正小标宋_GBK"/>
          <w:sz w:val="67"/>
          <w:szCs w:val="67"/>
        </w:rPr>
      </w:pPr>
      <w:r>
        <w:rPr>
          <w:rFonts w:hint="eastAsia" w:ascii="宋体" w:hAnsi="宋体" w:eastAsia="方正小标宋_GBK"/>
          <w:sz w:val="67"/>
          <w:szCs w:val="67"/>
        </w:rPr>
        <w:t>（</w:t>
      </w:r>
      <w:r>
        <w:rPr>
          <w:rFonts w:hint="eastAsia" w:ascii="Times New Roman" w:hAnsi="Times New Roman" w:eastAsia="方正小标宋_GBK"/>
          <w:sz w:val="67"/>
          <w:szCs w:val="67"/>
        </w:rPr>
        <w:t>2021</w:t>
      </w:r>
      <w:r>
        <w:rPr>
          <w:rFonts w:hint="eastAsia" w:ascii="宋体" w:hAnsi="宋体" w:eastAsia="方正小标宋_GBK"/>
          <w:sz w:val="67"/>
          <w:szCs w:val="67"/>
        </w:rPr>
        <w:t>-</w:t>
      </w:r>
      <w:r>
        <w:rPr>
          <w:rFonts w:hint="eastAsia" w:ascii="Times New Roman" w:hAnsi="Times New Roman" w:eastAsia="方正小标宋_GBK"/>
          <w:sz w:val="67"/>
          <w:szCs w:val="67"/>
        </w:rPr>
        <w:t>2025</w:t>
      </w:r>
      <w:r>
        <w:rPr>
          <w:rFonts w:hint="eastAsia" w:ascii="宋体" w:hAnsi="宋体" w:eastAsia="方正小标宋_GBK"/>
          <w:sz w:val="67"/>
          <w:szCs w:val="67"/>
        </w:rPr>
        <w:t>年）</w:t>
      </w:r>
    </w:p>
    <w:p>
      <w:pPr>
        <w:jc w:val="center"/>
        <w:rPr>
          <w:rFonts w:hint="eastAsia" w:ascii="宋体" w:hAnsi="宋体" w:eastAsia="方正小标宋_GBK"/>
        </w:rPr>
      </w:pPr>
    </w:p>
    <w:p>
      <w:pPr>
        <w:jc w:val="center"/>
        <w:rPr>
          <w:rFonts w:hint="eastAsia" w:ascii="宋体" w:hAnsi="宋体" w:eastAsia="方正小标宋_GBK"/>
        </w:rPr>
      </w:pPr>
    </w:p>
    <w:p>
      <w:pPr>
        <w:jc w:val="center"/>
        <w:rPr>
          <w:rFonts w:hint="eastAsia" w:ascii="宋体" w:hAnsi="宋体" w:eastAsia="方正楷体_GBK"/>
          <w:sz w:val="51"/>
        </w:rPr>
      </w:pPr>
    </w:p>
    <w:p>
      <w:pPr>
        <w:jc w:val="center"/>
        <w:rPr>
          <w:rFonts w:hint="eastAsia" w:ascii="宋体" w:hAnsi="宋体" w:eastAsia="方正小标宋_GBK"/>
        </w:rPr>
      </w:pPr>
    </w:p>
    <w:p>
      <w:pPr>
        <w:jc w:val="center"/>
        <w:rPr>
          <w:rFonts w:hint="eastAsia" w:ascii="宋体" w:hAnsi="宋体"/>
        </w:rPr>
      </w:pPr>
    </w:p>
    <w:p>
      <w:pPr>
        <w:jc w:val="center"/>
        <w:rPr>
          <w:rFonts w:hint="eastAsia" w:ascii="宋体" w:hAnsi="宋体"/>
        </w:rPr>
      </w:pPr>
    </w:p>
    <w:p>
      <w:pPr>
        <w:jc w:val="center"/>
        <w:rPr>
          <w:rFonts w:hint="eastAsia" w:ascii="宋体" w:hAnsi="宋体" w:eastAsia="方正小标宋_GBK"/>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eastAsia="方正小标宋_GBK"/>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eastAsia="方正小标宋_GBK"/>
        </w:rPr>
      </w:pPr>
    </w:p>
    <w:p>
      <w:pPr>
        <w:jc w:val="center"/>
        <w:rPr>
          <w:rFonts w:hint="eastAsia" w:ascii="宋体" w:hAnsi="宋体"/>
        </w:rPr>
      </w:pPr>
    </w:p>
    <w:p>
      <w:pPr>
        <w:jc w:val="center"/>
        <w:rPr>
          <w:rFonts w:hint="eastAsia" w:ascii="宋体" w:hAnsi="宋体"/>
        </w:rPr>
      </w:pPr>
    </w:p>
    <w:p>
      <w:pPr>
        <w:jc w:val="center"/>
        <w:rPr>
          <w:rFonts w:hint="eastAsia" w:ascii="宋体" w:hAnsi="宋体" w:eastAsia="方正小标宋_GBK"/>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eastAsia="方正小标宋_GBK"/>
          <w:sz w:val="44"/>
          <w:szCs w:val="44"/>
        </w:rPr>
      </w:pPr>
      <w:r>
        <w:rPr>
          <w:rFonts w:hint="eastAsia" w:ascii="Times New Roman" w:hAnsi="Times New Roman" w:eastAsia="方正小标宋_GBK"/>
          <w:sz w:val="44"/>
          <w:szCs w:val="44"/>
        </w:rPr>
        <w:t>2021</w:t>
      </w:r>
      <w:r>
        <w:rPr>
          <w:rFonts w:hint="eastAsia" w:ascii="宋体" w:hAnsi="宋体" w:eastAsia="方正小标宋_GBK"/>
          <w:sz w:val="44"/>
          <w:szCs w:val="44"/>
        </w:rPr>
        <w:t>年</w:t>
      </w:r>
      <w:r>
        <w:rPr>
          <w:rFonts w:hint="eastAsia" w:ascii="Times New Roman" w:hAnsi="Times New Roman" w:eastAsia="方正小标宋_GBK"/>
          <w:sz w:val="44"/>
          <w:szCs w:val="44"/>
        </w:rPr>
        <w:t>7</w:t>
      </w:r>
      <w:r>
        <w:rPr>
          <w:rFonts w:hint="eastAsia" w:ascii="宋体" w:hAnsi="宋体" w:eastAsia="方正小标宋_GBK"/>
          <w:sz w:val="44"/>
          <w:szCs w:val="44"/>
        </w:rPr>
        <w:t>月</w:t>
      </w:r>
    </w:p>
    <w:p>
      <w:pPr>
        <w:spacing w:line="594" w:lineRule="exact"/>
        <w:jc w:val="center"/>
        <w:rPr>
          <w:rFonts w:hint="eastAsia" w:ascii="宋体" w:hAnsi="宋体"/>
          <w:sz w:val="32"/>
          <w:szCs w:val="32"/>
        </w:rPr>
      </w:pPr>
      <w:r>
        <w:rPr>
          <w:rFonts w:ascii="宋体" w:hAnsi="宋体"/>
        </w:rPr>
        <w:br w:type="page"/>
      </w:r>
    </w:p>
    <w:p>
      <w:pPr>
        <w:spacing w:line="594" w:lineRule="exact"/>
        <w:jc w:val="center"/>
        <w:rPr>
          <w:rFonts w:ascii="宋体" w:hAnsi="宋体"/>
        </w:rPr>
      </w:pPr>
      <w:r>
        <w:rPr>
          <w:rFonts w:hint="eastAsia" w:ascii="宋体" w:hAnsi="宋体" w:eastAsia="方正小标宋_GBK" w:cs="方正小标宋_GBK"/>
          <w:sz w:val="44"/>
          <w:szCs w:val="44"/>
        </w:rPr>
        <w:t>目  录</w:t>
      </w:r>
    </w:p>
    <w:p>
      <w:pPr>
        <w:pStyle w:val="44"/>
        <w:widowControl w:val="0"/>
        <w:tabs>
          <w:tab w:val="right" w:leader="dot" w:pos="9014"/>
        </w:tabs>
        <w:spacing w:line="594" w:lineRule="exact"/>
        <w:rPr>
          <w:rFonts w:hint="eastAsia" w:ascii="宋体" w:hAnsi="宋体" w:eastAsia="方正小标宋_GBK"/>
          <w:sz w:val="32"/>
          <w:szCs w:val="32"/>
          <w:lang w:eastAsia="zh-CN"/>
        </w:rPr>
      </w:pPr>
    </w:p>
    <w:p>
      <w:pPr>
        <w:pStyle w:val="44"/>
        <w:widowControl w:val="0"/>
        <w:tabs>
          <w:tab w:val="right" w:leader="dot" w:pos="9014"/>
        </w:tabs>
        <w:spacing w:line="594" w:lineRule="exact"/>
        <w:rPr>
          <w:rFonts w:ascii="宋体" w:hAnsi="宋体"/>
          <w:bCs/>
          <w:sz w:val="28"/>
          <w:szCs w:val="28"/>
        </w:rPr>
      </w:pPr>
      <w:r>
        <w:rPr>
          <w:rFonts w:hint="eastAsia" w:ascii="宋体" w:hAnsi="宋体" w:eastAsia="方正小标宋_GBK"/>
          <w:sz w:val="32"/>
          <w:szCs w:val="32"/>
        </w:rPr>
        <w:fldChar w:fldCharType="begin"/>
      </w:r>
      <w:r>
        <w:rPr>
          <w:rFonts w:hint="eastAsia" w:ascii="宋体" w:hAnsi="宋体" w:eastAsia="方正小标宋_GBK"/>
          <w:sz w:val="32"/>
          <w:szCs w:val="32"/>
        </w:rPr>
        <w:instrText xml:space="preserve">TOC \o "1-2" \h \u </w:instrText>
      </w:r>
      <w:r>
        <w:rPr>
          <w:rFonts w:hint="eastAsia" w:ascii="宋体" w:hAnsi="宋体" w:eastAsia="方正小标宋_GBK"/>
          <w:sz w:val="32"/>
          <w:szCs w:val="32"/>
        </w:rPr>
        <w:fldChar w:fldCharType="separate"/>
      </w:r>
      <w:r>
        <w:rPr>
          <w:rFonts w:hint="eastAsia" w:ascii="宋体" w:hAnsi="宋体" w:eastAsia="方正黑体_GBK" w:cs="方正黑体_GBK"/>
          <w:bCs/>
          <w:sz w:val="28"/>
          <w:szCs w:val="28"/>
        </w:rPr>
        <w:fldChar w:fldCharType="begin"/>
      </w:r>
      <w:r>
        <w:rPr>
          <w:rFonts w:hint="eastAsia" w:ascii="宋体" w:hAnsi="宋体" w:eastAsia="方正黑体_GBK" w:cs="方正黑体_GBK"/>
          <w:bCs/>
          <w:sz w:val="28"/>
          <w:szCs w:val="28"/>
        </w:rPr>
        <w:instrText xml:space="preserve"> HYPERLINK \l _Toc5913 </w:instrText>
      </w:r>
      <w:r>
        <w:rPr>
          <w:rFonts w:hint="eastAsia" w:ascii="宋体" w:hAnsi="宋体" w:eastAsia="方正黑体_GBK" w:cs="方正黑体_GBK"/>
          <w:bCs/>
          <w:sz w:val="28"/>
          <w:szCs w:val="28"/>
        </w:rPr>
        <w:fldChar w:fldCharType="separate"/>
      </w:r>
      <w:r>
        <w:rPr>
          <w:rFonts w:hint="eastAsia" w:ascii="宋体" w:hAnsi="宋体" w:eastAsia="方正黑体_GBK" w:cs="方正黑体_GBK"/>
          <w:bCs/>
          <w:sz w:val="28"/>
          <w:szCs w:val="28"/>
        </w:rPr>
        <w:t>一、</w:t>
      </w:r>
      <w:r>
        <w:rPr>
          <w:rFonts w:hint="eastAsia" w:ascii="宋体" w:hAnsi="宋体" w:eastAsia="方正黑体_GBK" w:cs="方正黑体_GBK"/>
          <w:bCs/>
          <w:sz w:val="28"/>
          <w:szCs w:val="28"/>
          <w:lang w:val="en-US" w:eastAsia="zh-CN"/>
        </w:rPr>
        <w:t>发展基础</w:t>
      </w:r>
      <w:r>
        <w:rPr>
          <w:rFonts w:hint="eastAsia" w:ascii="宋体" w:hAnsi="宋体" w:eastAsia="方正黑体_GBK" w:cs="方正黑体_GBK"/>
          <w:bCs/>
          <w:sz w:val="28"/>
          <w:szCs w:val="28"/>
        </w:rPr>
        <w:tab/>
      </w:r>
      <w:r>
        <w:rPr>
          <w:rFonts w:hint="eastAsia" w:ascii="宋体" w:hAnsi="宋体" w:eastAsia="方正黑体_GBK" w:cs="方正黑体_GBK"/>
          <w:bCs/>
          <w:sz w:val="28"/>
          <w:szCs w:val="28"/>
        </w:rPr>
        <w:fldChar w:fldCharType="begin"/>
      </w:r>
      <w:r>
        <w:rPr>
          <w:rFonts w:hint="eastAsia" w:ascii="宋体" w:hAnsi="宋体" w:eastAsia="方正黑体_GBK" w:cs="方正黑体_GBK"/>
          <w:bCs/>
          <w:sz w:val="28"/>
          <w:szCs w:val="28"/>
        </w:rPr>
        <w:instrText xml:space="preserve"> PAGEREF _Toc5913 </w:instrText>
      </w:r>
      <w:r>
        <w:rPr>
          <w:rFonts w:hint="eastAsia" w:ascii="宋体" w:hAnsi="宋体" w:eastAsia="方正黑体_GBK" w:cs="方正黑体_GBK"/>
          <w:bCs/>
          <w:sz w:val="28"/>
          <w:szCs w:val="28"/>
        </w:rPr>
        <w:fldChar w:fldCharType="separate"/>
      </w:r>
      <w:r>
        <w:rPr>
          <w:rFonts w:ascii="宋体" w:hAnsi="宋体" w:eastAsia="方正黑体_GBK" w:cs="方正黑体_GBK"/>
          <w:bCs/>
          <w:sz w:val="28"/>
          <w:szCs w:val="28"/>
        </w:rPr>
        <w:t>1</w:t>
      </w:r>
      <w:r>
        <w:rPr>
          <w:rFonts w:hint="eastAsia" w:ascii="宋体" w:hAnsi="宋体" w:eastAsia="方正黑体_GBK" w:cs="方正黑体_GBK"/>
          <w:bCs/>
          <w:sz w:val="28"/>
          <w:szCs w:val="28"/>
        </w:rPr>
        <w:fldChar w:fldCharType="end"/>
      </w:r>
      <w:r>
        <w:rPr>
          <w:rFonts w:hint="eastAsia" w:ascii="宋体" w:hAnsi="宋体" w:eastAsia="方正黑体_GBK" w:cs="方正黑体_GBK"/>
          <w:bCs/>
          <w:sz w:val="28"/>
          <w:szCs w:val="28"/>
        </w:rPr>
        <w:fldChar w:fldCharType="end"/>
      </w:r>
    </w:p>
    <w:p>
      <w:pPr>
        <w:pStyle w:val="43"/>
        <w:widowControl w:val="0"/>
        <w:tabs>
          <w:tab w:val="right" w:leader="dot" w:pos="9014"/>
        </w:tabs>
        <w:spacing w:line="594" w:lineRule="exact"/>
        <w:ind w:left="420"/>
        <w:rPr>
          <w:rFonts w:hint="eastAsia" w:ascii="宋体" w:hAnsi="宋体" w:eastAsia="方正楷体_GBK" w:cs="方正楷体_GBK"/>
          <w:sz w:val="28"/>
          <w:szCs w:val="28"/>
        </w:rPr>
      </w:pP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HYPERLINK \l _Toc3779 </w:instrText>
      </w:r>
      <w:r>
        <w:rPr>
          <w:rFonts w:hint="eastAsia" w:ascii="宋体" w:hAnsi="宋体" w:eastAsia="方正楷体_GBK" w:cs="方正楷体_GBK"/>
          <w:sz w:val="28"/>
          <w:szCs w:val="28"/>
        </w:rPr>
        <w:fldChar w:fldCharType="separate"/>
      </w:r>
      <w:r>
        <w:rPr>
          <w:rFonts w:hint="eastAsia" w:ascii="宋体" w:hAnsi="宋体" w:eastAsia="方正楷体_GBK" w:cs="方正楷体_GBK"/>
          <w:sz w:val="28"/>
          <w:szCs w:val="28"/>
        </w:rPr>
        <w:t>（一）</w:t>
      </w:r>
      <w:r>
        <w:rPr>
          <w:rFonts w:hint="eastAsia" w:ascii="宋体" w:hAnsi="宋体" w:eastAsia="方正楷体_GBK" w:cs="方正楷体_GBK"/>
          <w:sz w:val="28"/>
          <w:szCs w:val="28"/>
          <w:lang w:val="en-US" w:eastAsia="zh-CN"/>
        </w:rPr>
        <w:t>发展现状</w:t>
      </w:r>
      <w:r>
        <w:rPr>
          <w:rFonts w:hint="eastAsia" w:ascii="宋体" w:hAnsi="宋体" w:eastAsia="方正楷体_GBK" w:cs="方正楷体_GBK"/>
          <w:sz w:val="28"/>
          <w:szCs w:val="28"/>
        </w:rPr>
        <w:tab/>
      </w: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PAGEREF _Toc3779 </w:instrText>
      </w:r>
      <w:r>
        <w:rPr>
          <w:rFonts w:hint="eastAsia" w:ascii="宋体" w:hAnsi="宋体" w:eastAsia="方正楷体_GBK" w:cs="方正楷体_GBK"/>
          <w:sz w:val="28"/>
          <w:szCs w:val="28"/>
        </w:rPr>
        <w:fldChar w:fldCharType="separate"/>
      </w:r>
      <w:r>
        <w:rPr>
          <w:rFonts w:ascii="宋体" w:hAnsi="宋体" w:eastAsia="方正楷体_GBK" w:cs="方正楷体_GBK"/>
          <w:sz w:val="28"/>
          <w:szCs w:val="28"/>
        </w:rPr>
        <w:t>1</w:t>
      </w:r>
      <w:r>
        <w:rPr>
          <w:rFonts w:hint="eastAsia" w:ascii="宋体" w:hAnsi="宋体" w:eastAsia="方正楷体_GBK" w:cs="方正楷体_GBK"/>
          <w:sz w:val="28"/>
          <w:szCs w:val="28"/>
        </w:rPr>
        <w:fldChar w:fldCharType="end"/>
      </w:r>
      <w:r>
        <w:rPr>
          <w:rFonts w:hint="eastAsia" w:ascii="宋体" w:hAnsi="宋体" w:eastAsia="方正楷体_GBK" w:cs="方正楷体_GBK"/>
          <w:sz w:val="28"/>
          <w:szCs w:val="28"/>
        </w:rPr>
        <w:fldChar w:fldCharType="end"/>
      </w:r>
    </w:p>
    <w:p>
      <w:pPr>
        <w:pStyle w:val="43"/>
        <w:widowControl w:val="0"/>
        <w:tabs>
          <w:tab w:val="right" w:leader="dot" w:pos="9014"/>
        </w:tabs>
        <w:spacing w:line="594" w:lineRule="exact"/>
        <w:ind w:left="420"/>
        <w:rPr>
          <w:rFonts w:ascii="宋体" w:hAnsi="宋体"/>
          <w:sz w:val="28"/>
          <w:szCs w:val="28"/>
        </w:rPr>
      </w:pP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HYPERLINK \l _Toc16500 </w:instrText>
      </w:r>
      <w:r>
        <w:rPr>
          <w:rFonts w:hint="eastAsia" w:ascii="宋体" w:hAnsi="宋体" w:eastAsia="方正楷体_GBK" w:cs="方正楷体_GBK"/>
          <w:sz w:val="28"/>
          <w:szCs w:val="28"/>
        </w:rPr>
        <w:fldChar w:fldCharType="separate"/>
      </w:r>
      <w:r>
        <w:rPr>
          <w:rFonts w:hint="eastAsia" w:ascii="宋体" w:hAnsi="宋体" w:eastAsia="方正楷体_GBK" w:cs="方正楷体_GBK"/>
          <w:bCs/>
          <w:kern w:val="2"/>
          <w:sz w:val="28"/>
          <w:szCs w:val="28"/>
          <w:lang w:val="en-US" w:eastAsia="zh-CN"/>
        </w:rPr>
        <w:t>（二）存在问题</w:t>
      </w:r>
      <w:r>
        <w:rPr>
          <w:rFonts w:hint="eastAsia" w:ascii="宋体" w:hAnsi="宋体" w:eastAsia="方正楷体_GBK" w:cs="方正楷体_GBK"/>
          <w:sz w:val="28"/>
          <w:szCs w:val="28"/>
        </w:rPr>
        <w:tab/>
      </w: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PAGEREF _Toc16500 </w:instrText>
      </w:r>
      <w:r>
        <w:rPr>
          <w:rFonts w:hint="eastAsia" w:ascii="宋体" w:hAnsi="宋体" w:eastAsia="方正楷体_GBK" w:cs="方正楷体_GBK"/>
          <w:sz w:val="28"/>
          <w:szCs w:val="28"/>
        </w:rPr>
        <w:fldChar w:fldCharType="separate"/>
      </w:r>
      <w:r>
        <w:rPr>
          <w:rFonts w:ascii="宋体" w:hAnsi="宋体" w:eastAsia="方正楷体_GBK" w:cs="方正楷体_GBK"/>
          <w:sz w:val="28"/>
          <w:szCs w:val="28"/>
        </w:rPr>
        <w:t>2</w:t>
      </w:r>
      <w:r>
        <w:rPr>
          <w:rFonts w:hint="eastAsia" w:ascii="宋体" w:hAnsi="宋体" w:eastAsia="方正楷体_GBK" w:cs="方正楷体_GBK"/>
          <w:sz w:val="28"/>
          <w:szCs w:val="28"/>
        </w:rPr>
        <w:fldChar w:fldCharType="end"/>
      </w:r>
      <w:r>
        <w:rPr>
          <w:rFonts w:hint="eastAsia" w:ascii="宋体" w:hAnsi="宋体" w:eastAsia="方正楷体_GBK" w:cs="方正楷体_GBK"/>
          <w:sz w:val="28"/>
          <w:szCs w:val="28"/>
        </w:rPr>
        <w:fldChar w:fldCharType="end"/>
      </w:r>
    </w:p>
    <w:p>
      <w:pPr>
        <w:pStyle w:val="44"/>
        <w:widowControl w:val="0"/>
        <w:tabs>
          <w:tab w:val="right" w:leader="dot" w:pos="9014"/>
        </w:tabs>
        <w:spacing w:line="594" w:lineRule="exact"/>
        <w:rPr>
          <w:rFonts w:hint="eastAsia" w:ascii="宋体" w:hAnsi="宋体" w:eastAsia="方正黑体_GBK" w:cs="方正黑体_GBK"/>
          <w:bCs/>
          <w:sz w:val="28"/>
          <w:szCs w:val="28"/>
        </w:rPr>
      </w:pPr>
      <w:r>
        <w:rPr>
          <w:rFonts w:hint="eastAsia" w:ascii="宋体" w:hAnsi="宋体" w:eastAsia="方正黑体_GBK" w:cs="方正黑体_GBK"/>
          <w:bCs/>
          <w:sz w:val="28"/>
          <w:szCs w:val="28"/>
        </w:rPr>
        <w:fldChar w:fldCharType="begin"/>
      </w:r>
      <w:r>
        <w:rPr>
          <w:rFonts w:hint="eastAsia" w:ascii="宋体" w:hAnsi="宋体" w:eastAsia="方正黑体_GBK" w:cs="方正黑体_GBK"/>
          <w:bCs/>
          <w:sz w:val="28"/>
          <w:szCs w:val="28"/>
        </w:rPr>
        <w:instrText xml:space="preserve"> HYPERLINK \l _Toc9215 </w:instrText>
      </w:r>
      <w:r>
        <w:rPr>
          <w:rFonts w:hint="eastAsia" w:ascii="宋体" w:hAnsi="宋体" w:eastAsia="方正黑体_GBK" w:cs="方正黑体_GBK"/>
          <w:bCs/>
          <w:sz w:val="28"/>
          <w:szCs w:val="28"/>
        </w:rPr>
        <w:fldChar w:fldCharType="separate"/>
      </w:r>
      <w:r>
        <w:rPr>
          <w:rFonts w:hint="eastAsia" w:ascii="宋体" w:hAnsi="宋体" w:eastAsia="方正黑体_GBK" w:cs="方正黑体_GBK"/>
          <w:bCs/>
          <w:sz w:val="28"/>
          <w:szCs w:val="28"/>
          <w:lang w:val="en-US" w:eastAsia="zh-CN"/>
        </w:rPr>
        <w:t>二、发展形势</w:t>
      </w:r>
      <w:r>
        <w:rPr>
          <w:rFonts w:hint="eastAsia" w:ascii="宋体" w:hAnsi="宋体" w:eastAsia="方正黑体_GBK" w:cs="方正黑体_GBK"/>
          <w:bCs/>
          <w:sz w:val="28"/>
          <w:szCs w:val="28"/>
        </w:rPr>
        <w:tab/>
      </w:r>
      <w:r>
        <w:rPr>
          <w:rFonts w:hint="eastAsia" w:ascii="宋体" w:hAnsi="宋体" w:eastAsia="方正黑体_GBK" w:cs="方正黑体_GBK"/>
          <w:bCs/>
          <w:sz w:val="28"/>
          <w:szCs w:val="28"/>
        </w:rPr>
        <w:fldChar w:fldCharType="begin"/>
      </w:r>
      <w:r>
        <w:rPr>
          <w:rFonts w:hint="eastAsia" w:ascii="宋体" w:hAnsi="宋体" w:eastAsia="方正黑体_GBK" w:cs="方正黑体_GBK"/>
          <w:bCs/>
          <w:sz w:val="28"/>
          <w:szCs w:val="28"/>
        </w:rPr>
        <w:instrText xml:space="preserve"> PAGEREF _Toc9215 </w:instrText>
      </w:r>
      <w:r>
        <w:rPr>
          <w:rFonts w:hint="eastAsia" w:ascii="宋体" w:hAnsi="宋体" w:eastAsia="方正黑体_GBK" w:cs="方正黑体_GBK"/>
          <w:bCs/>
          <w:sz w:val="28"/>
          <w:szCs w:val="28"/>
        </w:rPr>
        <w:fldChar w:fldCharType="separate"/>
      </w:r>
      <w:r>
        <w:rPr>
          <w:rFonts w:ascii="宋体" w:hAnsi="宋体" w:eastAsia="方正黑体_GBK" w:cs="方正黑体_GBK"/>
          <w:bCs/>
          <w:sz w:val="28"/>
          <w:szCs w:val="28"/>
        </w:rPr>
        <w:t>3</w:t>
      </w:r>
      <w:r>
        <w:rPr>
          <w:rFonts w:hint="eastAsia" w:ascii="宋体" w:hAnsi="宋体" w:eastAsia="方正黑体_GBK" w:cs="方正黑体_GBK"/>
          <w:bCs/>
          <w:sz w:val="28"/>
          <w:szCs w:val="28"/>
        </w:rPr>
        <w:fldChar w:fldCharType="end"/>
      </w:r>
      <w:r>
        <w:rPr>
          <w:rFonts w:hint="eastAsia" w:ascii="宋体" w:hAnsi="宋体" w:eastAsia="方正黑体_GBK" w:cs="方正黑体_GBK"/>
          <w:bCs/>
          <w:sz w:val="28"/>
          <w:szCs w:val="28"/>
        </w:rPr>
        <w:fldChar w:fldCharType="end"/>
      </w:r>
    </w:p>
    <w:p>
      <w:pPr>
        <w:pStyle w:val="43"/>
        <w:widowControl w:val="0"/>
        <w:tabs>
          <w:tab w:val="right" w:leader="dot" w:pos="9014"/>
        </w:tabs>
        <w:spacing w:line="594" w:lineRule="exact"/>
        <w:ind w:left="420"/>
        <w:rPr>
          <w:rFonts w:hint="eastAsia" w:ascii="宋体" w:hAnsi="宋体" w:eastAsia="方正楷体_GBK" w:cs="方正楷体_GBK"/>
          <w:sz w:val="28"/>
          <w:szCs w:val="28"/>
        </w:rPr>
      </w:pP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HYPERLINK \l _Toc1910 </w:instrText>
      </w:r>
      <w:r>
        <w:rPr>
          <w:rFonts w:hint="eastAsia" w:ascii="宋体" w:hAnsi="宋体" w:eastAsia="方正楷体_GBK" w:cs="方正楷体_GBK"/>
          <w:sz w:val="28"/>
          <w:szCs w:val="28"/>
        </w:rPr>
        <w:fldChar w:fldCharType="separate"/>
      </w:r>
      <w:r>
        <w:rPr>
          <w:rFonts w:hint="eastAsia" w:ascii="宋体" w:hAnsi="宋体" w:eastAsia="方正楷体_GBK" w:cs="方正楷体_GBK"/>
          <w:bCs/>
          <w:sz w:val="28"/>
          <w:szCs w:val="28"/>
          <w:lang w:val="en-US" w:eastAsia="zh-CN"/>
        </w:rPr>
        <w:t>（一）智慧城市发展为黔江区新型城镇化建设指明新方向</w:t>
      </w:r>
      <w:r>
        <w:rPr>
          <w:rFonts w:hint="eastAsia" w:ascii="宋体" w:hAnsi="宋体" w:eastAsia="方正楷体_GBK" w:cs="方正楷体_GBK"/>
          <w:sz w:val="28"/>
          <w:szCs w:val="28"/>
        </w:rPr>
        <w:tab/>
      </w: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PAGEREF _Toc1910 </w:instrText>
      </w:r>
      <w:r>
        <w:rPr>
          <w:rFonts w:hint="eastAsia" w:ascii="宋体" w:hAnsi="宋体" w:eastAsia="方正楷体_GBK" w:cs="方正楷体_GBK"/>
          <w:sz w:val="28"/>
          <w:szCs w:val="28"/>
        </w:rPr>
        <w:fldChar w:fldCharType="separate"/>
      </w:r>
      <w:r>
        <w:rPr>
          <w:rFonts w:ascii="宋体" w:hAnsi="宋体" w:eastAsia="方正楷体_GBK" w:cs="方正楷体_GBK"/>
          <w:sz w:val="28"/>
          <w:szCs w:val="28"/>
        </w:rPr>
        <w:t>3</w:t>
      </w:r>
      <w:r>
        <w:rPr>
          <w:rFonts w:hint="eastAsia" w:ascii="宋体" w:hAnsi="宋体" w:eastAsia="方正楷体_GBK" w:cs="方正楷体_GBK"/>
          <w:sz w:val="28"/>
          <w:szCs w:val="28"/>
        </w:rPr>
        <w:fldChar w:fldCharType="end"/>
      </w:r>
      <w:r>
        <w:rPr>
          <w:rFonts w:hint="eastAsia" w:ascii="宋体" w:hAnsi="宋体" w:eastAsia="方正楷体_GBK" w:cs="方正楷体_GBK"/>
          <w:sz w:val="28"/>
          <w:szCs w:val="28"/>
        </w:rPr>
        <w:fldChar w:fldCharType="end"/>
      </w:r>
    </w:p>
    <w:p>
      <w:pPr>
        <w:pStyle w:val="43"/>
        <w:widowControl w:val="0"/>
        <w:tabs>
          <w:tab w:val="right" w:leader="dot" w:pos="9014"/>
        </w:tabs>
        <w:spacing w:line="594" w:lineRule="exact"/>
        <w:ind w:left="420"/>
        <w:rPr>
          <w:rFonts w:hint="eastAsia" w:ascii="宋体" w:hAnsi="宋体" w:eastAsia="方正楷体_GBK" w:cs="方正楷体_GBK"/>
          <w:sz w:val="28"/>
          <w:szCs w:val="28"/>
        </w:rPr>
      </w:pP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HYPERLINK \l _Toc2809 </w:instrText>
      </w:r>
      <w:r>
        <w:rPr>
          <w:rFonts w:hint="eastAsia" w:ascii="宋体" w:hAnsi="宋体" w:eastAsia="方正楷体_GBK" w:cs="方正楷体_GBK"/>
          <w:sz w:val="28"/>
          <w:szCs w:val="28"/>
        </w:rPr>
        <w:fldChar w:fldCharType="separate"/>
      </w:r>
      <w:r>
        <w:rPr>
          <w:rFonts w:hint="eastAsia" w:ascii="宋体" w:hAnsi="宋体" w:eastAsia="方正楷体_GBK" w:cs="方正楷体_GBK"/>
          <w:bCs/>
          <w:kern w:val="2"/>
          <w:sz w:val="28"/>
          <w:szCs w:val="28"/>
          <w:lang w:val="en-US" w:eastAsia="zh-CN"/>
        </w:rPr>
        <w:t>（二）经济新常态对黔江智慧城市发展提出新要求</w:t>
      </w:r>
      <w:r>
        <w:rPr>
          <w:rFonts w:hint="eastAsia" w:ascii="宋体" w:hAnsi="宋体" w:eastAsia="方正楷体_GBK" w:cs="方正楷体_GBK"/>
          <w:sz w:val="28"/>
          <w:szCs w:val="28"/>
        </w:rPr>
        <w:tab/>
      </w: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PAGEREF _Toc2809 </w:instrText>
      </w:r>
      <w:r>
        <w:rPr>
          <w:rFonts w:hint="eastAsia" w:ascii="宋体" w:hAnsi="宋体" w:eastAsia="方正楷体_GBK" w:cs="方正楷体_GBK"/>
          <w:sz w:val="28"/>
          <w:szCs w:val="28"/>
        </w:rPr>
        <w:fldChar w:fldCharType="separate"/>
      </w:r>
      <w:r>
        <w:rPr>
          <w:rFonts w:ascii="宋体" w:hAnsi="宋体" w:eastAsia="方正楷体_GBK" w:cs="方正楷体_GBK"/>
          <w:sz w:val="28"/>
          <w:szCs w:val="28"/>
        </w:rPr>
        <w:t>3</w:t>
      </w:r>
      <w:r>
        <w:rPr>
          <w:rFonts w:hint="eastAsia" w:ascii="宋体" w:hAnsi="宋体" w:eastAsia="方正楷体_GBK" w:cs="方正楷体_GBK"/>
          <w:sz w:val="28"/>
          <w:szCs w:val="28"/>
        </w:rPr>
        <w:fldChar w:fldCharType="end"/>
      </w:r>
      <w:r>
        <w:rPr>
          <w:rFonts w:hint="eastAsia" w:ascii="宋体" w:hAnsi="宋体" w:eastAsia="方正楷体_GBK" w:cs="方正楷体_GBK"/>
          <w:sz w:val="28"/>
          <w:szCs w:val="28"/>
        </w:rPr>
        <w:fldChar w:fldCharType="end"/>
      </w:r>
    </w:p>
    <w:p>
      <w:pPr>
        <w:pStyle w:val="43"/>
        <w:widowControl w:val="0"/>
        <w:tabs>
          <w:tab w:val="right" w:leader="dot" w:pos="9014"/>
        </w:tabs>
        <w:spacing w:line="594" w:lineRule="exact"/>
        <w:ind w:left="420"/>
        <w:rPr>
          <w:rFonts w:hint="eastAsia" w:ascii="宋体" w:hAnsi="宋体" w:eastAsia="方正楷体_GBK" w:cs="方正楷体_GBK"/>
          <w:sz w:val="28"/>
          <w:szCs w:val="28"/>
        </w:rPr>
      </w:pP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HYPERLINK \l _Toc11819 </w:instrText>
      </w:r>
      <w:r>
        <w:rPr>
          <w:rFonts w:hint="eastAsia" w:ascii="宋体" w:hAnsi="宋体" w:eastAsia="方正楷体_GBK" w:cs="方正楷体_GBK"/>
          <w:sz w:val="28"/>
          <w:szCs w:val="28"/>
        </w:rPr>
        <w:fldChar w:fldCharType="separate"/>
      </w:r>
      <w:r>
        <w:rPr>
          <w:rFonts w:hint="eastAsia" w:ascii="宋体" w:hAnsi="宋体" w:eastAsia="方正楷体_GBK" w:cs="方正楷体_GBK"/>
          <w:bCs/>
          <w:kern w:val="2"/>
          <w:sz w:val="28"/>
          <w:szCs w:val="28"/>
          <w:lang w:val="en-US" w:eastAsia="zh-CN"/>
        </w:rPr>
        <w:t>（三）国市战略为黔江智慧城市建设提供政策新环境</w:t>
      </w:r>
      <w:r>
        <w:rPr>
          <w:rFonts w:hint="eastAsia" w:ascii="宋体" w:hAnsi="宋体" w:eastAsia="方正楷体_GBK" w:cs="方正楷体_GBK"/>
          <w:sz w:val="28"/>
          <w:szCs w:val="28"/>
        </w:rPr>
        <w:tab/>
      </w: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PAGEREF _Toc11819 </w:instrText>
      </w:r>
      <w:r>
        <w:rPr>
          <w:rFonts w:hint="eastAsia" w:ascii="宋体" w:hAnsi="宋体" w:eastAsia="方正楷体_GBK" w:cs="方正楷体_GBK"/>
          <w:sz w:val="28"/>
          <w:szCs w:val="28"/>
        </w:rPr>
        <w:fldChar w:fldCharType="separate"/>
      </w:r>
      <w:r>
        <w:rPr>
          <w:rFonts w:ascii="宋体" w:hAnsi="宋体" w:eastAsia="方正楷体_GBK" w:cs="方正楷体_GBK"/>
          <w:sz w:val="28"/>
          <w:szCs w:val="28"/>
        </w:rPr>
        <w:t>3</w:t>
      </w:r>
      <w:r>
        <w:rPr>
          <w:rFonts w:hint="eastAsia" w:ascii="宋体" w:hAnsi="宋体" w:eastAsia="方正楷体_GBK" w:cs="方正楷体_GBK"/>
          <w:sz w:val="28"/>
          <w:szCs w:val="28"/>
        </w:rPr>
        <w:fldChar w:fldCharType="end"/>
      </w:r>
      <w:r>
        <w:rPr>
          <w:rFonts w:hint="eastAsia" w:ascii="宋体" w:hAnsi="宋体" w:eastAsia="方正楷体_GBK" w:cs="方正楷体_GBK"/>
          <w:sz w:val="28"/>
          <w:szCs w:val="28"/>
        </w:rPr>
        <w:fldChar w:fldCharType="end"/>
      </w:r>
    </w:p>
    <w:p>
      <w:pPr>
        <w:pStyle w:val="43"/>
        <w:widowControl w:val="0"/>
        <w:tabs>
          <w:tab w:val="right" w:leader="dot" w:pos="9014"/>
        </w:tabs>
        <w:spacing w:line="594" w:lineRule="exact"/>
        <w:ind w:left="420"/>
        <w:rPr>
          <w:rFonts w:hint="eastAsia" w:ascii="宋体" w:hAnsi="宋体" w:eastAsia="方正楷体_GBK" w:cs="方正楷体_GBK"/>
          <w:sz w:val="28"/>
          <w:szCs w:val="28"/>
        </w:rPr>
      </w:pP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HYPERLINK \l _Toc21781 </w:instrText>
      </w:r>
      <w:r>
        <w:rPr>
          <w:rFonts w:hint="eastAsia" w:ascii="宋体" w:hAnsi="宋体" w:eastAsia="方正楷体_GBK" w:cs="方正楷体_GBK"/>
          <w:sz w:val="28"/>
          <w:szCs w:val="28"/>
        </w:rPr>
        <w:fldChar w:fldCharType="separate"/>
      </w:r>
      <w:r>
        <w:rPr>
          <w:rFonts w:hint="eastAsia" w:ascii="宋体" w:hAnsi="宋体" w:eastAsia="方正楷体_GBK" w:cs="方正楷体_GBK"/>
          <w:snapToGrid w:val="0"/>
          <w:sz w:val="28"/>
          <w:szCs w:val="28"/>
          <w:lang w:val="en-US" w:eastAsia="zh-CN"/>
        </w:rPr>
        <w:t>（四）黔江区委区政府积极响应政府号召</w:t>
      </w:r>
      <w:r>
        <w:rPr>
          <w:rFonts w:hint="eastAsia" w:ascii="宋体" w:hAnsi="宋体" w:eastAsia="方正楷体_GBK" w:cs="方正楷体_GBK"/>
          <w:sz w:val="28"/>
          <w:szCs w:val="28"/>
        </w:rPr>
        <w:tab/>
      </w: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PAGEREF _Toc21781 </w:instrText>
      </w:r>
      <w:r>
        <w:rPr>
          <w:rFonts w:hint="eastAsia" w:ascii="宋体" w:hAnsi="宋体" w:eastAsia="方正楷体_GBK" w:cs="方正楷体_GBK"/>
          <w:sz w:val="28"/>
          <w:szCs w:val="28"/>
        </w:rPr>
        <w:fldChar w:fldCharType="separate"/>
      </w:r>
      <w:r>
        <w:rPr>
          <w:rFonts w:ascii="宋体" w:hAnsi="宋体" w:eastAsia="方正楷体_GBK" w:cs="方正楷体_GBK"/>
          <w:sz w:val="28"/>
          <w:szCs w:val="28"/>
        </w:rPr>
        <w:t>4</w:t>
      </w:r>
      <w:r>
        <w:rPr>
          <w:rFonts w:hint="eastAsia" w:ascii="宋体" w:hAnsi="宋体" w:eastAsia="方正楷体_GBK" w:cs="方正楷体_GBK"/>
          <w:sz w:val="28"/>
          <w:szCs w:val="28"/>
        </w:rPr>
        <w:fldChar w:fldCharType="end"/>
      </w:r>
      <w:r>
        <w:rPr>
          <w:rFonts w:hint="eastAsia" w:ascii="宋体" w:hAnsi="宋体" w:eastAsia="方正楷体_GBK" w:cs="方正楷体_GBK"/>
          <w:sz w:val="28"/>
          <w:szCs w:val="28"/>
        </w:rPr>
        <w:fldChar w:fldCharType="end"/>
      </w:r>
    </w:p>
    <w:p>
      <w:pPr>
        <w:pStyle w:val="44"/>
        <w:widowControl w:val="0"/>
        <w:tabs>
          <w:tab w:val="right" w:leader="dot" w:pos="9014"/>
        </w:tabs>
        <w:spacing w:line="594" w:lineRule="exact"/>
        <w:rPr>
          <w:rFonts w:hint="eastAsia" w:ascii="宋体" w:hAnsi="宋体" w:eastAsia="方正黑体_GBK" w:cs="方正黑体_GBK"/>
          <w:bCs/>
          <w:sz w:val="28"/>
          <w:szCs w:val="28"/>
        </w:rPr>
      </w:pPr>
      <w:r>
        <w:rPr>
          <w:rFonts w:hint="eastAsia" w:ascii="宋体" w:hAnsi="宋体" w:eastAsia="方正黑体_GBK" w:cs="方正黑体_GBK"/>
          <w:bCs/>
          <w:sz w:val="28"/>
          <w:szCs w:val="28"/>
        </w:rPr>
        <w:fldChar w:fldCharType="begin"/>
      </w:r>
      <w:r>
        <w:rPr>
          <w:rFonts w:hint="eastAsia" w:ascii="宋体" w:hAnsi="宋体" w:eastAsia="方正黑体_GBK" w:cs="方正黑体_GBK"/>
          <w:bCs/>
          <w:sz w:val="28"/>
          <w:szCs w:val="28"/>
        </w:rPr>
        <w:instrText xml:space="preserve"> HYPERLINK \l _Toc8646 </w:instrText>
      </w:r>
      <w:r>
        <w:rPr>
          <w:rFonts w:hint="eastAsia" w:ascii="宋体" w:hAnsi="宋体" w:eastAsia="方正黑体_GBK" w:cs="方正黑体_GBK"/>
          <w:bCs/>
          <w:sz w:val="28"/>
          <w:szCs w:val="28"/>
        </w:rPr>
        <w:fldChar w:fldCharType="separate"/>
      </w:r>
      <w:r>
        <w:rPr>
          <w:rFonts w:hint="eastAsia" w:ascii="宋体" w:hAnsi="宋体" w:eastAsia="方正黑体_GBK" w:cs="方正黑体_GBK"/>
          <w:bCs/>
          <w:sz w:val="28"/>
          <w:szCs w:val="28"/>
          <w:lang w:val="en-US" w:eastAsia="zh-CN"/>
        </w:rPr>
        <w:t>三</w:t>
      </w:r>
      <w:r>
        <w:rPr>
          <w:rFonts w:hint="eastAsia" w:ascii="宋体" w:hAnsi="宋体" w:eastAsia="方正黑体_GBK" w:cs="方正黑体_GBK"/>
          <w:bCs/>
          <w:sz w:val="28"/>
          <w:szCs w:val="28"/>
        </w:rPr>
        <w:t>、总体要求</w:t>
      </w:r>
      <w:r>
        <w:rPr>
          <w:rFonts w:hint="eastAsia" w:ascii="宋体" w:hAnsi="宋体" w:eastAsia="方正黑体_GBK" w:cs="方正黑体_GBK"/>
          <w:bCs/>
          <w:sz w:val="28"/>
          <w:szCs w:val="28"/>
        </w:rPr>
        <w:tab/>
      </w:r>
      <w:r>
        <w:rPr>
          <w:rFonts w:hint="eastAsia" w:ascii="宋体" w:hAnsi="宋体" w:eastAsia="方正黑体_GBK" w:cs="方正黑体_GBK"/>
          <w:bCs/>
          <w:sz w:val="28"/>
          <w:szCs w:val="28"/>
        </w:rPr>
        <w:fldChar w:fldCharType="begin"/>
      </w:r>
      <w:r>
        <w:rPr>
          <w:rFonts w:hint="eastAsia" w:ascii="宋体" w:hAnsi="宋体" w:eastAsia="方正黑体_GBK" w:cs="方正黑体_GBK"/>
          <w:bCs/>
          <w:sz w:val="28"/>
          <w:szCs w:val="28"/>
        </w:rPr>
        <w:instrText xml:space="preserve"> PAGEREF _Toc8646 </w:instrText>
      </w:r>
      <w:r>
        <w:rPr>
          <w:rFonts w:hint="eastAsia" w:ascii="宋体" w:hAnsi="宋体" w:eastAsia="方正黑体_GBK" w:cs="方正黑体_GBK"/>
          <w:bCs/>
          <w:sz w:val="28"/>
          <w:szCs w:val="28"/>
        </w:rPr>
        <w:fldChar w:fldCharType="separate"/>
      </w:r>
      <w:r>
        <w:rPr>
          <w:rFonts w:ascii="宋体" w:hAnsi="宋体" w:eastAsia="方正黑体_GBK" w:cs="方正黑体_GBK"/>
          <w:bCs/>
          <w:sz w:val="28"/>
          <w:szCs w:val="28"/>
        </w:rPr>
        <w:t>5</w:t>
      </w:r>
      <w:r>
        <w:rPr>
          <w:rFonts w:hint="eastAsia" w:ascii="宋体" w:hAnsi="宋体" w:eastAsia="方正黑体_GBK" w:cs="方正黑体_GBK"/>
          <w:bCs/>
          <w:sz w:val="28"/>
          <w:szCs w:val="28"/>
        </w:rPr>
        <w:fldChar w:fldCharType="end"/>
      </w:r>
      <w:r>
        <w:rPr>
          <w:rFonts w:hint="eastAsia" w:ascii="宋体" w:hAnsi="宋体" w:eastAsia="方正黑体_GBK" w:cs="方正黑体_GBK"/>
          <w:bCs/>
          <w:sz w:val="28"/>
          <w:szCs w:val="28"/>
        </w:rPr>
        <w:fldChar w:fldCharType="end"/>
      </w:r>
    </w:p>
    <w:p>
      <w:pPr>
        <w:pStyle w:val="43"/>
        <w:widowControl w:val="0"/>
        <w:tabs>
          <w:tab w:val="right" w:leader="dot" w:pos="9014"/>
        </w:tabs>
        <w:spacing w:line="594" w:lineRule="exact"/>
        <w:ind w:left="420"/>
        <w:rPr>
          <w:rFonts w:hint="eastAsia" w:ascii="宋体" w:hAnsi="宋体" w:eastAsia="方正楷体_GBK" w:cs="方正楷体_GBK"/>
          <w:sz w:val="28"/>
          <w:szCs w:val="28"/>
        </w:rPr>
      </w:pP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HYPERLINK \l _Toc24213 </w:instrText>
      </w:r>
      <w:r>
        <w:rPr>
          <w:rFonts w:hint="eastAsia" w:ascii="宋体" w:hAnsi="宋体" w:eastAsia="方正楷体_GBK" w:cs="方正楷体_GBK"/>
          <w:sz w:val="28"/>
          <w:szCs w:val="28"/>
        </w:rPr>
        <w:fldChar w:fldCharType="separate"/>
      </w:r>
      <w:r>
        <w:rPr>
          <w:rFonts w:hint="eastAsia" w:ascii="宋体" w:hAnsi="宋体" w:eastAsia="方正楷体_GBK" w:cs="方正楷体_GBK"/>
          <w:sz w:val="28"/>
          <w:szCs w:val="28"/>
        </w:rPr>
        <w:t>（一）指导思想</w:t>
      </w:r>
      <w:r>
        <w:rPr>
          <w:rFonts w:hint="eastAsia" w:ascii="宋体" w:hAnsi="宋体" w:eastAsia="方正楷体_GBK" w:cs="方正楷体_GBK"/>
          <w:sz w:val="28"/>
          <w:szCs w:val="28"/>
        </w:rPr>
        <w:tab/>
      </w: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PAGEREF _Toc24213 </w:instrText>
      </w:r>
      <w:r>
        <w:rPr>
          <w:rFonts w:hint="eastAsia" w:ascii="宋体" w:hAnsi="宋体" w:eastAsia="方正楷体_GBK" w:cs="方正楷体_GBK"/>
          <w:sz w:val="28"/>
          <w:szCs w:val="28"/>
        </w:rPr>
        <w:fldChar w:fldCharType="separate"/>
      </w:r>
      <w:r>
        <w:rPr>
          <w:rFonts w:ascii="宋体" w:hAnsi="宋体" w:eastAsia="方正楷体_GBK" w:cs="方正楷体_GBK"/>
          <w:sz w:val="28"/>
          <w:szCs w:val="28"/>
        </w:rPr>
        <w:t>5</w:t>
      </w:r>
      <w:r>
        <w:rPr>
          <w:rFonts w:hint="eastAsia" w:ascii="宋体" w:hAnsi="宋体" w:eastAsia="方正楷体_GBK" w:cs="方正楷体_GBK"/>
          <w:sz w:val="28"/>
          <w:szCs w:val="28"/>
        </w:rPr>
        <w:fldChar w:fldCharType="end"/>
      </w:r>
      <w:r>
        <w:rPr>
          <w:rFonts w:hint="eastAsia" w:ascii="宋体" w:hAnsi="宋体" w:eastAsia="方正楷体_GBK" w:cs="方正楷体_GBK"/>
          <w:sz w:val="28"/>
          <w:szCs w:val="28"/>
        </w:rPr>
        <w:fldChar w:fldCharType="end"/>
      </w:r>
    </w:p>
    <w:p>
      <w:pPr>
        <w:pStyle w:val="43"/>
        <w:widowControl w:val="0"/>
        <w:tabs>
          <w:tab w:val="right" w:leader="dot" w:pos="9014"/>
        </w:tabs>
        <w:spacing w:line="594" w:lineRule="exact"/>
        <w:ind w:left="420"/>
        <w:rPr>
          <w:rFonts w:hint="eastAsia" w:ascii="宋体" w:hAnsi="宋体" w:eastAsia="方正楷体_GBK" w:cs="方正楷体_GBK"/>
          <w:sz w:val="28"/>
          <w:szCs w:val="28"/>
        </w:rPr>
      </w:pP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HYPERLINK \l _Toc18935 </w:instrText>
      </w:r>
      <w:r>
        <w:rPr>
          <w:rFonts w:hint="eastAsia" w:ascii="宋体" w:hAnsi="宋体" w:eastAsia="方正楷体_GBK" w:cs="方正楷体_GBK"/>
          <w:sz w:val="28"/>
          <w:szCs w:val="28"/>
        </w:rPr>
        <w:fldChar w:fldCharType="separate"/>
      </w:r>
      <w:r>
        <w:rPr>
          <w:rFonts w:hint="eastAsia" w:ascii="宋体" w:hAnsi="宋体" w:eastAsia="方正楷体_GBK" w:cs="方正楷体_GBK"/>
          <w:sz w:val="28"/>
          <w:szCs w:val="28"/>
        </w:rPr>
        <w:t>（二）总体原则</w:t>
      </w:r>
      <w:r>
        <w:rPr>
          <w:rFonts w:hint="eastAsia" w:ascii="宋体" w:hAnsi="宋体" w:eastAsia="方正楷体_GBK" w:cs="方正楷体_GBK"/>
          <w:sz w:val="28"/>
          <w:szCs w:val="28"/>
        </w:rPr>
        <w:tab/>
      </w: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PAGEREF _Toc18935 </w:instrText>
      </w:r>
      <w:r>
        <w:rPr>
          <w:rFonts w:hint="eastAsia" w:ascii="宋体" w:hAnsi="宋体" w:eastAsia="方正楷体_GBK" w:cs="方正楷体_GBK"/>
          <w:sz w:val="28"/>
          <w:szCs w:val="28"/>
        </w:rPr>
        <w:fldChar w:fldCharType="separate"/>
      </w:r>
      <w:r>
        <w:rPr>
          <w:rFonts w:ascii="宋体" w:hAnsi="宋体" w:eastAsia="方正楷体_GBK" w:cs="方正楷体_GBK"/>
          <w:sz w:val="28"/>
          <w:szCs w:val="28"/>
        </w:rPr>
        <w:t>5</w:t>
      </w:r>
      <w:r>
        <w:rPr>
          <w:rFonts w:hint="eastAsia" w:ascii="宋体" w:hAnsi="宋体" w:eastAsia="方正楷体_GBK" w:cs="方正楷体_GBK"/>
          <w:sz w:val="28"/>
          <w:szCs w:val="28"/>
        </w:rPr>
        <w:fldChar w:fldCharType="end"/>
      </w:r>
      <w:r>
        <w:rPr>
          <w:rFonts w:hint="eastAsia" w:ascii="宋体" w:hAnsi="宋体" w:eastAsia="方正楷体_GBK" w:cs="方正楷体_GBK"/>
          <w:sz w:val="28"/>
          <w:szCs w:val="28"/>
        </w:rPr>
        <w:fldChar w:fldCharType="end"/>
      </w:r>
    </w:p>
    <w:p>
      <w:pPr>
        <w:pStyle w:val="43"/>
        <w:widowControl w:val="0"/>
        <w:tabs>
          <w:tab w:val="right" w:leader="dot" w:pos="9014"/>
        </w:tabs>
        <w:spacing w:line="594" w:lineRule="exact"/>
        <w:ind w:left="420"/>
        <w:rPr>
          <w:rFonts w:ascii="宋体" w:hAnsi="宋体"/>
          <w:sz w:val="28"/>
          <w:szCs w:val="28"/>
        </w:rPr>
      </w:pP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HYPERLINK \l _Toc17168 </w:instrText>
      </w:r>
      <w:r>
        <w:rPr>
          <w:rFonts w:hint="eastAsia" w:ascii="宋体" w:hAnsi="宋体" w:eastAsia="方正楷体_GBK" w:cs="方正楷体_GBK"/>
          <w:sz w:val="28"/>
          <w:szCs w:val="28"/>
        </w:rPr>
        <w:fldChar w:fldCharType="separate"/>
      </w:r>
      <w:r>
        <w:rPr>
          <w:rFonts w:hint="eastAsia" w:ascii="宋体" w:hAnsi="宋体" w:eastAsia="方正楷体_GBK" w:cs="方正楷体_GBK"/>
          <w:sz w:val="28"/>
          <w:szCs w:val="28"/>
        </w:rPr>
        <w:t>（三）总体目标</w:t>
      </w:r>
      <w:r>
        <w:rPr>
          <w:rFonts w:hint="eastAsia" w:ascii="宋体" w:hAnsi="宋体" w:eastAsia="方正楷体_GBK" w:cs="方正楷体_GBK"/>
          <w:sz w:val="28"/>
          <w:szCs w:val="28"/>
        </w:rPr>
        <w:tab/>
      </w: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PAGEREF _Toc17168 </w:instrText>
      </w:r>
      <w:r>
        <w:rPr>
          <w:rFonts w:hint="eastAsia" w:ascii="宋体" w:hAnsi="宋体" w:eastAsia="方正楷体_GBK" w:cs="方正楷体_GBK"/>
          <w:sz w:val="28"/>
          <w:szCs w:val="28"/>
        </w:rPr>
        <w:fldChar w:fldCharType="separate"/>
      </w:r>
      <w:r>
        <w:rPr>
          <w:rFonts w:ascii="宋体" w:hAnsi="宋体" w:eastAsia="方正楷体_GBK" w:cs="方正楷体_GBK"/>
          <w:sz w:val="28"/>
          <w:szCs w:val="28"/>
        </w:rPr>
        <w:t>6</w:t>
      </w:r>
      <w:r>
        <w:rPr>
          <w:rFonts w:hint="eastAsia" w:ascii="宋体" w:hAnsi="宋体" w:eastAsia="方正楷体_GBK" w:cs="方正楷体_GBK"/>
          <w:sz w:val="28"/>
          <w:szCs w:val="28"/>
        </w:rPr>
        <w:fldChar w:fldCharType="end"/>
      </w:r>
      <w:r>
        <w:rPr>
          <w:rFonts w:hint="eastAsia" w:ascii="宋体" w:hAnsi="宋体" w:eastAsia="方正楷体_GBK" w:cs="方正楷体_GBK"/>
          <w:sz w:val="28"/>
          <w:szCs w:val="28"/>
        </w:rPr>
        <w:fldChar w:fldCharType="end"/>
      </w:r>
    </w:p>
    <w:p>
      <w:pPr>
        <w:pStyle w:val="44"/>
        <w:widowControl w:val="0"/>
        <w:tabs>
          <w:tab w:val="right" w:leader="dot" w:pos="9014"/>
        </w:tabs>
        <w:spacing w:line="594" w:lineRule="exact"/>
        <w:rPr>
          <w:rFonts w:hint="eastAsia" w:ascii="宋体" w:hAnsi="宋体" w:eastAsia="方正黑体_GBK" w:cs="方正黑体_GBK"/>
          <w:bCs/>
          <w:sz w:val="28"/>
          <w:szCs w:val="28"/>
        </w:rPr>
      </w:pPr>
      <w:r>
        <w:rPr>
          <w:rFonts w:hint="eastAsia" w:ascii="宋体" w:hAnsi="宋体" w:eastAsia="方正黑体_GBK" w:cs="方正黑体_GBK"/>
          <w:bCs/>
          <w:sz w:val="28"/>
          <w:szCs w:val="28"/>
        </w:rPr>
        <w:fldChar w:fldCharType="begin"/>
      </w:r>
      <w:r>
        <w:rPr>
          <w:rFonts w:hint="eastAsia" w:ascii="宋体" w:hAnsi="宋体" w:eastAsia="方正黑体_GBK" w:cs="方正黑体_GBK"/>
          <w:bCs/>
          <w:sz w:val="28"/>
          <w:szCs w:val="28"/>
        </w:rPr>
        <w:instrText xml:space="preserve"> HYPERLINK \l _Toc1017 </w:instrText>
      </w:r>
      <w:r>
        <w:rPr>
          <w:rFonts w:hint="eastAsia" w:ascii="宋体" w:hAnsi="宋体" w:eastAsia="方正黑体_GBK" w:cs="方正黑体_GBK"/>
          <w:bCs/>
          <w:sz w:val="28"/>
          <w:szCs w:val="28"/>
        </w:rPr>
        <w:fldChar w:fldCharType="separate"/>
      </w:r>
      <w:r>
        <w:rPr>
          <w:rFonts w:hint="eastAsia" w:ascii="宋体" w:hAnsi="宋体" w:eastAsia="方正黑体_GBK" w:cs="方正黑体_GBK"/>
          <w:bCs/>
          <w:sz w:val="28"/>
          <w:szCs w:val="28"/>
        </w:rPr>
        <w:t>四、</w:t>
      </w:r>
      <w:r>
        <w:rPr>
          <w:rFonts w:hint="eastAsia" w:ascii="宋体" w:hAnsi="宋体" w:eastAsia="方正黑体_GBK" w:cs="方正黑体_GBK"/>
          <w:bCs/>
          <w:sz w:val="28"/>
          <w:szCs w:val="28"/>
          <w:lang w:val="en-US" w:eastAsia="zh-CN"/>
        </w:rPr>
        <w:t>重点任务</w:t>
      </w:r>
      <w:r>
        <w:rPr>
          <w:rFonts w:hint="eastAsia" w:ascii="宋体" w:hAnsi="宋体" w:eastAsia="方正黑体_GBK" w:cs="方正黑体_GBK"/>
          <w:bCs/>
          <w:sz w:val="28"/>
          <w:szCs w:val="28"/>
        </w:rPr>
        <w:tab/>
      </w:r>
      <w:r>
        <w:rPr>
          <w:rFonts w:hint="eastAsia" w:ascii="宋体" w:hAnsi="宋体" w:eastAsia="方正黑体_GBK" w:cs="方正黑体_GBK"/>
          <w:bCs/>
          <w:sz w:val="28"/>
          <w:szCs w:val="28"/>
        </w:rPr>
        <w:fldChar w:fldCharType="begin"/>
      </w:r>
      <w:r>
        <w:rPr>
          <w:rFonts w:hint="eastAsia" w:ascii="宋体" w:hAnsi="宋体" w:eastAsia="方正黑体_GBK" w:cs="方正黑体_GBK"/>
          <w:bCs/>
          <w:sz w:val="28"/>
          <w:szCs w:val="28"/>
        </w:rPr>
        <w:instrText xml:space="preserve"> PAGEREF _Toc1017 </w:instrText>
      </w:r>
      <w:r>
        <w:rPr>
          <w:rFonts w:hint="eastAsia" w:ascii="宋体" w:hAnsi="宋体" w:eastAsia="方正黑体_GBK" w:cs="方正黑体_GBK"/>
          <w:bCs/>
          <w:sz w:val="28"/>
          <w:szCs w:val="28"/>
        </w:rPr>
        <w:fldChar w:fldCharType="separate"/>
      </w:r>
      <w:r>
        <w:rPr>
          <w:rFonts w:ascii="宋体" w:hAnsi="宋体" w:eastAsia="方正黑体_GBK" w:cs="方正黑体_GBK"/>
          <w:bCs/>
          <w:sz w:val="28"/>
          <w:szCs w:val="28"/>
        </w:rPr>
        <w:t>10</w:t>
      </w:r>
      <w:r>
        <w:rPr>
          <w:rFonts w:hint="eastAsia" w:ascii="宋体" w:hAnsi="宋体" w:eastAsia="方正黑体_GBK" w:cs="方正黑体_GBK"/>
          <w:bCs/>
          <w:sz w:val="28"/>
          <w:szCs w:val="28"/>
        </w:rPr>
        <w:fldChar w:fldCharType="end"/>
      </w:r>
      <w:r>
        <w:rPr>
          <w:rFonts w:hint="eastAsia" w:ascii="宋体" w:hAnsi="宋体" w:eastAsia="方正黑体_GBK" w:cs="方正黑体_GBK"/>
          <w:bCs/>
          <w:sz w:val="28"/>
          <w:szCs w:val="28"/>
        </w:rPr>
        <w:fldChar w:fldCharType="end"/>
      </w:r>
    </w:p>
    <w:p>
      <w:pPr>
        <w:pStyle w:val="43"/>
        <w:widowControl w:val="0"/>
        <w:tabs>
          <w:tab w:val="right" w:leader="dot" w:pos="9014"/>
        </w:tabs>
        <w:spacing w:line="594" w:lineRule="exact"/>
        <w:ind w:left="420"/>
        <w:rPr>
          <w:rFonts w:hint="eastAsia" w:ascii="宋体" w:hAnsi="宋体" w:eastAsia="方正楷体_GBK" w:cs="方正楷体_GBK"/>
          <w:sz w:val="28"/>
          <w:szCs w:val="28"/>
        </w:rPr>
      </w:pP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HYPERLINK \l _Toc25299 </w:instrText>
      </w:r>
      <w:r>
        <w:rPr>
          <w:rFonts w:hint="eastAsia" w:ascii="宋体" w:hAnsi="宋体" w:eastAsia="方正楷体_GBK" w:cs="方正楷体_GBK"/>
          <w:sz w:val="28"/>
          <w:szCs w:val="28"/>
        </w:rPr>
        <w:fldChar w:fldCharType="separate"/>
      </w:r>
      <w:r>
        <w:rPr>
          <w:rFonts w:hint="eastAsia" w:ascii="宋体" w:hAnsi="宋体" w:eastAsia="方正楷体_GBK" w:cs="方正楷体_GBK"/>
          <w:sz w:val="28"/>
          <w:szCs w:val="28"/>
        </w:rPr>
        <w:t>（</w:t>
      </w:r>
      <w:r>
        <w:rPr>
          <w:rFonts w:hint="eastAsia" w:ascii="宋体" w:hAnsi="宋体" w:eastAsia="方正楷体_GBK" w:cs="方正楷体_GBK"/>
          <w:sz w:val="28"/>
          <w:szCs w:val="28"/>
          <w:lang w:eastAsia="zh-CN"/>
        </w:rPr>
        <w:t>一</w:t>
      </w:r>
      <w:r>
        <w:rPr>
          <w:rFonts w:hint="eastAsia" w:ascii="宋体" w:hAnsi="宋体" w:eastAsia="方正楷体_GBK" w:cs="方正楷体_GBK"/>
          <w:sz w:val="28"/>
          <w:szCs w:val="28"/>
        </w:rPr>
        <w:t>）</w:t>
      </w:r>
      <w:r>
        <w:rPr>
          <w:rFonts w:hint="eastAsia" w:ascii="宋体" w:hAnsi="宋体" w:eastAsia="方正楷体_GBK" w:cs="方正楷体_GBK"/>
          <w:sz w:val="28"/>
          <w:szCs w:val="28"/>
          <w:lang w:val="en-US" w:eastAsia="zh-CN"/>
        </w:rPr>
        <w:t>完善智慧城市基础设施、夯实智慧城市基石</w:t>
      </w:r>
      <w:r>
        <w:rPr>
          <w:rFonts w:hint="eastAsia" w:ascii="宋体" w:hAnsi="宋体" w:eastAsia="方正楷体_GBK" w:cs="方正楷体_GBK"/>
          <w:sz w:val="28"/>
          <w:szCs w:val="28"/>
        </w:rPr>
        <w:tab/>
      </w: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PAGEREF _Toc25299 </w:instrText>
      </w:r>
      <w:r>
        <w:rPr>
          <w:rFonts w:hint="eastAsia" w:ascii="宋体" w:hAnsi="宋体" w:eastAsia="方正楷体_GBK" w:cs="方正楷体_GBK"/>
          <w:sz w:val="28"/>
          <w:szCs w:val="28"/>
        </w:rPr>
        <w:fldChar w:fldCharType="separate"/>
      </w:r>
      <w:r>
        <w:rPr>
          <w:rFonts w:ascii="宋体" w:hAnsi="宋体" w:eastAsia="方正楷体_GBK" w:cs="方正楷体_GBK"/>
          <w:sz w:val="28"/>
          <w:szCs w:val="28"/>
        </w:rPr>
        <w:t>10</w:t>
      </w:r>
      <w:r>
        <w:rPr>
          <w:rFonts w:hint="eastAsia" w:ascii="宋体" w:hAnsi="宋体" w:eastAsia="方正楷体_GBK" w:cs="方正楷体_GBK"/>
          <w:sz w:val="28"/>
          <w:szCs w:val="28"/>
        </w:rPr>
        <w:fldChar w:fldCharType="end"/>
      </w:r>
      <w:r>
        <w:rPr>
          <w:rFonts w:hint="eastAsia" w:ascii="宋体" w:hAnsi="宋体" w:eastAsia="方正楷体_GBK" w:cs="方正楷体_GBK"/>
          <w:sz w:val="28"/>
          <w:szCs w:val="28"/>
        </w:rPr>
        <w:fldChar w:fldCharType="end"/>
      </w:r>
    </w:p>
    <w:p>
      <w:pPr>
        <w:pStyle w:val="43"/>
        <w:widowControl w:val="0"/>
        <w:tabs>
          <w:tab w:val="right" w:leader="dot" w:pos="9014"/>
        </w:tabs>
        <w:spacing w:line="594" w:lineRule="exact"/>
        <w:ind w:left="420"/>
        <w:rPr>
          <w:rFonts w:hint="eastAsia" w:ascii="宋体" w:hAnsi="宋体" w:eastAsia="方正楷体_GBK" w:cs="方正楷体_GBK"/>
          <w:sz w:val="28"/>
          <w:szCs w:val="28"/>
        </w:rPr>
      </w:pP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HYPERLINK \l _Toc12022 </w:instrText>
      </w:r>
      <w:r>
        <w:rPr>
          <w:rFonts w:hint="eastAsia" w:ascii="宋体" w:hAnsi="宋体" w:eastAsia="方正楷体_GBK" w:cs="方正楷体_GBK"/>
          <w:sz w:val="28"/>
          <w:szCs w:val="28"/>
        </w:rPr>
        <w:fldChar w:fldCharType="separate"/>
      </w:r>
      <w:r>
        <w:rPr>
          <w:rFonts w:hint="eastAsia" w:ascii="宋体" w:hAnsi="宋体" w:eastAsia="方正楷体_GBK" w:cs="方正楷体_GBK"/>
          <w:sz w:val="28"/>
          <w:szCs w:val="28"/>
        </w:rPr>
        <w:t>（</w:t>
      </w:r>
      <w:r>
        <w:rPr>
          <w:rFonts w:hint="eastAsia" w:ascii="宋体" w:hAnsi="宋体" w:eastAsia="方正楷体_GBK" w:cs="方正楷体_GBK"/>
          <w:sz w:val="28"/>
          <w:szCs w:val="28"/>
          <w:lang w:eastAsia="zh-CN"/>
        </w:rPr>
        <w:t>二</w:t>
      </w:r>
      <w:r>
        <w:rPr>
          <w:rFonts w:hint="eastAsia" w:ascii="宋体" w:hAnsi="宋体" w:eastAsia="方正楷体_GBK" w:cs="方正楷体_GBK"/>
          <w:sz w:val="28"/>
          <w:szCs w:val="28"/>
        </w:rPr>
        <w:t>）</w:t>
      </w:r>
      <w:r>
        <w:rPr>
          <w:rFonts w:hint="eastAsia" w:ascii="宋体" w:hAnsi="宋体" w:eastAsia="方正楷体_GBK" w:cs="方正楷体_GBK"/>
          <w:sz w:val="28"/>
          <w:szCs w:val="28"/>
          <w:lang w:val="en-US" w:eastAsia="zh-CN"/>
        </w:rPr>
        <w:t>强化民生服务、建设生态宜居城市</w:t>
      </w:r>
      <w:r>
        <w:rPr>
          <w:rFonts w:hint="eastAsia" w:ascii="宋体" w:hAnsi="宋体" w:eastAsia="方正楷体_GBK" w:cs="方正楷体_GBK"/>
          <w:sz w:val="28"/>
          <w:szCs w:val="28"/>
        </w:rPr>
        <w:tab/>
      </w: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PAGEREF _Toc12022 </w:instrText>
      </w:r>
      <w:r>
        <w:rPr>
          <w:rFonts w:hint="eastAsia" w:ascii="宋体" w:hAnsi="宋体" w:eastAsia="方正楷体_GBK" w:cs="方正楷体_GBK"/>
          <w:sz w:val="28"/>
          <w:szCs w:val="28"/>
        </w:rPr>
        <w:fldChar w:fldCharType="separate"/>
      </w:r>
      <w:r>
        <w:rPr>
          <w:rFonts w:ascii="宋体" w:hAnsi="宋体" w:eastAsia="方正楷体_GBK" w:cs="方正楷体_GBK"/>
          <w:sz w:val="28"/>
          <w:szCs w:val="28"/>
        </w:rPr>
        <w:t>20</w:t>
      </w:r>
      <w:r>
        <w:rPr>
          <w:rFonts w:hint="eastAsia" w:ascii="宋体" w:hAnsi="宋体" w:eastAsia="方正楷体_GBK" w:cs="方正楷体_GBK"/>
          <w:sz w:val="28"/>
          <w:szCs w:val="28"/>
        </w:rPr>
        <w:fldChar w:fldCharType="end"/>
      </w:r>
      <w:r>
        <w:rPr>
          <w:rFonts w:hint="eastAsia" w:ascii="宋体" w:hAnsi="宋体" w:eastAsia="方正楷体_GBK" w:cs="方正楷体_GBK"/>
          <w:sz w:val="28"/>
          <w:szCs w:val="28"/>
        </w:rPr>
        <w:fldChar w:fldCharType="end"/>
      </w:r>
    </w:p>
    <w:p>
      <w:pPr>
        <w:pStyle w:val="43"/>
        <w:widowControl w:val="0"/>
        <w:tabs>
          <w:tab w:val="right" w:leader="dot" w:pos="9014"/>
        </w:tabs>
        <w:spacing w:line="594" w:lineRule="exact"/>
        <w:ind w:left="420"/>
        <w:rPr>
          <w:rFonts w:hint="eastAsia" w:ascii="宋体" w:hAnsi="宋体" w:eastAsia="方正楷体_GBK" w:cs="方正楷体_GBK"/>
          <w:sz w:val="28"/>
          <w:szCs w:val="28"/>
        </w:rPr>
      </w:pP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HYPERLINK \l _Toc26662 </w:instrText>
      </w:r>
      <w:r>
        <w:rPr>
          <w:rFonts w:hint="eastAsia" w:ascii="宋体" w:hAnsi="宋体" w:eastAsia="方正楷体_GBK" w:cs="方正楷体_GBK"/>
          <w:sz w:val="28"/>
          <w:szCs w:val="28"/>
        </w:rPr>
        <w:fldChar w:fldCharType="separate"/>
      </w:r>
      <w:r>
        <w:rPr>
          <w:rFonts w:hint="eastAsia" w:ascii="宋体" w:hAnsi="宋体" w:eastAsia="方正楷体_GBK" w:cs="方正楷体_GBK"/>
          <w:sz w:val="28"/>
          <w:szCs w:val="28"/>
        </w:rPr>
        <w:t>（三）</w:t>
      </w:r>
      <w:r>
        <w:rPr>
          <w:rFonts w:hint="eastAsia" w:ascii="宋体" w:hAnsi="宋体" w:eastAsia="方正楷体_GBK" w:cs="方正楷体_GBK"/>
          <w:sz w:val="28"/>
          <w:szCs w:val="28"/>
          <w:lang w:val="en-US" w:eastAsia="zh-CN"/>
        </w:rPr>
        <w:t>优化政府管理、提升政府服务效能</w:t>
      </w:r>
      <w:r>
        <w:rPr>
          <w:rFonts w:hint="eastAsia" w:ascii="宋体" w:hAnsi="宋体" w:eastAsia="方正楷体_GBK" w:cs="方正楷体_GBK"/>
          <w:sz w:val="28"/>
          <w:szCs w:val="28"/>
        </w:rPr>
        <w:tab/>
      </w: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PAGEREF _Toc26662 </w:instrText>
      </w:r>
      <w:r>
        <w:rPr>
          <w:rFonts w:hint="eastAsia" w:ascii="宋体" w:hAnsi="宋体" w:eastAsia="方正楷体_GBK" w:cs="方正楷体_GBK"/>
          <w:sz w:val="28"/>
          <w:szCs w:val="28"/>
        </w:rPr>
        <w:fldChar w:fldCharType="separate"/>
      </w:r>
      <w:r>
        <w:rPr>
          <w:rFonts w:ascii="宋体" w:hAnsi="宋体" w:eastAsia="方正楷体_GBK" w:cs="方正楷体_GBK"/>
          <w:sz w:val="28"/>
          <w:szCs w:val="28"/>
        </w:rPr>
        <w:t>25</w:t>
      </w:r>
      <w:r>
        <w:rPr>
          <w:rFonts w:hint="eastAsia" w:ascii="宋体" w:hAnsi="宋体" w:eastAsia="方正楷体_GBK" w:cs="方正楷体_GBK"/>
          <w:sz w:val="28"/>
          <w:szCs w:val="28"/>
        </w:rPr>
        <w:fldChar w:fldCharType="end"/>
      </w:r>
      <w:r>
        <w:rPr>
          <w:rFonts w:hint="eastAsia" w:ascii="宋体" w:hAnsi="宋体" w:eastAsia="方正楷体_GBK" w:cs="方正楷体_GBK"/>
          <w:sz w:val="28"/>
          <w:szCs w:val="28"/>
        </w:rPr>
        <w:fldChar w:fldCharType="end"/>
      </w:r>
    </w:p>
    <w:p>
      <w:pPr>
        <w:pStyle w:val="43"/>
        <w:widowControl w:val="0"/>
        <w:tabs>
          <w:tab w:val="right" w:leader="dot" w:pos="9014"/>
        </w:tabs>
        <w:spacing w:line="594" w:lineRule="exact"/>
        <w:ind w:left="420"/>
        <w:rPr>
          <w:rFonts w:hint="eastAsia" w:ascii="宋体" w:hAnsi="宋体" w:eastAsia="方正楷体_GBK" w:cs="方正楷体_GBK"/>
          <w:sz w:val="28"/>
          <w:szCs w:val="28"/>
        </w:rPr>
      </w:pP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HYPERLINK \l _Toc7354 </w:instrText>
      </w:r>
      <w:r>
        <w:rPr>
          <w:rFonts w:hint="eastAsia" w:ascii="宋体" w:hAnsi="宋体" w:eastAsia="方正楷体_GBK" w:cs="方正楷体_GBK"/>
          <w:sz w:val="28"/>
          <w:szCs w:val="28"/>
        </w:rPr>
        <w:fldChar w:fldCharType="separate"/>
      </w:r>
      <w:r>
        <w:rPr>
          <w:rFonts w:hint="eastAsia" w:ascii="宋体" w:hAnsi="宋体" w:eastAsia="方正楷体_GBK" w:cs="方正楷体_GBK"/>
          <w:sz w:val="28"/>
          <w:szCs w:val="28"/>
        </w:rPr>
        <w:t>（四）</w:t>
      </w:r>
      <w:r>
        <w:rPr>
          <w:rFonts w:hint="eastAsia" w:ascii="宋体" w:hAnsi="宋体" w:eastAsia="方正楷体_GBK" w:cs="方正楷体_GBK"/>
          <w:sz w:val="28"/>
          <w:szCs w:val="28"/>
          <w:lang w:val="en-US" w:eastAsia="zh-CN"/>
        </w:rPr>
        <w:t>促进</w:t>
      </w:r>
      <w:r>
        <w:rPr>
          <w:rFonts w:hint="eastAsia" w:ascii="宋体" w:hAnsi="宋体" w:eastAsia="方正楷体_GBK" w:cs="方正楷体_GBK"/>
          <w:sz w:val="28"/>
          <w:szCs w:val="28"/>
        </w:rPr>
        <w:t>产业融合</w:t>
      </w:r>
      <w:r>
        <w:rPr>
          <w:rFonts w:hint="eastAsia" w:ascii="宋体" w:hAnsi="宋体" w:eastAsia="方正楷体_GBK" w:cs="方正楷体_GBK"/>
          <w:sz w:val="28"/>
          <w:szCs w:val="28"/>
          <w:lang w:eastAsia="zh-CN"/>
        </w:rPr>
        <w:t>，</w:t>
      </w:r>
      <w:r>
        <w:rPr>
          <w:rFonts w:hint="eastAsia" w:ascii="宋体" w:hAnsi="宋体" w:eastAsia="方正楷体_GBK" w:cs="方正楷体_GBK"/>
          <w:sz w:val="28"/>
          <w:szCs w:val="28"/>
          <w:lang w:val="en-US" w:eastAsia="zh-CN"/>
        </w:rPr>
        <w:t>助推黔江经济腾飞</w:t>
      </w:r>
      <w:r>
        <w:rPr>
          <w:rFonts w:hint="eastAsia" w:ascii="宋体" w:hAnsi="宋体" w:eastAsia="方正楷体_GBK" w:cs="方正楷体_GBK"/>
          <w:sz w:val="28"/>
          <w:szCs w:val="28"/>
        </w:rPr>
        <w:tab/>
      </w: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PAGEREF _Toc7354 </w:instrText>
      </w:r>
      <w:r>
        <w:rPr>
          <w:rFonts w:hint="eastAsia" w:ascii="宋体" w:hAnsi="宋体" w:eastAsia="方正楷体_GBK" w:cs="方正楷体_GBK"/>
          <w:sz w:val="28"/>
          <w:szCs w:val="28"/>
        </w:rPr>
        <w:fldChar w:fldCharType="separate"/>
      </w:r>
      <w:r>
        <w:rPr>
          <w:rFonts w:ascii="宋体" w:hAnsi="宋体" w:eastAsia="方正楷体_GBK" w:cs="方正楷体_GBK"/>
          <w:sz w:val="28"/>
          <w:szCs w:val="28"/>
        </w:rPr>
        <w:t>29</w:t>
      </w:r>
      <w:r>
        <w:rPr>
          <w:rFonts w:hint="eastAsia" w:ascii="宋体" w:hAnsi="宋体" w:eastAsia="方正楷体_GBK" w:cs="方正楷体_GBK"/>
          <w:sz w:val="28"/>
          <w:szCs w:val="28"/>
        </w:rPr>
        <w:fldChar w:fldCharType="end"/>
      </w:r>
      <w:r>
        <w:rPr>
          <w:rFonts w:hint="eastAsia" w:ascii="宋体" w:hAnsi="宋体" w:eastAsia="方正楷体_GBK" w:cs="方正楷体_GBK"/>
          <w:sz w:val="28"/>
          <w:szCs w:val="28"/>
        </w:rPr>
        <w:fldChar w:fldCharType="end"/>
      </w:r>
    </w:p>
    <w:p>
      <w:pPr>
        <w:pStyle w:val="43"/>
        <w:widowControl w:val="0"/>
        <w:tabs>
          <w:tab w:val="right" w:leader="dot" w:pos="9014"/>
        </w:tabs>
        <w:spacing w:line="594" w:lineRule="exact"/>
        <w:ind w:left="420"/>
        <w:rPr>
          <w:rFonts w:hint="eastAsia" w:ascii="宋体" w:hAnsi="宋体" w:eastAsia="方正楷体_GBK" w:cs="方正楷体_GBK"/>
          <w:sz w:val="28"/>
          <w:szCs w:val="28"/>
        </w:rPr>
      </w:pP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HYPERLINK \l _Toc29635 </w:instrText>
      </w:r>
      <w:r>
        <w:rPr>
          <w:rFonts w:hint="eastAsia" w:ascii="宋体" w:hAnsi="宋体" w:eastAsia="方正楷体_GBK" w:cs="方正楷体_GBK"/>
          <w:sz w:val="28"/>
          <w:szCs w:val="28"/>
        </w:rPr>
        <w:fldChar w:fldCharType="separate"/>
      </w:r>
      <w:r>
        <w:rPr>
          <w:rFonts w:hint="eastAsia" w:ascii="宋体" w:hAnsi="宋体" w:eastAsia="方正楷体_GBK" w:cs="方正楷体_GBK"/>
          <w:sz w:val="28"/>
          <w:szCs w:val="28"/>
        </w:rPr>
        <w:t>（五）</w:t>
      </w:r>
      <w:r>
        <w:rPr>
          <w:rFonts w:hint="eastAsia" w:ascii="宋体" w:hAnsi="宋体" w:eastAsia="方正楷体_GBK" w:cs="方正楷体_GBK"/>
          <w:sz w:val="28"/>
          <w:szCs w:val="28"/>
          <w:lang w:val="en-US" w:eastAsia="zh-CN"/>
        </w:rPr>
        <w:t>提升公共产品，增强公共服务质量</w:t>
      </w:r>
      <w:r>
        <w:rPr>
          <w:rFonts w:hint="eastAsia" w:ascii="宋体" w:hAnsi="宋体" w:eastAsia="方正楷体_GBK" w:cs="方正楷体_GBK"/>
          <w:sz w:val="28"/>
          <w:szCs w:val="28"/>
        </w:rPr>
        <w:tab/>
      </w: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PAGEREF _Toc29635 </w:instrText>
      </w:r>
      <w:r>
        <w:rPr>
          <w:rFonts w:hint="eastAsia" w:ascii="宋体" w:hAnsi="宋体" w:eastAsia="方正楷体_GBK" w:cs="方正楷体_GBK"/>
          <w:sz w:val="28"/>
          <w:szCs w:val="28"/>
        </w:rPr>
        <w:fldChar w:fldCharType="separate"/>
      </w:r>
      <w:r>
        <w:rPr>
          <w:rFonts w:ascii="宋体" w:hAnsi="宋体" w:eastAsia="方正楷体_GBK" w:cs="方正楷体_GBK"/>
          <w:sz w:val="28"/>
          <w:szCs w:val="28"/>
        </w:rPr>
        <w:t>39</w:t>
      </w:r>
      <w:r>
        <w:rPr>
          <w:rFonts w:hint="eastAsia" w:ascii="宋体" w:hAnsi="宋体" w:eastAsia="方正楷体_GBK" w:cs="方正楷体_GBK"/>
          <w:sz w:val="28"/>
          <w:szCs w:val="28"/>
        </w:rPr>
        <w:fldChar w:fldCharType="end"/>
      </w:r>
      <w:r>
        <w:rPr>
          <w:rFonts w:hint="eastAsia" w:ascii="宋体" w:hAnsi="宋体" w:eastAsia="方正楷体_GBK" w:cs="方正楷体_GBK"/>
          <w:sz w:val="28"/>
          <w:szCs w:val="28"/>
        </w:rPr>
        <w:fldChar w:fldCharType="end"/>
      </w:r>
    </w:p>
    <w:p>
      <w:pPr>
        <w:pStyle w:val="43"/>
        <w:widowControl w:val="0"/>
        <w:tabs>
          <w:tab w:val="right" w:leader="dot" w:pos="9014"/>
        </w:tabs>
        <w:spacing w:line="594" w:lineRule="exact"/>
        <w:ind w:left="420"/>
        <w:rPr>
          <w:rFonts w:ascii="宋体" w:hAnsi="宋体"/>
          <w:sz w:val="28"/>
          <w:szCs w:val="28"/>
        </w:rPr>
      </w:pP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HYPERLINK \l _Toc4298 </w:instrText>
      </w:r>
      <w:r>
        <w:rPr>
          <w:rFonts w:hint="eastAsia" w:ascii="宋体" w:hAnsi="宋体" w:eastAsia="方正楷体_GBK" w:cs="方正楷体_GBK"/>
          <w:sz w:val="28"/>
          <w:szCs w:val="28"/>
        </w:rPr>
        <w:fldChar w:fldCharType="separate"/>
      </w:r>
      <w:r>
        <w:rPr>
          <w:rFonts w:hint="eastAsia" w:ascii="宋体" w:hAnsi="宋体" w:eastAsia="方正楷体_GBK" w:cs="方正楷体_GBK"/>
          <w:sz w:val="28"/>
          <w:szCs w:val="28"/>
        </w:rPr>
        <w:t>（</w:t>
      </w:r>
      <w:r>
        <w:rPr>
          <w:rFonts w:hint="eastAsia" w:ascii="宋体" w:hAnsi="宋体" w:eastAsia="方正楷体_GBK" w:cs="方正楷体_GBK"/>
          <w:sz w:val="28"/>
          <w:szCs w:val="28"/>
          <w:lang w:val="en-US" w:eastAsia="zh-CN"/>
        </w:rPr>
        <w:t>六</w:t>
      </w:r>
      <w:r>
        <w:rPr>
          <w:rFonts w:hint="eastAsia" w:ascii="宋体" w:hAnsi="宋体" w:eastAsia="方正楷体_GBK" w:cs="方正楷体_GBK"/>
          <w:sz w:val="28"/>
          <w:szCs w:val="28"/>
        </w:rPr>
        <w:t>）</w:t>
      </w:r>
      <w:r>
        <w:rPr>
          <w:rFonts w:hint="eastAsia" w:ascii="宋体" w:hAnsi="宋体" w:eastAsia="方正楷体_GBK" w:cs="方正楷体_GBK"/>
          <w:sz w:val="28"/>
          <w:szCs w:val="28"/>
          <w:lang w:val="en-US" w:eastAsia="zh-CN"/>
        </w:rPr>
        <w:t>推进社会治理，创新深化“平安黔江”</w:t>
      </w:r>
      <w:r>
        <w:rPr>
          <w:rFonts w:hint="eastAsia" w:ascii="宋体" w:hAnsi="宋体" w:eastAsia="方正楷体_GBK" w:cs="方正楷体_GBK"/>
          <w:sz w:val="28"/>
          <w:szCs w:val="28"/>
        </w:rPr>
        <w:tab/>
      </w: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PAGEREF _Toc4298 </w:instrText>
      </w:r>
      <w:r>
        <w:rPr>
          <w:rFonts w:hint="eastAsia" w:ascii="宋体" w:hAnsi="宋体" w:eastAsia="方正楷体_GBK" w:cs="方正楷体_GBK"/>
          <w:sz w:val="28"/>
          <w:szCs w:val="28"/>
        </w:rPr>
        <w:fldChar w:fldCharType="separate"/>
      </w:r>
      <w:r>
        <w:rPr>
          <w:rFonts w:ascii="宋体" w:hAnsi="宋体" w:eastAsia="方正楷体_GBK" w:cs="方正楷体_GBK"/>
          <w:sz w:val="28"/>
          <w:szCs w:val="28"/>
        </w:rPr>
        <w:t>46</w:t>
      </w:r>
      <w:r>
        <w:rPr>
          <w:rFonts w:hint="eastAsia" w:ascii="宋体" w:hAnsi="宋体" w:eastAsia="方正楷体_GBK" w:cs="方正楷体_GBK"/>
          <w:sz w:val="28"/>
          <w:szCs w:val="28"/>
        </w:rPr>
        <w:fldChar w:fldCharType="end"/>
      </w:r>
      <w:r>
        <w:rPr>
          <w:rFonts w:hint="eastAsia" w:ascii="宋体" w:hAnsi="宋体" w:eastAsia="方正楷体_GBK" w:cs="方正楷体_GBK"/>
          <w:sz w:val="28"/>
          <w:szCs w:val="28"/>
        </w:rPr>
        <w:fldChar w:fldCharType="end"/>
      </w:r>
    </w:p>
    <w:p>
      <w:pPr>
        <w:pStyle w:val="44"/>
        <w:widowControl w:val="0"/>
        <w:tabs>
          <w:tab w:val="right" w:leader="dot" w:pos="9014"/>
        </w:tabs>
        <w:spacing w:line="594" w:lineRule="exact"/>
        <w:rPr>
          <w:rFonts w:hint="eastAsia" w:ascii="宋体" w:hAnsi="宋体" w:eastAsia="方正黑体_GBK" w:cs="方正黑体_GBK"/>
          <w:b/>
          <w:sz w:val="28"/>
          <w:szCs w:val="28"/>
        </w:rPr>
      </w:pPr>
      <w:r>
        <w:rPr>
          <w:rFonts w:hint="eastAsia" w:ascii="宋体" w:hAnsi="宋体" w:eastAsia="方正黑体_GBK" w:cs="方正黑体_GBK"/>
          <w:b/>
          <w:sz w:val="28"/>
          <w:szCs w:val="28"/>
        </w:rPr>
        <w:fldChar w:fldCharType="begin"/>
      </w:r>
      <w:r>
        <w:rPr>
          <w:rFonts w:hint="eastAsia" w:ascii="宋体" w:hAnsi="宋体" w:eastAsia="方正黑体_GBK" w:cs="方正黑体_GBK"/>
          <w:b/>
          <w:sz w:val="28"/>
          <w:szCs w:val="28"/>
        </w:rPr>
        <w:instrText xml:space="preserve"> HYPERLINK \l _Toc4613 </w:instrText>
      </w:r>
      <w:r>
        <w:rPr>
          <w:rFonts w:hint="eastAsia" w:ascii="宋体" w:hAnsi="宋体" w:eastAsia="方正黑体_GBK" w:cs="方正黑体_GBK"/>
          <w:b/>
          <w:sz w:val="28"/>
          <w:szCs w:val="28"/>
        </w:rPr>
        <w:fldChar w:fldCharType="separate"/>
      </w:r>
      <w:r>
        <w:rPr>
          <w:rFonts w:hint="eastAsia" w:ascii="宋体" w:hAnsi="宋体" w:eastAsia="方正黑体_GBK" w:cs="方正黑体_GBK"/>
          <w:bCs/>
          <w:sz w:val="28"/>
          <w:szCs w:val="28"/>
          <w:lang w:val="en-US" w:eastAsia="zh-CN"/>
        </w:rPr>
        <w:t>五</w:t>
      </w:r>
      <w:r>
        <w:rPr>
          <w:rFonts w:hint="eastAsia" w:ascii="宋体" w:hAnsi="宋体" w:eastAsia="方正黑体_GBK" w:cs="方正黑体_GBK"/>
          <w:bCs/>
          <w:sz w:val="28"/>
          <w:szCs w:val="28"/>
        </w:rPr>
        <w:t>、保障措施</w:t>
      </w:r>
      <w:r>
        <w:rPr>
          <w:rFonts w:hint="eastAsia" w:ascii="宋体" w:hAnsi="宋体" w:eastAsia="方正黑体_GBK" w:cs="方正黑体_GBK"/>
          <w:bCs/>
          <w:sz w:val="28"/>
          <w:szCs w:val="28"/>
        </w:rPr>
        <w:tab/>
      </w:r>
      <w:r>
        <w:rPr>
          <w:rFonts w:hint="eastAsia" w:ascii="宋体" w:hAnsi="宋体" w:eastAsia="方正黑体_GBK" w:cs="方正黑体_GBK"/>
          <w:bCs/>
          <w:sz w:val="28"/>
          <w:szCs w:val="28"/>
        </w:rPr>
        <w:fldChar w:fldCharType="begin"/>
      </w:r>
      <w:r>
        <w:rPr>
          <w:rFonts w:hint="eastAsia" w:ascii="宋体" w:hAnsi="宋体" w:eastAsia="方正黑体_GBK" w:cs="方正黑体_GBK"/>
          <w:bCs/>
          <w:sz w:val="28"/>
          <w:szCs w:val="28"/>
        </w:rPr>
        <w:instrText xml:space="preserve"> PAGEREF _Toc4613 </w:instrText>
      </w:r>
      <w:r>
        <w:rPr>
          <w:rFonts w:hint="eastAsia" w:ascii="宋体" w:hAnsi="宋体" w:eastAsia="方正黑体_GBK" w:cs="方正黑体_GBK"/>
          <w:bCs/>
          <w:sz w:val="28"/>
          <w:szCs w:val="28"/>
        </w:rPr>
        <w:fldChar w:fldCharType="separate"/>
      </w:r>
      <w:r>
        <w:rPr>
          <w:rFonts w:ascii="宋体" w:hAnsi="宋体" w:eastAsia="方正黑体_GBK" w:cs="方正黑体_GBK"/>
          <w:bCs/>
          <w:sz w:val="28"/>
          <w:szCs w:val="28"/>
        </w:rPr>
        <w:t>52</w:t>
      </w:r>
      <w:r>
        <w:rPr>
          <w:rFonts w:hint="eastAsia" w:ascii="宋体" w:hAnsi="宋体" w:eastAsia="方正黑体_GBK" w:cs="方正黑体_GBK"/>
          <w:bCs/>
          <w:sz w:val="28"/>
          <w:szCs w:val="28"/>
        </w:rPr>
        <w:fldChar w:fldCharType="end"/>
      </w:r>
      <w:r>
        <w:rPr>
          <w:rFonts w:hint="eastAsia" w:ascii="宋体" w:hAnsi="宋体" w:eastAsia="方正黑体_GBK" w:cs="方正黑体_GBK"/>
          <w:b/>
          <w:sz w:val="28"/>
          <w:szCs w:val="28"/>
        </w:rPr>
        <w:fldChar w:fldCharType="end"/>
      </w:r>
    </w:p>
    <w:p>
      <w:pPr>
        <w:pStyle w:val="43"/>
        <w:widowControl w:val="0"/>
        <w:tabs>
          <w:tab w:val="right" w:leader="dot" w:pos="9014"/>
        </w:tabs>
        <w:spacing w:line="594" w:lineRule="exact"/>
        <w:ind w:left="420"/>
        <w:rPr>
          <w:rFonts w:hint="eastAsia" w:ascii="宋体" w:hAnsi="宋体" w:eastAsia="方正楷体_GBK" w:cs="方正楷体_GBK"/>
          <w:sz w:val="28"/>
          <w:szCs w:val="28"/>
        </w:rPr>
      </w:pP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HYPERLINK \l _Toc2386 </w:instrText>
      </w:r>
      <w:r>
        <w:rPr>
          <w:rFonts w:hint="eastAsia" w:ascii="宋体" w:hAnsi="宋体" w:eastAsia="方正楷体_GBK" w:cs="方正楷体_GBK"/>
          <w:sz w:val="28"/>
          <w:szCs w:val="28"/>
        </w:rPr>
        <w:fldChar w:fldCharType="separate"/>
      </w:r>
      <w:r>
        <w:rPr>
          <w:rFonts w:hint="eastAsia" w:ascii="宋体" w:hAnsi="宋体" w:eastAsia="方正楷体_GBK" w:cs="方正楷体_GBK"/>
          <w:sz w:val="28"/>
          <w:szCs w:val="28"/>
        </w:rPr>
        <w:t>（一）加强组织领导</w:t>
      </w:r>
      <w:r>
        <w:rPr>
          <w:rFonts w:hint="eastAsia" w:ascii="宋体" w:hAnsi="宋体" w:eastAsia="方正楷体_GBK" w:cs="方正楷体_GBK"/>
          <w:sz w:val="28"/>
          <w:szCs w:val="28"/>
        </w:rPr>
        <w:tab/>
      </w: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PAGEREF _Toc2386 </w:instrText>
      </w:r>
      <w:r>
        <w:rPr>
          <w:rFonts w:hint="eastAsia" w:ascii="宋体" w:hAnsi="宋体" w:eastAsia="方正楷体_GBK" w:cs="方正楷体_GBK"/>
          <w:sz w:val="28"/>
          <w:szCs w:val="28"/>
        </w:rPr>
        <w:fldChar w:fldCharType="separate"/>
      </w:r>
      <w:r>
        <w:rPr>
          <w:rFonts w:ascii="宋体" w:hAnsi="宋体" w:eastAsia="方正楷体_GBK" w:cs="方正楷体_GBK"/>
          <w:sz w:val="28"/>
          <w:szCs w:val="28"/>
        </w:rPr>
        <w:t>52</w:t>
      </w:r>
      <w:r>
        <w:rPr>
          <w:rFonts w:hint="eastAsia" w:ascii="宋体" w:hAnsi="宋体" w:eastAsia="方正楷体_GBK" w:cs="方正楷体_GBK"/>
          <w:sz w:val="28"/>
          <w:szCs w:val="28"/>
        </w:rPr>
        <w:fldChar w:fldCharType="end"/>
      </w:r>
      <w:r>
        <w:rPr>
          <w:rFonts w:hint="eastAsia" w:ascii="宋体" w:hAnsi="宋体" w:eastAsia="方正楷体_GBK" w:cs="方正楷体_GBK"/>
          <w:sz w:val="28"/>
          <w:szCs w:val="28"/>
        </w:rPr>
        <w:fldChar w:fldCharType="end"/>
      </w:r>
    </w:p>
    <w:p>
      <w:pPr>
        <w:pStyle w:val="43"/>
        <w:widowControl w:val="0"/>
        <w:tabs>
          <w:tab w:val="right" w:leader="dot" w:pos="9014"/>
        </w:tabs>
        <w:spacing w:line="594" w:lineRule="exact"/>
        <w:ind w:left="420"/>
        <w:rPr>
          <w:rFonts w:hint="eastAsia" w:ascii="宋体" w:hAnsi="宋体" w:eastAsia="方正楷体_GBK" w:cs="方正楷体_GBK"/>
          <w:sz w:val="28"/>
          <w:szCs w:val="28"/>
        </w:rPr>
      </w:pP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HYPERLINK \l _Toc26268 </w:instrText>
      </w:r>
      <w:r>
        <w:rPr>
          <w:rFonts w:hint="eastAsia" w:ascii="宋体" w:hAnsi="宋体" w:eastAsia="方正楷体_GBK" w:cs="方正楷体_GBK"/>
          <w:sz w:val="28"/>
          <w:szCs w:val="28"/>
        </w:rPr>
        <w:fldChar w:fldCharType="separate"/>
      </w:r>
      <w:r>
        <w:rPr>
          <w:rFonts w:hint="eastAsia" w:ascii="宋体" w:hAnsi="宋体" w:eastAsia="方正楷体_GBK" w:cs="方正楷体_GBK"/>
          <w:sz w:val="28"/>
          <w:szCs w:val="28"/>
        </w:rPr>
        <w:t>（二）建立责任体系</w:t>
      </w:r>
      <w:r>
        <w:rPr>
          <w:rFonts w:hint="eastAsia" w:ascii="宋体" w:hAnsi="宋体" w:eastAsia="方正楷体_GBK" w:cs="方正楷体_GBK"/>
          <w:sz w:val="28"/>
          <w:szCs w:val="28"/>
        </w:rPr>
        <w:tab/>
      </w: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PAGEREF _Toc26268 </w:instrText>
      </w:r>
      <w:r>
        <w:rPr>
          <w:rFonts w:hint="eastAsia" w:ascii="宋体" w:hAnsi="宋体" w:eastAsia="方正楷体_GBK" w:cs="方正楷体_GBK"/>
          <w:sz w:val="28"/>
          <w:szCs w:val="28"/>
        </w:rPr>
        <w:fldChar w:fldCharType="separate"/>
      </w:r>
      <w:r>
        <w:rPr>
          <w:rFonts w:ascii="宋体" w:hAnsi="宋体" w:eastAsia="方正楷体_GBK" w:cs="方正楷体_GBK"/>
          <w:sz w:val="28"/>
          <w:szCs w:val="28"/>
        </w:rPr>
        <w:t>53</w:t>
      </w:r>
      <w:r>
        <w:rPr>
          <w:rFonts w:hint="eastAsia" w:ascii="宋体" w:hAnsi="宋体" w:eastAsia="方正楷体_GBK" w:cs="方正楷体_GBK"/>
          <w:sz w:val="28"/>
          <w:szCs w:val="28"/>
        </w:rPr>
        <w:fldChar w:fldCharType="end"/>
      </w:r>
      <w:r>
        <w:rPr>
          <w:rFonts w:hint="eastAsia" w:ascii="宋体" w:hAnsi="宋体" w:eastAsia="方正楷体_GBK" w:cs="方正楷体_GBK"/>
          <w:sz w:val="28"/>
          <w:szCs w:val="28"/>
        </w:rPr>
        <w:fldChar w:fldCharType="end"/>
      </w:r>
    </w:p>
    <w:p>
      <w:pPr>
        <w:pStyle w:val="43"/>
        <w:widowControl w:val="0"/>
        <w:tabs>
          <w:tab w:val="right" w:leader="dot" w:pos="9014"/>
        </w:tabs>
        <w:spacing w:line="594" w:lineRule="exact"/>
        <w:ind w:left="420"/>
        <w:rPr>
          <w:rFonts w:hint="eastAsia" w:ascii="宋体" w:hAnsi="宋体" w:eastAsia="方正楷体_GBK" w:cs="方正楷体_GBK"/>
          <w:sz w:val="28"/>
          <w:szCs w:val="28"/>
        </w:rPr>
      </w:pP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HYPERLINK \l _Toc10393 </w:instrText>
      </w:r>
      <w:r>
        <w:rPr>
          <w:rFonts w:hint="eastAsia" w:ascii="宋体" w:hAnsi="宋体" w:eastAsia="方正楷体_GBK" w:cs="方正楷体_GBK"/>
          <w:sz w:val="28"/>
          <w:szCs w:val="28"/>
        </w:rPr>
        <w:fldChar w:fldCharType="separate"/>
      </w:r>
      <w:r>
        <w:rPr>
          <w:rFonts w:hint="eastAsia" w:ascii="宋体" w:hAnsi="宋体" w:eastAsia="方正楷体_GBK" w:cs="方正楷体_GBK"/>
          <w:sz w:val="28"/>
          <w:szCs w:val="28"/>
        </w:rPr>
        <w:t>（三）推进重点突破</w:t>
      </w:r>
      <w:r>
        <w:rPr>
          <w:rFonts w:hint="eastAsia" w:ascii="宋体" w:hAnsi="宋体" w:eastAsia="方正楷体_GBK" w:cs="方正楷体_GBK"/>
          <w:sz w:val="28"/>
          <w:szCs w:val="28"/>
        </w:rPr>
        <w:tab/>
      </w: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PAGEREF _Toc10393 </w:instrText>
      </w:r>
      <w:r>
        <w:rPr>
          <w:rFonts w:hint="eastAsia" w:ascii="宋体" w:hAnsi="宋体" w:eastAsia="方正楷体_GBK" w:cs="方正楷体_GBK"/>
          <w:sz w:val="28"/>
          <w:szCs w:val="28"/>
        </w:rPr>
        <w:fldChar w:fldCharType="separate"/>
      </w:r>
      <w:r>
        <w:rPr>
          <w:rFonts w:ascii="宋体" w:hAnsi="宋体" w:eastAsia="方正楷体_GBK" w:cs="方正楷体_GBK"/>
          <w:sz w:val="28"/>
          <w:szCs w:val="28"/>
        </w:rPr>
        <w:t>53</w:t>
      </w:r>
      <w:r>
        <w:rPr>
          <w:rFonts w:hint="eastAsia" w:ascii="宋体" w:hAnsi="宋体" w:eastAsia="方正楷体_GBK" w:cs="方正楷体_GBK"/>
          <w:sz w:val="28"/>
          <w:szCs w:val="28"/>
        </w:rPr>
        <w:fldChar w:fldCharType="end"/>
      </w:r>
      <w:r>
        <w:rPr>
          <w:rFonts w:hint="eastAsia" w:ascii="宋体" w:hAnsi="宋体" w:eastAsia="方正楷体_GBK" w:cs="方正楷体_GBK"/>
          <w:sz w:val="28"/>
          <w:szCs w:val="28"/>
        </w:rPr>
        <w:fldChar w:fldCharType="end"/>
      </w:r>
    </w:p>
    <w:p>
      <w:pPr>
        <w:pStyle w:val="43"/>
        <w:widowControl w:val="0"/>
        <w:tabs>
          <w:tab w:val="right" w:leader="dot" w:pos="9014"/>
        </w:tabs>
        <w:spacing w:line="594" w:lineRule="exact"/>
        <w:ind w:left="420"/>
        <w:rPr>
          <w:rFonts w:hint="eastAsia" w:ascii="宋体" w:hAnsi="宋体" w:eastAsia="方正楷体_GBK" w:cs="方正楷体_GBK"/>
          <w:sz w:val="28"/>
          <w:szCs w:val="28"/>
        </w:rPr>
      </w:pP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HYPERLINK \l _Toc10948 </w:instrText>
      </w:r>
      <w:r>
        <w:rPr>
          <w:rFonts w:hint="eastAsia" w:ascii="宋体" w:hAnsi="宋体" w:eastAsia="方正楷体_GBK" w:cs="方正楷体_GBK"/>
          <w:sz w:val="28"/>
          <w:szCs w:val="28"/>
        </w:rPr>
        <w:fldChar w:fldCharType="separate"/>
      </w:r>
      <w:r>
        <w:rPr>
          <w:rFonts w:hint="eastAsia" w:ascii="宋体" w:hAnsi="宋体" w:eastAsia="方正楷体_GBK" w:cs="方正楷体_GBK"/>
          <w:sz w:val="28"/>
          <w:szCs w:val="28"/>
          <w:lang w:val="en-US" w:eastAsia="zh-CN"/>
        </w:rPr>
        <w:t>（四）强化区域引领</w:t>
      </w:r>
      <w:r>
        <w:rPr>
          <w:rFonts w:hint="eastAsia" w:ascii="宋体" w:hAnsi="宋体" w:eastAsia="方正楷体_GBK" w:cs="方正楷体_GBK"/>
          <w:sz w:val="28"/>
          <w:szCs w:val="28"/>
        </w:rPr>
        <w:tab/>
      </w: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PAGEREF _Toc10948 </w:instrText>
      </w:r>
      <w:r>
        <w:rPr>
          <w:rFonts w:hint="eastAsia" w:ascii="宋体" w:hAnsi="宋体" w:eastAsia="方正楷体_GBK" w:cs="方正楷体_GBK"/>
          <w:sz w:val="28"/>
          <w:szCs w:val="28"/>
        </w:rPr>
        <w:fldChar w:fldCharType="separate"/>
      </w:r>
      <w:r>
        <w:rPr>
          <w:rFonts w:ascii="宋体" w:hAnsi="宋体" w:eastAsia="方正楷体_GBK" w:cs="方正楷体_GBK"/>
          <w:sz w:val="28"/>
          <w:szCs w:val="28"/>
        </w:rPr>
        <w:t>54</w:t>
      </w:r>
      <w:r>
        <w:rPr>
          <w:rFonts w:hint="eastAsia" w:ascii="宋体" w:hAnsi="宋体" w:eastAsia="方正楷体_GBK" w:cs="方正楷体_GBK"/>
          <w:sz w:val="28"/>
          <w:szCs w:val="28"/>
        </w:rPr>
        <w:fldChar w:fldCharType="end"/>
      </w:r>
      <w:r>
        <w:rPr>
          <w:rFonts w:hint="eastAsia" w:ascii="宋体" w:hAnsi="宋体" w:eastAsia="方正楷体_GBK" w:cs="方正楷体_GBK"/>
          <w:sz w:val="28"/>
          <w:szCs w:val="28"/>
        </w:rPr>
        <w:fldChar w:fldCharType="end"/>
      </w:r>
    </w:p>
    <w:p>
      <w:pPr>
        <w:pStyle w:val="43"/>
        <w:widowControl w:val="0"/>
        <w:tabs>
          <w:tab w:val="right" w:leader="dot" w:pos="9014"/>
        </w:tabs>
        <w:spacing w:line="594" w:lineRule="exact"/>
        <w:ind w:left="420"/>
        <w:rPr>
          <w:rFonts w:hint="eastAsia" w:ascii="宋体" w:hAnsi="宋体" w:eastAsia="方正楷体_GBK" w:cs="方正楷体_GBK"/>
          <w:sz w:val="28"/>
          <w:szCs w:val="28"/>
        </w:rPr>
      </w:pP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HYPERLINK \l _Toc2762 </w:instrText>
      </w:r>
      <w:r>
        <w:rPr>
          <w:rFonts w:hint="eastAsia" w:ascii="宋体" w:hAnsi="宋体" w:eastAsia="方正楷体_GBK" w:cs="方正楷体_GBK"/>
          <w:sz w:val="28"/>
          <w:szCs w:val="28"/>
        </w:rPr>
        <w:fldChar w:fldCharType="separate"/>
      </w:r>
      <w:r>
        <w:rPr>
          <w:rFonts w:hint="eastAsia" w:ascii="宋体" w:hAnsi="宋体" w:eastAsia="方正楷体_GBK" w:cs="方正楷体_GBK"/>
          <w:sz w:val="28"/>
          <w:szCs w:val="28"/>
        </w:rPr>
        <w:t>（</w:t>
      </w:r>
      <w:r>
        <w:rPr>
          <w:rFonts w:hint="eastAsia" w:ascii="宋体" w:hAnsi="宋体" w:eastAsia="方正楷体_GBK" w:cs="方正楷体_GBK"/>
          <w:sz w:val="28"/>
          <w:szCs w:val="28"/>
          <w:lang w:eastAsia="zh-CN"/>
        </w:rPr>
        <w:t>五</w:t>
      </w:r>
      <w:r>
        <w:rPr>
          <w:rFonts w:hint="eastAsia" w:ascii="宋体" w:hAnsi="宋体" w:eastAsia="方正楷体_GBK" w:cs="方正楷体_GBK"/>
          <w:sz w:val="28"/>
          <w:szCs w:val="28"/>
        </w:rPr>
        <w:t>）创新建设运营</w:t>
      </w:r>
      <w:r>
        <w:rPr>
          <w:rFonts w:hint="eastAsia" w:ascii="宋体" w:hAnsi="宋体" w:eastAsia="方正楷体_GBK" w:cs="方正楷体_GBK"/>
          <w:sz w:val="28"/>
          <w:szCs w:val="28"/>
        </w:rPr>
        <w:tab/>
      </w: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PAGEREF _Toc2762 </w:instrText>
      </w:r>
      <w:r>
        <w:rPr>
          <w:rFonts w:hint="eastAsia" w:ascii="宋体" w:hAnsi="宋体" w:eastAsia="方正楷体_GBK" w:cs="方正楷体_GBK"/>
          <w:sz w:val="28"/>
          <w:szCs w:val="28"/>
        </w:rPr>
        <w:fldChar w:fldCharType="separate"/>
      </w:r>
      <w:r>
        <w:rPr>
          <w:rFonts w:ascii="宋体" w:hAnsi="宋体" w:eastAsia="方正楷体_GBK" w:cs="方正楷体_GBK"/>
          <w:sz w:val="28"/>
          <w:szCs w:val="28"/>
        </w:rPr>
        <w:t>54</w:t>
      </w:r>
      <w:r>
        <w:rPr>
          <w:rFonts w:hint="eastAsia" w:ascii="宋体" w:hAnsi="宋体" w:eastAsia="方正楷体_GBK" w:cs="方正楷体_GBK"/>
          <w:sz w:val="28"/>
          <w:szCs w:val="28"/>
        </w:rPr>
        <w:fldChar w:fldCharType="end"/>
      </w:r>
      <w:r>
        <w:rPr>
          <w:rFonts w:hint="eastAsia" w:ascii="宋体" w:hAnsi="宋体" w:eastAsia="方正楷体_GBK" w:cs="方正楷体_GBK"/>
          <w:sz w:val="28"/>
          <w:szCs w:val="28"/>
        </w:rPr>
        <w:fldChar w:fldCharType="end"/>
      </w:r>
    </w:p>
    <w:p>
      <w:pPr>
        <w:pStyle w:val="43"/>
        <w:widowControl w:val="0"/>
        <w:tabs>
          <w:tab w:val="right" w:leader="dot" w:pos="9014"/>
        </w:tabs>
        <w:spacing w:line="594" w:lineRule="exact"/>
        <w:ind w:left="420"/>
        <w:rPr>
          <w:rFonts w:hint="eastAsia" w:ascii="宋体" w:hAnsi="宋体" w:eastAsia="方正楷体_GBK" w:cs="方正楷体_GBK"/>
          <w:sz w:val="28"/>
          <w:szCs w:val="28"/>
        </w:rPr>
      </w:pP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HYPERLINK \l _Toc14931 </w:instrText>
      </w:r>
      <w:r>
        <w:rPr>
          <w:rFonts w:hint="eastAsia" w:ascii="宋体" w:hAnsi="宋体" w:eastAsia="方正楷体_GBK" w:cs="方正楷体_GBK"/>
          <w:sz w:val="28"/>
          <w:szCs w:val="28"/>
        </w:rPr>
        <w:fldChar w:fldCharType="separate"/>
      </w:r>
      <w:r>
        <w:rPr>
          <w:rFonts w:hint="eastAsia" w:ascii="宋体" w:hAnsi="宋体" w:eastAsia="方正楷体_GBK" w:cs="方正楷体_GBK"/>
          <w:bCs/>
          <w:kern w:val="2"/>
          <w:sz w:val="28"/>
          <w:szCs w:val="28"/>
          <w:lang w:val="en-US" w:eastAsia="zh-CN"/>
        </w:rPr>
        <w:t>（六）拓展资金来源</w:t>
      </w:r>
      <w:r>
        <w:rPr>
          <w:rFonts w:hint="eastAsia" w:ascii="宋体" w:hAnsi="宋体" w:eastAsia="方正楷体_GBK" w:cs="方正楷体_GBK"/>
          <w:sz w:val="28"/>
          <w:szCs w:val="28"/>
        </w:rPr>
        <w:tab/>
      </w: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PAGEREF _Toc14931 </w:instrText>
      </w:r>
      <w:r>
        <w:rPr>
          <w:rFonts w:hint="eastAsia" w:ascii="宋体" w:hAnsi="宋体" w:eastAsia="方正楷体_GBK" w:cs="方正楷体_GBK"/>
          <w:sz w:val="28"/>
          <w:szCs w:val="28"/>
        </w:rPr>
        <w:fldChar w:fldCharType="separate"/>
      </w:r>
      <w:r>
        <w:rPr>
          <w:rFonts w:ascii="宋体" w:hAnsi="宋体" w:eastAsia="方正楷体_GBK" w:cs="方正楷体_GBK"/>
          <w:sz w:val="28"/>
          <w:szCs w:val="28"/>
        </w:rPr>
        <w:t>55</w:t>
      </w:r>
      <w:r>
        <w:rPr>
          <w:rFonts w:hint="eastAsia" w:ascii="宋体" w:hAnsi="宋体" w:eastAsia="方正楷体_GBK" w:cs="方正楷体_GBK"/>
          <w:sz w:val="28"/>
          <w:szCs w:val="28"/>
        </w:rPr>
        <w:fldChar w:fldCharType="end"/>
      </w:r>
      <w:r>
        <w:rPr>
          <w:rFonts w:hint="eastAsia" w:ascii="宋体" w:hAnsi="宋体" w:eastAsia="方正楷体_GBK" w:cs="方正楷体_GBK"/>
          <w:sz w:val="28"/>
          <w:szCs w:val="28"/>
        </w:rPr>
        <w:fldChar w:fldCharType="end"/>
      </w:r>
    </w:p>
    <w:p>
      <w:pPr>
        <w:pStyle w:val="43"/>
        <w:widowControl w:val="0"/>
        <w:tabs>
          <w:tab w:val="right" w:leader="dot" w:pos="9014"/>
        </w:tabs>
        <w:spacing w:line="594" w:lineRule="exact"/>
        <w:ind w:left="420"/>
        <w:rPr>
          <w:rFonts w:hint="eastAsia" w:ascii="宋体" w:hAnsi="宋体" w:eastAsia="方正楷体_GBK" w:cs="方正楷体_GBK"/>
          <w:sz w:val="28"/>
          <w:szCs w:val="28"/>
        </w:rPr>
      </w:pP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HYPERLINK \l _Toc29528 </w:instrText>
      </w:r>
      <w:r>
        <w:rPr>
          <w:rFonts w:hint="eastAsia" w:ascii="宋体" w:hAnsi="宋体" w:eastAsia="方正楷体_GBK" w:cs="方正楷体_GBK"/>
          <w:sz w:val="28"/>
          <w:szCs w:val="28"/>
        </w:rPr>
        <w:fldChar w:fldCharType="separate"/>
      </w:r>
      <w:r>
        <w:rPr>
          <w:rFonts w:hint="eastAsia" w:ascii="宋体" w:hAnsi="宋体" w:eastAsia="方正楷体_GBK" w:cs="方正楷体_GBK"/>
          <w:sz w:val="28"/>
          <w:szCs w:val="28"/>
        </w:rPr>
        <w:t>（</w:t>
      </w:r>
      <w:r>
        <w:rPr>
          <w:rFonts w:hint="eastAsia" w:ascii="宋体" w:hAnsi="宋体" w:eastAsia="方正楷体_GBK" w:cs="方正楷体_GBK"/>
          <w:sz w:val="28"/>
          <w:szCs w:val="28"/>
          <w:lang w:val="en-US" w:eastAsia="zh-CN"/>
        </w:rPr>
        <w:t>七</w:t>
      </w:r>
      <w:r>
        <w:rPr>
          <w:rFonts w:hint="eastAsia" w:ascii="宋体" w:hAnsi="宋体" w:eastAsia="方正楷体_GBK" w:cs="方正楷体_GBK"/>
          <w:sz w:val="28"/>
          <w:szCs w:val="28"/>
        </w:rPr>
        <w:t>）强化人才支撑</w:t>
      </w:r>
      <w:r>
        <w:rPr>
          <w:rFonts w:hint="eastAsia" w:ascii="宋体" w:hAnsi="宋体" w:eastAsia="方正楷体_GBK" w:cs="方正楷体_GBK"/>
          <w:sz w:val="28"/>
          <w:szCs w:val="28"/>
        </w:rPr>
        <w:tab/>
      </w: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PAGEREF _Toc29528 </w:instrText>
      </w:r>
      <w:r>
        <w:rPr>
          <w:rFonts w:hint="eastAsia" w:ascii="宋体" w:hAnsi="宋体" w:eastAsia="方正楷体_GBK" w:cs="方正楷体_GBK"/>
          <w:sz w:val="28"/>
          <w:szCs w:val="28"/>
        </w:rPr>
        <w:fldChar w:fldCharType="separate"/>
      </w:r>
      <w:r>
        <w:rPr>
          <w:rFonts w:ascii="宋体" w:hAnsi="宋体" w:eastAsia="方正楷体_GBK" w:cs="方正楷体_GBK"/>
          <w:sz w:val="28"/>
          <w:szCs w:val="28"/>
        </w:rPr>
        <w:t>55</w:t>
      </w:r>
      <w:r>
        <w:rPr>
          <w:rFonts w:hint="eastAsia" w:ascii="宋体" w:hAnsi="宋体" w:eastAsia="方正楷体_GBK" w:cs="方正楷体_GBK"/>
          <w:sz w:val="28"/>
          <w:szCs w:val="28"/>
        </w:rPr>
        <w:fldChar w:fldCharType="end"/>
      </w:r>
      <w:r>
        <w:rPr>
          <w:rFonts w:hint="eastAsia" w:ascii="宋体" w:hAnsi="宋体" w:eastAsia="方正楷体_GBK" w:cs="方正楷体_GBK"/>
          <w:sz w:val="28"/>
          <w:szCs w:val="28"/>
        </w:rPr>
        <w:fldChar w:fldCharType="end"/>
      </w:r>
    </w:p>
    <w:p>
      <w:pPr>
        <w:pStyle w:val="43"/>
        <w:widowControl w:val="0"/>
        <w:tabs>
          <w:tab w:val="right" w:leader="dot" w:pos="9014"/>
        </w:tabs>
        <w:spacing w:line="594" w:lineRule="exact"/>
        <w:ind w:left="420"/>
        <w:rPr>
          <w:rFonts w:ascii="宋体" w:hAnsi="宋体"/>
          <w:sz w:val="28"/>
          <w:szCs w:val="28"/>
        </w:rPr>
      </w:pP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HYPERLINK \l _Toc3610 </w:instrText>
      </w:r>
      <w:r>
        <w:rPr>
          <w:rFonts w:hint="eastAsia" w:ascii="宋体" w:hAnsi="宋体" w:eastAsia="方正楷体_GBK" w:cs="方正楷体_GBK"/>
          <w:sz w:val="28"/>
          <w:szCs w:val="28"/>
        </w:rPr>
        <w:fldChar w:fldCharType="separate"/>
      </w:r>
      <w:r>
        <w:rPr>
          <w:rFonts w:hint="eastAsia" w:ascii="宋体" w:hAnsi="宋体" w:eastAsia="方正楷体_GBK" w:cs="方正楷体_GBK"/>
          <w:sz w:val="28"/>
          <w:szCs w:val="28"/>
        </w:rPr>
        <w:t>（</w:t>
      </w:r>
      <w:r>
        <w:rPr>
          <w:rFonts w:hint="eastAsia" w:ascii="宋体" w:hAnsi="宋体" w:eastAsia="方正楷体_GBK" w:cs="方正楷体_GBK"/>
          <w:sz w:val="28"/>
          <w:szCs w:val="28"/>
          <w:lang w:val="en-US" w:eastAsia="zh-CN"/>
        </w:rPr>
        <w:t>八</w:t>
      </w:r>
      <w:r>
        <w:rPr>
          <w:rFonts w:hint="eastAsia" w:ascii="宋体" w:hAnsi="宋体" w:eastAsia="方正楷体_GBK" w:cs="方正楷体_GBK"/>
          <w:sz w:val="28"/>
          <w:szCs w:val="28"/>
        </w:rPr>
        <w:t>）加大宣传推广</w:t>
      </w:r>
      <w:r>
        <w:rPr>
          <w:rFonts w:hint="eastAsia" w:ascii="宋体" w:hAnsi="宋体" w:eastAsia="方正楷体_GBK" w:cs="方正楷体_GBK"/>
          <w:sz w:val="28"/>
          <w:szCs w:val="28"/>
        </w:rPr>
        <w:tab/>
      </w: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PAGEREF _Toc3610 </w:instrText>
      </w:r>
      <w:r>
        <w:rPr>
          <w:rFonts w:hint="eastAsia" w:ascii="宋体" w:hAnsi="宋体" w:eastAsia="方正楷体_GBK" w:cs="方正楷体_GBK"/>
          <w:sz w:val="28"/>
          <w:szCs w:val="28"/>
        </w:rPr>
        <w:fldChar w:fldCharType="separate"/>
      </w:r>
      <w:r>
        <w:rPr>
          <w:rFonts w:ascii="宋体" w:hAnsi="宋体" w:eastAsia="方正楷体_GBK" w:cs="方正楷体_GBK"/>
          <w:sz w:val="28"/>
          <w:szCs w:val="28"/>
        </w:rPr>
        <w:t>56</w:t>
      </w:r>
      <w:r>
        <w:rPr>
          <w:rFonts w:hint="eastAsia" w:ascii="宋体" w:hAnsi="宋体" w:eastAsia="方正楷体_GBK" w:cs="方正楷体_GBK"/>
          <w:sz w:val="28"/>
          <w:szCs w:val="28"/>
        </w:rPr>
        <w:fldChar w:fldCharType="end"/>
      </w:r>
      <w:r>
        <w:rPr>
          <w:rFonts w:hint="eastAsia" w:ascii="宋体" w:hAnsi="宋体" w:eastAsia="方正楷体_GBK" w:cs="方正楷体_GBK"/>
          <w:sz w:val="28"/>
          <w:szCs w:val="28"/>
        </w:rPr>
        <w:fldChar w:fldCharType="end"/>
      </w:r>
    </w:p>
    <w:p>
      <w:pPr>
        <w:pStyle w:val="44"/>
        <w:widowControl w:val="0"/>
        <w:tabs>
          <w:tab w:val="right" w:leader="dot" w:pos="9014"/>
        </w:tabs>
        <w:spacing w:line="594" w:lineRule="exact"/>
        <w:rPr>
          <w:rFonts w:hint="eastAsia" w:ascii="宋体" w:hAnsi="宋体" w:eastAsia="方正黑体_GBK" w:cs="方正黑体_GBK"/>
          <w:bCs/>
          <w:sz w:val="28"/>
          <w:szCs w:val="28"/>
        </w:rPr>
      </w:pPr>
      <w:r>
        <w:rPr>
          <w:rFonts w:hint="eastAsia" w:ascii="宋体" w:hAnsi="宋体" w:eastAsia="方正黑体_GBK" w:cs="方正黑体_GBK"/>
          <w:bCs/>
          <w:sz w:val="28"/>
          <w:szCs w:val="28"/>
        </w:rPr>
        <w:fldChar w:fldCharType="begin"/>
      </w:r>
      <w:r>
        <w:rPr>
          <w:rFonts w:hint="eastAsia" w:ascii="宋体" w:hAnsi="宋体" w:eastAsia="方正黑体_GBK" w:cs="方正黑体_GBK"/>
          <w:bCs/>
          <w:sz w:val="28"/>
          <w:szCs w:val="28"/>
        </w:rPr>
        <w:instrText xml:space="preserve"> HYPERLINK \l _Toc22096 </w:instrText>
      </w:r>
      <w:r>
        <w:rPr>
          <w:rFonts w:hint="eastAsia" w:ascii="宋体" w:hAnsi="宋体" w:eastAsia="方正黑体_GBK" w:cs="方正黑体_GBK"/>
          <w:bCs/>
          <w:sz w:val="28"/>
          <w:szCs w:val="28"/>
        </w:rPr>
        <w:fldChar w:fldCharType="separate"/>
      </w:r>
      <w:r>
        <w:rPr>
          <w:rFonts w:hint="eastAsia" w:ascii="宋体" w:hAnsi="宋体" w:eastAsia="方正黑体_GBK" w:cs="方正黑体_GBK"/>
          <w:bCs/>
          <w:sz w:val="28"/>
          <w:szCs w:val="28"/>
          <w:lang w:val="en-US" w:eastAsia="zh-CN"/>
        </w:rPr>
        <w:t>六、实施计划</w:t>
      </w:r>
      <w:r>
        <w:rPr>
          <w:rFonts w:hint="eastAsia" w:ascii="宋体" w:hAnsi="宋体" w:eastAsia="方正黑体_GBK" w:cs="方正黑体_GBK"/>
          <w:bCs/>
          <w:sz w:val="28"/>
          <w:szCs w:val="28"/>
        </w:rPr>
        <w:tab/>
      </w:r>
      <w:r>
        <w:rPr>
          <w:rFonts w:hint="eastAsia" w:ascii="宋体" w:hAnsi="宋体" w:eastAsia="方正黑体_GBK" w:cs="方正黑体_GBK"/>
          <w:bCs/>
          <w:sz w:val="28"/>
          <w:szCs w:val="28"/>
        </w:rPr>
        <w:fldChar w:fldCharType="begin"/>
      </w:r>
      <w:r>
        <w:rPr>
          <w:rFonts w:hint="eastAsia" w:ascii="宋体" w:hAnsi="宋体" w:eastAsia="方正黑体_GBK" w:cs="方正黑体_GBK"/>
          <w:bCs/>
          <w:sz w:val="28"/>
          <w:szCs w:val="28"/>
        </w:rPr>
        <w:instrText xml:space="preserve"> PAGEREF _Toc22096 </w:instrText>
      </w:r>
      <w:r>
        <w:rPr>
          <w:rFonts w:hint="eastAsia" w:ascii="宋体" w:hAnsi="宋体" w:eastAsia="方正黑体_GBK" w:cs="方正黑体_GBK"/>
          <w:bCs/>
          <w:sz w:val="28"/>
          <w:szCs w:val="28"/>
        </w:rPr>
        <w:fldChar w:fldCharType="separate"/>
      </w:r>
      <w:r>
        <w:rPr>
          <w:rFonts w:ascii="宋体" w:hAnsi="宋体" w:eastAsia="方正黑体_GBK" w:cs="方正黑体_GBK"/>
          <w:bCs/>
          <w:sz w:val="28"/>
          <w:szCs w:val="28"/>
        </w:rPr>
        <w:t>56</w:t>
      </w:r>
      <w:r>
        <w:rPr>
          <w:rFonts w:hint="eastAsia" w:ascii="宋体" w:hAnsi="宋体" w:eastAsia="方正黑体_GBK" w:cs="方正黑体_GBK"/>
          <w:bCs/>
          <w:sz w:val="28"/>
          <w:szCs w:val="28"/>
        </w:rPr>
        <w:fldChar w:fldCharType="end"/>
      </w:r>
      <w:r>
        <w:rPr>
          <w:rFonts w:hint="eastAsia" w:ascii="宋体" w:hAnsi="宋体" w:eastAsia="方正黑体_GBK" w:cs="方正黑体_GBK"/>
          <w:bCs/>
          <w:sz w:val="28"/>
          <w:szCs w:val="28"/>
        </w:rPr>
        <w:fldChar w:fldCharType="end"/>
      </w:r>
    </w:p>
    <w:p>
      <w:pPr>
        <w:pStyle w:val="43"/>
        <w:widowControl w:val="0"/>
        <w:tabs>
          <w:tab w:val="right" w:leader="dot" w:pos="9014"/>
        </w:tabs>
        <w:spacing w:line="594" w:lineRule="exact"/>
        <w:ind w:left="420"/>
        <w:rPr>
          <w:rFonts w:hint="eastAsia" w:ascii="宋体" w:hAnsi="宋体" w:eastAsia="方正楷体_GBK" w:cs="方正楷体_GBK"/>
          <w:sz w:val="28"/>
          <w:szCs w:val="28"/>
        </w:rPr>
      </w:pP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HYPERLINK \l _Toc13932 </w:instrText>
      </w:r>
      <w:r>
        <w:rPr>
          <w:rFonts w:hint="eastAsia" w:ascii="宋体" w:hAnsi="宋体" w:eastAsia="方正楷体_GBK" w:cs="方正楷体_GBK"/>
          <w:sz w:val="28"/>
          <w:szCs w:val="28"/>
        </w:rPr>
        <w:fldChar w:fldCharType="separate"/>
      </w:r>
      <w:r>
        <w:rPr>
          <w:rFonts w:hint="eastAsia" w:ascii="宋体" w:hAnsi="宋体" w:eastAsia="方正楷体_GBK" w:cs="方正楷体_GBK"/>
          <w:snapToGrid w:val="0"/>
          <w:sz w:val="28"/>
          <w:szCs w:val="28"/>
          <w:lang w:val="en-US" w:eastAsia="zh-CN"/>
        </w:rPr>
        <w:t>（一）第一期（</w:t>
      </w:r>
      <w:r>
        <w:rPr>
          <w:rFonts w:hint="eastAsia" w:ascii="Times New Roman" w:hAnsi="Times New Roman" w:eastAsia="方正楷体_GBK" w:cs="方正楷体_GBK"/>
          <w:snapToGrid w:val="0"/>
          <w:sz w:val="28"/>
          <w:szCs w:val="28"/>
          <w:lang w:val="en-US" w:eastAsia="zh-CN"/>
        </w:rPr>
        <w:t>2020</w:t>
      </w:r>
      <w:r>
        <w:rPr>
          <w:rFonts w:hint="eastAsia" w:ascii="宋体" w:hAnsi="宋体" w:eastAsia="方正楷体_GBK" w:cs="方正楷体_GBK"/>
          <w:snapToGrid w:val="0"/>
          <w:sz w:val="28"/>
          <w:szCs w:val="28"/>
          <w:lang w:val="en-US" w:eastAsia="zh-CN"/>
        </w:rPr>
        <w:t>-</w:t>
      </w:r>
      <w:r>
        <w:rPr>
          <w:rFonts w:hint="eastAsia" w:ascii="Times New Roman" w:hAnsi="Times New Roman" w:eastAsia="方正楷体_GBK" w:cs="方正楷体_GBK"/>
          <w:snapToGrid w:val="0"/>
          <w:sz w:val="28"/>
          <w:szCs w:val="28"/>
          <w:lang w:val="en-US" w:eastAsia="zh-CN"/>
        </w:rPr>
        <w:t>2021</w:t>
      </w:r>
      <w:r>
        <w:rPr>
          <w:rFonts w:hint="eastAsia" w:ascii="宋体" w:hAnsi="宋体" w:eastAsia="方正楷体_GBK" w:cs="方正楷体_GBK"/>
          <w:snapToGrid w:val="0"/>
          <w:sz w:val="28"/>
          <w:szCs w:val="28"/>
          <w:lang w:val="en-US" w:eastAsia="zh-CN"/>
        </w:rPr>
        <w:t>）——强基础、搭框架、促民生</w:t>
      </w:r>
      <w:r>
        <w:rPr>
          <w:rFonts w:hint="eastAsia" w:ascii="宋体" w:hAnsi="宋体" w:eastAsia="方正楷体_GBK" w:cs="方正楷体_GBK"/>
          <w:sz w:val="28"/>
          <w:szCs w:val="28"/>
        </w:rPr>
        <w:tab/>
      </w: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PAGEREF _Toc13932 </w:instrText>
      </w:r>
      <w:r>
        <w:rPr>
          <w:rFonts w:hint="eastAsia" w:ascii="宋体" w:hAnsi="宋体" w:eastAsia="方正楷体_GBK" w:cs="方正楷体_GBK"/>
          <w:sz w:val="28"/>
          <w:szCs w:val="28"/>
        </w:rPr>
        <w:fldChar w:fldCharType="separate"/>
      </w:r>
      <w:r>
        <w:rPr>
          <w:rFonts w:ascii="宋体" w:hAnsi="宋体" w:eastAsia="方正楷体_GBK" w:cs="方正楷体_GBK"/>
          <w:sz w:val="28"/>
          <w:szCs w:val="28"/>
        </w:rPr>
        <w:t>57</w:t>
      </w:r>
      <w:r>
        <w:rPr>
          <w:rFonts w:hint="eastAsia" w:ascii="宋体" w:hAnsi="宋体" w:eastAsia="方正楷体_GBK" w:cs="方正楷体_GBK"/>
          <w:sz w:val="28"/>
          <w:szCs w:val="28"/>
        </w:rPr>
        <w:fldChar w:fldCharType="end"/>
      </w:r>
      <w:r>
        <w:rPr>
          <w:rFonts w:hint="eastAsia" w:ascii="宋体" w:hAnsi="宋体" w:eastAsia="方正楷体_GBK" w:cs="方正楷体_GBK"/>
          <w:sz w:val="28"/>
          <w:szCs w:val="28"/>
        </w:rPr>
        <w:fldChar w:fldCharType="end"/>
      </w:r>
    </w:p>
    <w:p>
      <w:pPr>
        <w:pStyle w:val="43"/>
        <w:widowControl w:val="0"/>
        <w:tabs>
          <w:tab w:val="right" w:leader="dot" w:pos="9014"/>
        </w:tabs>
        <w:spacing w:line="594" w:lineRule="exact"/>
        <w:ind w:left="420"/>
        <w:rPr>
          <w:rFonts w:hint="eastAsia" w:ascii="宋体" w:hAnsi="宋体" w:eastAsia="方正楷体_GBK" w:cs="方正楷体_GBK"/>
          <w:sz w:val="28"/>
          <w:szCs w:val="28"/>
        </w:rPr>
      </w:pP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HYPERLINK \l _Toc9546 </w:instrText>
      </w:r>
      <w:r>
        <w:rPr>
          <w:rFonts w:hint="eastAsia" w:ascii="宋体" w:hAnsi="宋体" w:eastAsia="方正楷体_GBK" w:cs="方正楷体_GBK"/>
          <w:sz w:val="28"/>
          <w:szCs w:val="28"/>
        </w:rPr>
        <w:fldChar w:fldCharType="separate"/>
      </w:r>
      <w:r>
        <w:rPr>
          <w:rFonts w:hint="eastAsia" w:ascii="宋体" w:hAnsi="宋体" w:eastAsia="方正楷体_GBK" w:cs="方正楷体_GBK"/>
          <w:snapToGrid w:val="0"/>
          <w:sz w:val="28"/>
          <w:szCs w:val="28"/>
          <w:lang w:val="en-US" w:eastAsia="zh-CN"/>
        </w:rPr>
        <w:t>（二）第二期（</w:t>
      </w:r>
      <w:r>
        <w:rPr>
          <w:rFonts w:hint="eastAsia" w:ascii="Times New Roman" w:hAnsi="Times New Roman" w:eastAsia="方正楷体_GBK" w:cs="方正楷体_GBK"/>
          <w:snapToGrid w:val="0"/>
          <w:sz w:val="28"/>
          <w:szCs w:val="28"/>
          <w:lang w:val="en-US" w:eastAsia="zh-CN"/>
        </w:rPr>
        <w:t>2022</w:t>
      </w:r>
      <w:r>
        <w:rPr>
          <w:rFonts w:hint="eastAsia" w:ascii="宋体" w:hAnsi="宋体" w:eastAsia="方正楷体_GBK" w:cs="方正楷体_GBK"/>
          <w:snapToGrid w:val="0"/>
          <w:sz w:val="28"/>
          <w:szCs w:val="28"/>
          <w:lang w:val="en-US" w:eastAsia="zh-CN"/>
        </w:rPr>
        <w:t>-</w:t>
      </w:r>
      <w:r>
        <w:rPr>
          <w:rFonts w:hint="eastAsia" w:ascii="Times New Roman" w:hAnsi="Times New Roman" w:eastAsia="方正楷体_GBK" w:cs="方正楷体_GBK"/>
          <w:snapToGrid w:val="0"/>
          <w:sz w:val="28"/>
          <w:szCs w:val="28"/>
          <w:lang w:val="en-US" w:eastAsia="zh-CN"/>
        </w:rPr>
        <w:t>2023</w:t>
      </w:r>
      <w:r>
        <w:rPr>
          <w:rFonts w:hint="eastAsia" w:ascii="宋体" w:hAnsi="宋体" w:eastAsia="方正楷体_GBK" w:cs="方正楷体_GBK"/>
          <w:snapToGrid w:val="0"/>
          <w:sz w:val="28"/>
          <w:szCs w:val="28"/>
          <w:lang w:val="en-US" w:eastAsia="zh-CN"/>
        </w:rPr>
        <w:t>）——建体系、推应用、强产业</w:t>
      </w:r>
      <w:r>
        <w:rPr>
          <w:rFonts w:hint="eastAsia" w:ascii="宋体" w:hAnsi="宋体" w:eastAsia="方正楷体_GBK" w:cs="方正楷体_GBK"/>
          <w:sz w:val="28"/>
          <w:szCs w:val="28"/>
        </w:rPr>
        <w:tab/>
      </w: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PAGEREF _Toc9546 </w:instrText>
      </w:r>
      <w:r>
        <w:rPr>
          <w:rFonts w:hint="eastAsia" w:ascii="宋体" w:hAnsi="宋体" w:eastAsia="方正楷体_GBK" w:cs="方正楷体_GBK"/>
          <w:sz w:val="28"/>
          <w:szCs w:val="28"/>
        </w:rPr>
        <w:fldChar w:fldCharType="separate"/>
      </w:r>
      <w:r>
        <w:rPr>
          <w:rFonts w:ascii="宋体" w:hAnsi="宋体" w:eastAsia="方正楷体_GBK" w:cs="方正楷体_GBK"/>
          <w:sz w:val="28"/>
          <w:szCs w:val="28"/>
        </w:rPr>
        <w:t>57</w:t>
      </w:r>
      <w:r>
        <w:rPr>
          <w:rFonts w:hint="eastAsia" w:ascii="宋体" w:hAnsi="宋体" w:eastAsia="方正楷体_GBK" w:cs="方正楷体_GBK"/>
          <w:sz w:val="28"/>
          <w:szCs w:val="28"/>
        </w:rPr>
        <w:fldChar w:fldCharType="end"/>
      </w:r>
      <w:r>
        <w:rPr>
          <w:rFonts w:hint="eastAsia" w:ascii="宋体" w:hAnsi="宋体" w:eastAsia="方正楷体_GBK" w:cs="方正楷体_GBK"/>
          <w:sz w:val="28"/>
          <w:szCs w:val="28"/>
        </w:rPr>
        <w:fldChar w:fldCharType="end"/>
      </w:r>
    </w:p>
    <w:p>
      <w:pPr>
        <w:pStyle w:val="43"/>
        <w:widowControl w:val="0"/>
        <w:tabs>
          <w:tab w:val="right" w:leader="dot" w:pos="9014"/>
        </w:tabs>
        <w:spacing w:line="594" w:lineRule="exact"/>
        <w:ind w:left="420"/>
        <w:rPr>
          <w:rFonts w:hint="eastAsia" w:ascii="宋体" w:hAnsi="宋体" w:eastAsia="方正楷体_GBK" w:cs="方正楷体_GBK"/>
          <w:sz w:val="28"/>
          <w:szCs w:val="28"/>
        </w:rPr>
      </w:pP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HYPERLINK \l _Toc16078 </w:instrText>
      </w:r>
      <w:r>
        <w:rPr>
          <w:rFonts w:hint="eastAsia" w:ascii="宋体" w:hAnsi="宋体" w:eastAsia="方正楷体_GBK" w:cs="方正楷体_GBK"/>
          <w:sz w:val="28"/>
          <w:szCs w:val="28"/>
        </w:rPr>
        <w:fldChar w:fldCharType="separate"/>
      </w:r>
      <w:r>
        <w:rPr>
          <w:rFonts w:hint="eastAsia" w:ascii="宋体" w:hAnsi="宋体" w:eastAsia="方正楷体_GBK" w:cs="方正楷体_GBK"/>
          <w:snapToGrid w:val="0"/>
          <w:sz w:val="28"/>
          <w:szCs w:val="28"/>
          <w:lang w:val="en-US" w:eastAsia="zh-CN"/>
        </w:rPr>
        <w:t>（三）第三期（</w:t>
      </w:r>
      <w:r>
        <w:rPr>
          <w:rFonts w:hint="eastAsia" w:ascii="Times New Roman" w:hAnsi="Times New Roman" w:eastAsia="方正楷体_GBK" w:cs="方正楷体_GBK"/>
          <w:snapToGrid w:val="0"/>
          <w:sz w:val="28"/>
          <w:szCs w:val="28"/>
          <w:lang w:val="en-US" w:eastAsia="zh-CN"/>
        </w:rPr>
        <w:t>2024</w:t>
      </w:r>
      <w:r>
        <w:rPr>
          <w:rFonts w:hint="eastAsia" w:ascii="宋体" w:hAnsi="宋体" w:eastAsia="方正楷体_GBK" w:cs="方正楷体_GBK"/>
          <w:snapToGrid w:val="0"/>
          <w:sz w:val="28"/>
          <w:szCs w:val="28"/>
          <w:lang w:val="en-US" w:eastAsia="zh-CN"/>
        </w:rPr>
        <w:t>-</w:t>
      </w:r>
      <w:r>
        <w:rPr>
          <w:rFonts w:hint="eastAsia" w:ascii="Times New Roman" w:hAnsi="Times New Roman" w:eastAsia="方正楷体_GBK" w:cs="方正楷体_GBK"/>
          <w:snapToGrid w:val="0"/>
          <w:sz w:val="28"/>
          <w:szCs w:val="28"/>
          <w:lang w:val="en-US" w:eastAsia="zh-CN"/>
        </w:rPr>
        <w:t>2025</w:t>
      </w:r>
      <w:r>
        <w:rPr>
          <w:rFonts w:hint="eastAsia" w:ascii="宋体" w:hAnsi="宋体" w:eastAsia="方正楷体_GBK" w:cs="方正楷体_GBK"/>
          <w:snapToGrid w:val="0"/>
          <w:sz w:val="28"/>
          <w:szCs w:val="28"/>
          <w:lang w:val="en-US" w:eastAsia="zh-CN"/>
        </w:rPr>
        <w:t>）——促完善、丰内涵、达智慧</w:t>
      </w:r>
      <w:bookmarkStart w:id="0" w:name="_Hlt76550480"/>
      <w:bookmarkEnd w:id="0"/>
      <w:r>
        <w:rPr>
          <w:rFonts w:hint="eastAsia" w:ascii="宋体" w:hAnsi="宋体" w:eastAsia="方正楷体_GBK" w:cs="方正楷体_GBK"/>
          <w:sz w:val="28"/>
          <w:szCs w:val="28"/>
        </w:rPr>
        <w:tab/>
      </w:r>
      <w:r>
        <w:rPr>
          <w:rFonts w:hint="eastAsia" w:ascii="宋体" w:hAnsi="宋体" w:eastAsia="方正楷体_GBK" w:cs="方正楷体_GBK"/>
          <w:sz w:val="28"/>
          <w:szCs w:val="28"/>
        </w:rPr>
        <w:fldChar w:fldCharType="begin"/>
      </w:r>
      <w:r>
        <w:rPr>
          <w:rFonts w:hint="eastAsia" w:ascii="宋体" w:hAnsi="宋体" w:eastAsia="方正楷体_GBK" w:cs="方正楷体_GBK"/>
          <w:sz w:val="28"/>
          <w:szCs w:val="28"/>
        </w:rPr>
        <w:instrText xml:space="preserve"> PAGEREF _Toc16078 </w:instrText>
      </w:r>
      <w:r>
        <w:rPr>
          <w:rFonts w:hint="eastAsia" w:ascii="宋体" w:hAnsi="宋体" w:eastAsia="方正楷体_GBK" w:cs="方正楷体_GBK"/>
          <w:sz w:val="28"/>
          <w:szCs w:val="28"/>
        </w:rPr>
        <w:fldChar w:fldCharType="separate"/>
      </w:r>
      <w:r>
        <w:rPr>
          <w:rFonts w:ascii="宋体" w:hAnsi="宋体" w:eastAsia="方正楷体_GBK" w:cs="方正楷体_GBK"/>
          <w:sz w:val="28"/>
          <w:szCs w:val="28"/>
        </w:rPr>
        <w:t>57</w:t>
      </w:r>
      <w:r>
        <w:rPr>
          <w:rFonts w:hint="eastAsia" w:ascii="宋体" w:hAnsi="宋体" w:eastAsia="方正楷体_GBK" w:cs="方正楷体_GBK"/>
          <w:sz w:val="28"/>
          <w:szCs w:val="28"/>
        </w:rPr>
        <w:fldChar w:fldCharType="end"/>
      </w:r>
      <w:r>
        <w:rPr>
          <w:rFonts w:hint="eastAsia" w:ascii="宋体" w:hAnsi="宋体" w:eastAsia="方正楷体_GBK" w:cs="方正楷体_GBK"/>
          <w:sz w:val="28"/>
          <w:szCs w:val="28"/>
        </w:rPr>
        <w:fldChar w:fldCharType="end"/>
      </w:r>
    </w:p>
    <w:p>
      <w:pPr>
        <w:tabs>
          <w:tab w:val="right" w:leader="dot" w:pos="8820"/>
        </w:tabs>
        <w:spacing w:line="594" w:lineRule="exact"/>
        <w:rPr>
          <w:rFonts w:hint="eastAsia" w:ascii="宋体" w:hAnsi="宋体" w:eastAsia="方正小标宋_GBK"/>
          <w:sz w:val="32"/>
          <w:szCs w:val="32"/>
        </w:rPr>
        <w:sectPr>
          <w:footerReference r:id="rId3" w:type="default"/>
          <w:footerReference r:id="rId4" w:type="even"/>
          <w:pgSz w:w="11906" w:h="16838"/>
          <w:pgMar w:top="1985" w:right="1446" w:bottom="1644" w:left="1446" w:header="1134" w:footer="1134" w:gutter="0"/>
          <w:pgNumType w:fmt="numberInDash"/>
          <w:cols w:space="720" w:num="1"/>
          <w:docGrid w:linePitch="312" w:charSpace="0"/>
        </w:sectPr>
      </w:pPr>
      <w:r>
        <w:rPr>
          <w:rFonts w:hint="eastAsia" w:ascii="宋体" w:hAnsi="宋体" w:eastAsia="方正小标宋_GBK"/>
          <w:b/>
          <w:szCs w:val="32"/>
        </w:rPr>
        <w:fldChar w:fldCharType="end"/>
      </w:r>
    </w:p>
    <w:p>
      <w:pPr>
        <w:spacing w:line="574" w:lineRule="exact"/>
        <w:ind w:firstLine="640" w:firstLineChars="200"/>
        <w:rPr>
          <w:rFonts w:hint="eastAsia" w:ascii="宋体" w:hAnsi="宋体" w:eastAsia="方正仿宋_GBK"/>
          <w:sz w:val="32"/>
          <w:szCs w:val="20"/>
        </w:rPr>
      </w:pPr>
      <w:r>
        <w:rPr>
          <w:rFonts w:hint="eastAsia" w:ascii="宋体" w:hAnsi="宋体" w:eastAsia="方正仿宋_GBK"/>
          <w:sz w:val="32"/>
          <w:szCs w:val="20"/>
        </w:rPr>
        <w:t>为深入贯彻落实习近平总书记关于分级分类推进新型智慧城市建设的重要指示精神，全面贯彻落实网络强国、数字中国、智慧社会的战略部署，为加快推进我区新型智慧城市建设，让大数据智能化更好地为经济赋能、为生活添彩，根据《促进大数据发展行动纲要》（国发〔</w:t>
      </w:r>
      <w:r>
        <w:rPr>
          <w:rFonts w:hint="eastAsia" w:ascii="Times New Roman" w:hAnsi="Times New Roman" w:eastAsia="方正仿宋_GBK"/>
          <w:sz w:val="32"/>
          <w:szCs w:val="20"/>
        </w:rPr>
        <w:t>2015</w:t>
      </w:r>
      <w:r>
        <w:rPr>
          <w:rFonts w:hint="eastAsia" w:ascii="宋体" w:hAnsi="宋体" w:eastAsia="方正仿宋_GBK"/>
          <w:sz w:val="32"/>
          <w:szCs w:val="20"/>
        </w:rPr>
        <w:t>〕</w:t>
      </w:r>
      <w:r>
        <w:rPr>
          <w:rFonts w:hint="eastAsia" w:ascii="Times New Roman" w:hAnsi="Times New Roman" w:eastAsia="方正仿宋_GBK"/>
          <w:sz w:val="32"/>
          <w:szCs w:val="20"/>
        </w:rPr>
        <w:t>50</w:t>
      </w:r>
      <w:r>
        <w:rPr>
          <w:rFonts w:hint="eastAsia" w:ascii="宋体" w:hAnsi="宋体" w:eastAsia="方正仿宋_GBK"/>
          <w:sz w:val="32"/>
          <w:szCs w:val="20"/>
        </w:rPr>
        <w:t>号）、《重庆市全面推行“云长制“实施方案》（渝委办〔</w:t>
      </w:r>
      <w:r>
        <w:rPr>
          <w:rFonts w:hint="eastAsia" w:ascii="Times New Roman" w:hAnsi="Times New Roman" w:eastAsia="方正仿宋_GBK"/>
          <w:sz w:val="32"/>
          <w:szCs w:val="20"/>
        </w:rPr>
        <w:t>2019</w:t>
      </w:r>
      <w:r>
        <w:rPr>
          <w:rFonts w:hint="eastAsia" w:ascii="宋体" w:hAnsi="宋体" w:eastAsia="方正仿宋_GBK"/>
          <w:sz w:val="32"/>
          <w:szCs w:val="20"/>
        </w:rPr>
        <w:t>〕</w:t>
      </w:r>
      <w:r>
        <w:rPr>
          <w:rFonts w:hint="eastAsia" w:ascii="Times New Roman" w:hAnsi="Times New Roman" w:eastAsia="方正仿宋_GBK"/>
          <w:sz w:val="32"/>
          <w:szCs w:val="20"/>
        </w:rPr>
        <w:t>66</w:t>
      </w:r>
      <w:r>
        <w:rPr>
          <w:rFonts w:hint="eastAsia" w:ascii="宋体" w:hAnsi="宋体" w:eastAsia="方正仿宋_GBK"/>
          <w:sz w:val="32"/>
          <w:szCs w:val="20"/>
        </w:rPr>
        <w:t>号）、《重庆市新型智慧城市建设方案（</w:t>
      </w:r>
      <w:r>
        <w:rPr>
          <w:rFonts w:hint="eastAsia" w:ascii="Times New Roman" w:hAnsi="Times New Roman" w:eastAsia="方正仿宋_GBK"/>
          <w:sz w:val="32"/>
          <w:szCs w:val="20"/>
        </w:rPr>
        <w:t>2019</w:t>
      </w:r>
      <w:r>
        <w:rPr>
          <w:rFonts w:hint="eastAsia" w:ascii="宋体" w:hAnsi="宋体" w:eastAsia="方正仿宋_GBK"/>
          <w:sz w:val="32"/>
          <w:szCs w:val="20"/>
        </w:rPr>
        <w:t>-</w:t>
      </w:r>
      <w:r>
        <w:rPr>
          <w:rFonts w:hint="eastAsia" w:ascii="Times New Roman" w:hAnsi="Times New Roman" w:eastAsia="方正仿宋_GBK"/>
          <w:sz w:val="32"/>
          <w:szCs w:val="20"/>
        </w:rPr>
        <w:t>2022</w:t>
      </w:r>
      <w:r>
        <w:rPr>
          <w:rFonts w:hint="eastAsia" w:ascii="宋体" w:hAnsi="宋体" w:eastAsia="方正仿宋_GBK"/>
          <w:sz w:val="32"/>
          <w:szCs w:val="20"/>
        </w:rPr>
        <w:t>年）》（渝府办发〔</w:t>
      </w:r>
      <w:r>
        <w:rPr>
          <w:rFonts w:hint="eastAsia" w:ascii="Times New Roman" w:hAnsi="Times New Roman" w:eastAsia="方正仿宋_GBK"/>
          <w:sz w:val="32"/>
          <w:szCs w:val="20"/>
        </w:rPr>
        <w:t>2019</w:t>
      </w:r>
      <w:r>
        <w:rPr>
          <w:rFonts w:hint="eastAsia" w:ascii="宋体" w:hAnsi="宋体" w:eastAsia="方正仿宋_GBK"/>
          <w:sz w:val="32"/>
          <w:szCs w:val="20"/>
        </w:rPr>
        <w:t>〕</w:t>
      </w:r>
      <w:r>
        <w:rPr>
          <w:rFonts w:hint="eastAsia" w:ascii="Times New Roman" w:hAnsi="Times New Roman" w:eastAsia="方正仿宋_GBK"/>
          <w:sz w:val="32"/>
          <w:szCs w:val="20"/>
        </w:rPr>
        <w:t>66</w:t>
      </w:r>
      <w:r>
        <w:rPr>
          <w:rFonts w:hint="eastAsia" w:ascii="宋体" w:hAnsi="宋体" w:eastAsia="方正仿宋_GBK"/>
          <w:sz w:val="32"/>
          <w:szCs w:val="20"/>
        </w:rPr>
        <w:t>号）、《重庆市政务数据资源管理暂行办法》等精神，汲取市内外智慧城市建设先进经验，结合我区实际，制定本规划。</w:t>
      </w:r>
    </w:p>
    <w:p>
      <w:pPr>
        <w:pStyle w:val="3"/>
        <w:keepNext w:val="0"/>
        <w:keepLines w:val="0"/>
        <w:spacing w:before="0" w:after="0" w:line="574" w:lineRule="exact"/>
        <w:ind w:firstLine="640" w:firstLineChars="200"/>
        <w:rPr>
          <w:rFonts w:ascii="宋体" w:hAnsi="宋体" w:eastAsia="方正黑体_GBK"/>
          <w:b w:val="0"/>
          <w:sz w:val="32"/>
          <w:szCs w:val="32"/>
        </w:rPr>
      </w:pPr>
      <w:bookmarkStart w:id="1" w:name="_Toc23482"/>
      <w:bookmarkStart w:id="2" w:name="_Toc21553"/>
      <w:bookmarkStart w:id="3" w:name="_Toc1060"/>
      <w:bookmarkStart w:id="4" w:name="_Toc6044"/>
      <w:bookmarkStart w:id="5" w:name="_Toc5913"/>
      <w:r>
        <w:rPr>
          <w:rFonts w:hint="eastAsia" w:ascii="宋体" w:hAnsi="宋体" w:eastAsia="方正黑体_GBK"/>
          <w:b w:val="0"/>
          <w:sz w:val="32"/>
          <w:szCs w:val="32"/>
        </w:rPr>
        <w:t>一、发展基础</w:t>
      </w:r>
      <w:bookmarkEnd w:id="1"/>
      <w:bookmarkEnd w:id="2"/>
      <w:bookmarkEnd w:id="3"/>
      <w:bookmarkEnd w:id="4"/>
      <w:bookmarkEnd w:id="5"/>
    </w:p>
    <w:p>
      <w:pPr>
        <w:pStyle w:val="4"/>
        <w:keepNext w:val="0"/>
        <w:keepLines w:val="0"/>
        <w:spacing w:before="0" w:after="0" w:line="574" w:lineRule="exact"/>
        <w:ind w:firstLine="640" w:firstLineChars="200"/>
        <w:rPr>
          <w:rFonts w:ascii="宋体" w:hAnsi="宋体" w:eastAsia="方正楷体_GBK"/>
          <w:b w:val="0"/>
        </w:rPr>
      </w:pPr>
      <w:bookmarkStart w:id="6" w:name="_Toc15408"/>
      <w:bookmarkStart w:id="7" w:name="_Toc12782"/>
      <w:bookmarkStart w:id="8" w:name="_Toc3779"/>
      <w:bookmarkStart w:id="9" w:name="_Toc13725"/>
      <w:bookmarkStart w:id="10" w:name="_Toc15669"/>
      <w:r>
        <w:rPr>
          <w:rFonts w:hint="eastAsia" w:ascii="宋体" w:hAnsi="宋体" w:eastAsia="方正楷体_GBK"/>
          <w:b w:val="0"/>
        </w:rPr>
        <w:t>（一）发展现状</w:t>
      </w:r>
      <w:bookmarkEnd w:id="6"/>
      <w:bookmarkEnd w:id="7"/>
      <w:bookmarkEnd w:id="8"/>
      <w:bookmarkEnd w:id="9"/>
      <w:bookmarkEnd w:id="10"/>
    </w:p>
    <w:p>
      <w:pPr>
        <w:pStyle w:val="5"/>
        <w:keepNext w:val="0"/>
        <w:keepLines w:val="0"/>
        <w:spacing w:before="0" w:after="0" w:line="574" w:lineRule="exact"/>
        <w:ind w:firstLine="642" w:firstLineChars="200"/>
        <w:rPr>
          <w:rFonts w:hint="eastAsia" w:ascii="宋体" w:hAnsi="宋体" w:eastAsia="方正仿宋_GBK"/>
          <w:kern w:val="0"/>
        </w:rPr>
      </w:pPr>
      <w:bookmarkStart w:id="11" w:name="_Toc705"/>
      <w:bookmarkStart w:id="12" w:name="_Toc19485"/>
      <w:bookmarkStart w:id="13" w:name="_Toc518486882"/>
      <w:bookmarkStart w:id="14" w:name="_Toc19084"/>
      <w:r>
        <w:rPr>
          <w:rFonts w:hint="eastAsia" w:ascii="Times New Roman" w:hAnsi="Times New Roman" w:eastAsia="方正仿宋_GBK"/>
          <w:kern w:val="0"/>
        </w:rPr>
        <w:t>1</w:t>
      </w:r>
      <w:r>
        <w:rPr>
          <w:rFonts w:hint="eastAsia" w:ascii="宋体" w:hAnsi="宋体" w:eastAsia="方正仿宋_GBK"/>
          <w:kern w:val="0"/>
        </w:rPr>
        <w:t>. 信息化基础设施快速健康发展</w:t>
      </w:r>
      <w:bookmarkEnd w:id="11"/>
      <w:bookmarkEnd w:id="12"/>
      <w:bookmarkEnd w:id="13"/>
      <w:bookmarkEnd w:id="14"/>
    </w:p>
    <w:p>
      <w:pPr>
        <w:spacing w:line="574" w:lineRule="exact"/>
        <w:ind w:firstLine="640" w:firstLineChars="200"/>
        <w:rPr>
          <w:rFonts w:hint="eastAsia" w:ascii="宋体" w:hAnsi="宋体" w:eastAsia="方正仿宋_GBK" w:cs="方正仿宋_GBK"/>
          <w:snapToGrid w:val="0"/>
          <w:kern w:val="0"/>
          <w:sz w:val="32"/>
          <w:szCs w:val="32"/>
        </w:rPr>
      </w:pPr>
      <w:bookmarkStart w:id="15" w:name="_Toc3304"/>
      <w:bookmarkStart w:id="16" w:name="_Toc518486883"/>
      <w:r>
        <w:rPr>
          <w:rFonts w:hint="eastAsia" w:ascii="宋体" w:hAnsi="宋体" w:eastAsia="方正仿宋_GBK" w:cs="方正仿宋_GBK"/>
          <w:snapToGrid w:val="0"/>
          <w:kern w:val="0"/>
          <w:sz w:val="32"/>
          <w:szCs w:val="32"/>
        </w:rPr>
        <w:t>公共通信网络具备较高通达率，全区已基本实现光纤网络覆盖，城区光纤网络覆盖率达到</w:t>
      </w:r>
      <w:r>
        <w:rPr>
          <w:rFonts w:hint="eastAsia" w:ascii="Times New Roman" w:hAnsi="Times New Roman" w:eastAsia="方正仿宋_GBK" w:cs="方正仿宋_GBK"/>
          <w:snapToGrid w:val="0"/>
          <w:kern w:val="0"/>
          <w:sz w:val="32"/>
          <w:szCs w:val="32"/>
        </w:rPr>
        <w:t>99</w:t>
      </w:r>
      <w:r>
        <w:rPr>
          <w:rFonts w:hint="eastAsia" w:ascii="宋体" w:hAnsi="宋体" w:eastAsia="方正仿宋_GBK" w:cs="方正仿宋_GBK"/>
          <w:snapToGrid w:val="0"/>
          <w:kern w:val="0"/>
          <w:sz w:val="32"/>
          <w:szCs w:val="32"/>
        </w:rPr>
        <w:t>.</w:t>
      </w:r>
      <w:r>
        <w:rPr>
          <w:rFonts w:hint="eastAsia" w:ascii="Times New Roman" w:hAnsi="Times New Roman" w:eastAsia="方正仿宋_GBK" w:cs="方正仿宋_GBK"/>
          <w:snapToGrid w:val="0"/>
          <w:kern w:val="0"/>
          <w:sz w:val="32"/>
          <w:szCs w:val="32"/>
        </w:rPr>
        <w:t>2%</w:t>
      </w:r>
      <w:r>
        <w:rPr>
          <w:rFonts w:hint="eastAsia" w:ascii="宋体" w:hAnsi="宋体" w:eastAsia="方正仿宋_GBK" w:cs="方正仿宋_GBK"/>
          <w:snapToGrid w:val="0"/>
          <w:kern w:val="0"/>
          <w:sz w:val="32"/>
          <w:szCs w:val="32"/>
        </w:rPr>
        <w:t xml:space="preserve">，农村光纤网络覆盖率达到 </w:t>
      </w:r>
      <w:r>
        <w:rPr>
          <w:rFonts w:hint="eastAsia" w:ascii="Times New Roman" w:hAnsi="Times New Roman" w:eastAsia="方正仿宋_GBK" w:cs="方正仿宋_GBK"/>
          <w:snapToGrid w:val="0"/>
          <w:kern w:val="0"/>
          <w:sz w:val="32"/>
          <w:szCs w:val="32"/>
        </w:rPr>
        <w:t>75%</w:t>
      </w:r>
      <w:r>
        <w:rPr>
          <w:rFonts w:hint="eastAsia" w:ascii="宋体" w:hAnsi="宋体" w:eastAsia="方正仿宋_GBK" w:cs="方正仿宋_GBK"/>
          <w:snapToGrid w:val="0"/>
          <w:kern w:val="0"/>
          <w:sz w:val="32"/>
          <w:szCs w:val="32"/>
        </w:rPr>
        <w:t>，基本实现移动网络全覆盖。政务网络包括：政务内网、政务外网、视频专网、行业专网。依托政务外网建设智慧城市统一基础平台，可实现区内各部门自建应用系统的互通，及数据的汇聚。依托视频专网建设区统一视频共享交换平台，可实现区内各部门视频资源的汇聚共享。</w:t>
      </w:r>
    </w:p>
    <w:bookmarkEnd w:id="15"/>
    <w:bookmarkEnd w:id="16"/>
    <w:p>
      <w:pPr>
        <w:pStyle w:val="5"/>
        <w:keepNext w:val="0"/>
        <w:keepLines w:val="0"/>
        <w:numPr>
          <w:ilvl w:val="0"/>
          <w:numId w:val="1"/>
        </w:numPr>
        <w:spacing w:before="0" w:after="0" w:line="574" w:lineRule="exact"/>
        <w:ind w:firstLine="642" w:firstLineChars="200"/>
        <w:rPr>
          <w:rFonts w:hint="eastAsia" w:ascii="宋体" w:hAnsi="宋体" w:eastAsia="方正仿宋_GBK"/>
          <w:kern w:val="0"/>
        </w:rPr>
      </w:pPr>
      <w:bookmarkStart w:id="17" w:name="_Toc7045"/>
      <w:bookmarkStart w:id="18" w:name="_Toc3360"/>
      <w:r>
        <w:rPr>
          <w:rFonts w:hint="eastAsia" w:ascii="宋体" w:hAnsi="宋体" w:eastAsia="方正仿宋_GBK"/>
          <w:kern w:val="0"/>
        </w:rPr>
        <w:t>数据共享交换平台已具雏形</w:t>
      </w:r>
      <w:bookmarkEnd w:id="17"/>
      <w:bookmarkEnd w:id="18"/>
    </w:p>
    <w:p>
      <w:pPr>
        <w:spacing w:line="574" w:lineRule="exact"/>
        <w:ind w:firstLine="640" w:firstLineChars="200"/>
        <w:rPr>
          <w:rFonts w:hint="eastAsia" w:ascii="宋体" w:hAnsi="宋体" w:eastAsia="方正仿宋_GBK" w:cs="方正仿宋_GBK"/>
          <w:snapToGrid w:val="0"/>
          <w:kern w:val="0"/>
          <w:sz w:val="32"/>
          <w:szCs w:val="32"/>
        </w:rPr>
      </w:pPr>
      <w:bookmarkStart w:id="19" w:name="_Toc29314"/>
      <w:bookmarkStart w:id="20" w:name="_Toc518486884"/>
      <w:r>
        <w:rPr>
          <w:rFonts w:hint="eastAsia" w:ascii="Times New Roman" w:hAnsi="Times New Roman" w:eastAsia="方正仿宋_GBK" w:cs="方正仿宋_GBK"/>
          <w:snapToGrid w:val="0"/>
          <w:kern w:val="0"/>
          <w:sz w:val="32"/>
          <w:szCs w:val="32"/>
        </w:rPr>
        <w:t>2018</w:t>
      </w:r>
      <w:r>
        <w:rPr>
          <w:rFonts w:hint="eastAsia" w:ascii="宋体" w:hAnsi="宋体" w:eastAsia="方正仿宋_GBK" w:cs="方正仿宋_GBK"/>
          <w:snapToGrid w:val="0"/>
          <w:kern w:val="0"/>
          <w:sz w:val="32"/>
          <w:szCs w:val="32"/>
        </w:rPr>
        <w:t>年，由发改委牵头建设政务信息共享交换平台已完成基础架构搭建，</w:t>
      </w:r>
      <w:r>
        <w:rPr>
          <w:rFonts w:hint="eastAsia" w:ascii="Times New Roman" w:hAnsi="Times New Roman" w:eastAsia="方正仿宋_GBK" w:cs="方正仿宋_GBK"/>
          <w:snapToGrid w:val="0"/>
          <w:kern w:val="0"/>
          <w:sz w:val="32"/>
          <w:szCs w:val="32"/>
        </w:rPr>
        <w:t>2018</w:t>
      </w:r>
      <w:r>
        <w:rPr>
          <w:rFonts w:hint="eastAsia" w:ascii="宋体" w:hAnsi="宋体" w:eastAsia="方正仿宋_GBK" w:cs="方正仿宋_GBK"/>
          <w:snapToGrid w:val="0"/>
          <w:kern w:val="0"/>
          <w:sz w:val="32"/>
          <w:szCs w:val="32"/>
        </w:rPr>
        <w:t>年</w:t>
      </w:r>
      <w:r>
        <w:rPr>
          <w:rFonts w:hint="eastAsia" w:ascii="Times New Roman" w:hAnsi="Times New Roman" w:eastAsia="方正仿宋_GBK" w:cs="方正仿宋_GBK"/>
          <w:snapToGrid w:val="0"/>
          <w:kern w:val="0"/>
          <w:sz w:val="32"/>
          <w:szCs w:val="32"/>
        </w:rPr>
        <w:t>12</w:t>
      </w:r>
      <w:r>
        <w:rPr>
          <w:rFonts w:hint="eastAsia" w:ascii="宋体" w:hAnsi="宋体" w:eastAsia="方正仿宋_GBK" w:cs="方正仿宋_GBK"/>
          <w:snapToGrid w:val="0"/>
          <w:kern w:val="0"/>
          <w:sz w:val="32"/>
          <w:szCs w:val="32"/>
        </w:rPr>
        <w:t>月底完成了发改委、电子政务办、编办、扶贫办、工商联、残联、环卫等七个部门的数据汇聚。平台实现了与市级共享交换平台的接口，但数据还没有贯通。目前数据共享交换业务平台架构已具备雏形，可在现有平台基础上不断进行优化完善，逐步实现更多更丰富的数据汇聚、共享、挖掘、应用，不断提升数据价值。</w:t>
      </w:r>
    </w:p>
    <w:bookmarkEnd w:id="19"/>
    <w:bookmarkEnd w:id="20"/>
    <w:p>
      <w:pPr>
        <w:pStyle w:val="5"/>
        <w:keepNext w:val="0"/>
        <w:keepLines w:val="0"/>
        <w:numPr>
          <w:ilvl w:val="0"/>
          <w:numId w:val="1"/>
        </w:numPr>
        <w:spacing w:before="0" w:after="0" w:line="574" w:lineRule="exact"/>
        <w:ind w:firstLine="642" w:firstLineChars="200"/>
        <w:rPr>
          <w:rFonts w:hint="eastAsia" w:ascii="宋体" w:hAnsi="宋体" w:eastAsia="方正仿宋_GBK"/>
          <w:kern w:val="0"/>
        </w:rPr>
      </w:pPr>
      <w:bookmarkStart w:id="21" w:name="_Toc31326"/>
      <w:bookmarkStart w:id="22" w:name="_Toc12211"/>
      <w:r>
        <w:rPr>
          <w:rFonts w:hint="eastAsia" w:ascii="宋体" w:hAnsi="宋体" w:eastAsia="方正仿宋_GBK"/>
          <w:kern w:val="0"/>
        </w:rPr>
        <w:t>感知设备初具规模</w:t>
      </w:r>
      <w:bookmarkEnd w:id="21"/>
      <w:bookmarkEnd w:id="22"/>
    </w:p>
    <w:p>
      <w:pPr>
        <w:spacing w:line="574" w:lineRule="exact"/>
        <w:ind w:firstLine="640" w:firstLineChars="200"/>
        <w:rPr>
          <w:rFonts w:hint="eastAsia"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 xml:space="preserve">目前感知设备以视频设备为主，全区已建视频监控镜头总数 </w:t>
      </w:r>
      <w:r>
        <w:rPr>
          <w:rFonts w:hint="eastAsia" w:ascii="Times New Roman" w:hAnsi="Times New Roman" w:eastAsia="方正仿宋_GBK" w:cs="方正仿宋_GBK"/>
          <w:snapToGrid w:val="0"/>
          <w:kern w:val="0"/>
          <w:sz w:val="32"/>
          <w:szCs w:val="32"/>
        </w:rPr>
        <w:t>8344</w:t>
      </w:r>
      <w:r>
        <w:rPr>
          <w:rFonts w:hint="eastAsia" w:ascii="宋体" w:hAnsi="宋体" w:eastAsia="方正仿宋_GBK" w:cs="方正仿宋_GBK"/>
          <w:snapToGrid w:val="0"/>
          <w:kern w:val="0"/>
          <w:sz w:val="32"/>
          <w:szCs w:val="32"/>
        </w:rPr>
        <w:t>余路，已覆盖区内重点区域。为推动现有视频资源的整合共用，结合正在建设的“雪亮工程”新增设备，正在打造区视频共享交换平台，平台可实现完善的智慧城市视频监控共享应用体系，满足各行业领域的业务需求。</w:t>
      </w:r>
    </w:p>
    <w:p>
      <w:pPr>
        <w:spacing w:line="574" w:lineRule="exact"/>
        <w:ind w:firstLine="640" w:firstLineChars="200"/>
        <w:outlineLvl w:val="1"/>
        <w:rPr>
          <w:rFonts w:ascii="宋体" w:hAnsi="宋体" w:eastAsia="方正楷体_GBK"/>
          <w:bCs/>
          <w:sz w:val="32"/>
          <w:szCs w:val="32"/>
        </w:rPr>
      </w:pPr>
      <w:bookmarkStart w:id="23" w:name="_Toc31146"/>
      <w:bookmarkStart w:id="24" w:name="_Toc18344"/>
      <w:bookmarkStart w:id="25" w:name="_Toc16500"/>
      <w:bookmarkStart w:id="26" w:name="_Toc23009"/>
      <w:bookmarkStart w:id="27" w:name="_Toc22664"/>
      <w:r>
        <w:rPr>
          <w:rFonts w:hint="eastAsia" w:ascii="宋体" w:hAnsi="宋体" w:eastAsia="方正楷体_GBK"/>
          <w:bCs/>
          <w:sz w:val="32"/>
          <w:szCs w:val="32"/>
        </w:rPr>
        <w:t>（二）存在问题</w:t>
      </w:r>
      <w:bookmarkEnd w:id="23"/>
      <w:bookmarkEnd w:id="24"/>
      <w:bookmarkEnd w:id="25"/>
      <w:bookmarkEnd w:id="26"/>
      <w:bookmarkEnd w:id="27"/>
    </w:p>
    <w:p>
      <w:pPr>
        <w:spacing w:line="574" w:lineRule="exact"/>
        <w:ind w:firstLine="640" w:firstLineChars="200"/>
        <w:rPr>
          <w:rFonts w:hint="eastAsia" w:ascii="宋体" w:hAnsi="宋体" w:eastAsia="方正仿宋_GBK"/>
          <w:sz w:val="32"/>
          <w:szCs w:val="20"/>
        </w:rPr>
      </w:pPr>
      <w:r>
        <w:rPr>
          <w:rFonts w:hint="eastAsia" w:ascii="宋体" w:hAnsi="宋体" w:eastAsia="方正仿宋_GBK"/>
          <w:sz w:val="32"/>
          <w:szCs w:val="20"/>
        </w:rPr>
        <w:t>黔江区信息化建设已有一定基础，但对于实现新型智慧城市建设还存在着诸多困难与挑战。主要问题表现在以下几个方面：</w:t>
      </w:r>
      <w:r>
        <w:rPr>
          <w:rFonts w:hint="eastAsia" w:ascii="宋体" w:hAnsi="宋体" w:eastAsia="方正仿宋_GBK"/>
          <w:b/>
          <w:bCs/>
          <w:sz w:val="32"/>
          <w:szCs w:val="20"/>
        </w:rPr>
        <w:t>一是</w:t>
      </w:r>
      <w:r>
        <w:rPr>
          <w:rFonts w:hint="eastAsia" w:ascii="宋体" w:hAnsi="宋体" w:eastAsia="方正仿宋_GBK"/>
          <w:sz w:val="32"/>
          <w:szCs w:val="20"/>
        </w:rPr>
        <w:t>信息化、数字化基础水平薄弱。协同办公层面，各委办局、部门之间以及部门内的公文流转还以纸质为主，数字化程度低，效率低；基础网络层面，政务外网自</w:t>
      </w:r>
      <w:r>
        <w:rPr>
          <w:rFonts w:ascii="Times New Roman" w:hAnsi="Times New Roman" w:eastAsia="方正仿宋_GBK"/>
          <w:sz w:val="32"/>
          <w:szCs w:val="20"/>
        </w:rPr>
        <w:t>2003</w:t>
      </w:r>
      <w:r>
        <w:rPr>
          <w:rFonts w:hint="eastAsia" w:ascii="宋体" w:hAnsi="宋体" w:eastAsia="方正仿宋_GBK"/>
          <w:sz w:val="32"/>
          <w:szCs w:val="20"/>
        </w:rPr>
        <w:t>年建设后一直未升级，网络安全防护措施不足，存在严重的网络完全和数据安全风险，无法满足现今业务发展的需要，造成公文流转延时、卡顿、难用。</w:t>
      </w:r>
      <w:r>
        <w:rPr>
          <w:rFonts w:hint="eastAsia" w:ascii="宋体" w:hAnsi="宋体" w:eastAsia="方正仿宋_GBK"/>
          <w:b/>
          <w:bCs/>
          <w:sz w:val="32"/>
          <w:szCs w:val="20"/>
        </w:rPr>
        <w:t>二是</w:t>
      </w:r>
      <w:r>
        <w:rPr>
          <w:rFonts w:hint="eastAsia" w:ascii="宋体" w:hAnsi="宋体" w:eastAsia="方正仿宋_GBK"/>
          <w:sz w:val="32"/>
          <w:szCs w:val="20"/>
        </w:rPr>
        <w:t>物联网基础设施建设速度缓慢。城市感知能力层面，已有和在建的市政部件没有统一的监控和管理平台，增加了市政设施统计、管理、维护、监控的难度。</w:t>
      </w:r>
      <w:r>
        <w:rPr>
          <w:rFonts w:hint="eastAsia" w:ascii="宋体" w:hAnsi="宋体" w:eastAsia="方正仿宋_GBK"/>
          <w:b/>
          <w:bCs/>
          <w:sz w:val="32"/>
          <w:szCs w:val="20"/>
        </w:rPr>
        <w:t>三是</w:t>
      </w:r>
      <w:r>
        <w:rPr>
          <w:rFonts w:hint="eastAsia" w:ascii="宋体" w:hAnsi="宋体" w:eastAsia="方正仿宋_GBK"/>
          <w:sz w:val="32"/>
          <w:szCs w:val="20"/>
        </w:rPr>
        <w:t>部门之间信息孤岛情况严重。区县一级受市里统一管理，由于市级数据割裂，造成区内各委办局之间以及局内各科室之间信息孤岛情况严重；各部门间职能、权限界限分明，难协同，进一步促进了信息孤岛的形成。新建数据共享交换平台存在衔接问题，不能有效的上下衔接，阻止了形成上下协同推进格局，降低系统使用效率。</w:t>
      </w:r>
      <w:r>
        <w:rPr>
          <w:rFonts w:hint="eastAsia" w:ascii="宋体" w:hAnsi="宋体" w:eastAsia="方正仿宋_GBK"/>
          <w:b/>
          <w:bCs/>
          <w:sz w:val="32"/>
          <w:szCs w:val="20"/>
        </w:rPr>
        <w:t>四是</w:t>
      </w:r>
      <w:r>
        <w:rPr>
          <w:rFonts w:hint="eastAsia" w:ascii="宋体" w:hAnsi="宋体" w:eastAsia="方正仿宋_GBK"/>
          <w:sz w:val="32"/>
          <w:szCs w:val="20"/>
        </w:rPr>
        <w:t>专业人才严重缺失，缺乏运营维护。大部分委办局没有专业人才负责信息化工作，导致现有专业化支撑保障能力不足。</w:t>
      </w:r>
    </w:p>
    <w:p>
      <w:pPr>
        <w:pStyle w:val="3"/>
        <w:keepNext w:val="0"/>
        <w:keepLines w:val="0"/>
        <w:spacing w:before="0" w:after="0" w:line="574" w:lineRule="exact"/>
        <w:ind w:firstLine="640" w:firstLineChars="200"/>
        <w:rPr>
          <w:rFonts w:ascii="宋体" w:hAnsi="宋体" w:eastAsia="方正黑体_GBK"/>
          <w:b w:val="0"/>
          <w:sz w:val="32"/>
          <w:szCs w:val="32"/>
        </w:rPr>
      </w:pPr>
      <w:bookmarkStart w:id="28" w:name="_Toc9215"/>
      <w:bookmarkStart w:id="29" w:name="_Toc29309"/>
      <w:bookmarkStart w:id="30" w:name="_Toc22722"/>
      <w:bookmarkStart w:id="31" w:name="_Toc18441"/>
      <w:bookmarkStart w:id="32" w:name="_Toc13076"/>
      <w:r>
        <w:rPr>
          <w:rFonts w:hint="eastAsia" w:ascii="宋体" w:hAnsi="宋体" w:eastAsia="方正黑体_GBK"/>
          <w:b w:val="0"/>
          <w:sz w:val="32"/>
          <w:szCs w:val="32"/>
        </w:rPr>
        <w:t>二、发展形势</w:t>
      </w:r>
      <w:bookmarkEnd w:id="28"/>
      <w:bookmarkEnd w:id="29"/>
      <w:bookmarkEnd w:id="30"/>
      <w:bookmarkEnd w:id="31"/>
      <w:bookmarkEnd w:id="32"/>
    </w:p>
    <w:p>
      <w:pPr>
        <w:pStyle w:val="4"/>
        <w:keepNext w:val="0"/>
        <w:keepLines w:val="0"/>
        <w:spacing w:before="0" w:after="0" w:line="574" w:lineRule="exact"/>
        <w:ind w:firstLine="640" w:firstLineChars="200"/>
        <w:rPr>
          <w:rFonts w:hint="eastAsia" w:ascii="宋体" w:hAnsi="宋体"/>
        </w:rPr>
      </w:pPr>
      <w:bookmarkStart w:id="33" w:name="_Toc24967"/>
      <w:bookmarkStart w:id="34" w:name="_Toc27887"/>
      <w:bookmarkStart w:id="35" w:name="_Toc518486886"/>
      <w:bookmarkStart w:id="36" w:name="_Toc22594"/>
      <w:bookmarkStart w:id="37" w:name="_Toc14332"/>
      <w:bookmarkStart w:id="38" w:name="_Toc1910"/>
      <w:bookmarkStart w:id="39" w:name="_Toc2384"/>
      <w:r>
        <w:rPr>
          <w:rFonts w:hint="eastAsia" w:ascii="宋体" w:hAnsi="宋体" w:eastAsia="方正楷体_GBK"/>
          <w:b w:val="0"/>
        </w:rPr>
        <w:t>（一）智慧城市发展为黔江区新型城镇化建设指明新方向</w:t>
      </w:r>
      <w:bookmarkEnd w:id="33"/>
      <w:bookmarkEnd w:id="34"/>
      <w:bookmarkEnd w:id="35"/>
      <w:bookmarkEnd w:id="36"/>
      <w:bookmarkEnd w:id="37"/>
      <w:bookmarkEnd w:id="38"/>
      <w:bookmarkEnd w:id="39"/>
    </w:p>
    <w:p>
      <w:pPr>
        <w:spacing w:line="574" w:lineRule="exact"/>
        <w:ind w:firstLine="640" w:firstLineChars="200"/>
        <w:rPr>
          <w:rFonts w:hint="eastAsia"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面对新时期的社会发展，党中央将智慧城市建设作为我国新型城镇化发展的重要战略选择。当前，我国智慧城市规模业已超过</w:t>
      </w:r>
      <w:r>
        <w:rPr>
          <w:rFonts w:hint="eastAsia" w:ascii="Times New Roman" w:hAnsi="Times New Roman" w:eastAsia="方正仿宋_GBK" w:cs="方正仿宋_GBK"/>
          <w:snapToGrid w:val="0"/>
          <w:kern w:val="0"/>
          <w:sz w:val="32"/>
          <w:szCs w:val="32"/>
        </w:rPr>
        <w:t>500</w:t>
      </w:r>
      <w:r>
        <w:rPr>
          <w:rFonts w:hint="eastAsia" w:ascii="宋体" w:hAnsi="宋体" w:eastAsia="方正仿宋_GBK" w:cs="方正仿宋_GBK"/>
          <w:snapToGrid w:val="0"/>
          <w:kern w:val="0"/>
          <w:sz w:val="32"/>
          <w:szCs w:val="32"/>
        </w:rPr>
        <w:t>个，各地智慧城市经验为我区智慧城市发展提供了经验积累和参考借鉴。从发展趋势来看，我区智慧城市战略的提出顺应了信息化与新型城镇化融合发展的客观规律，势必成为今后一段时期我区城镇化发展的主要方向。</w:t>
      </w:r>
    </w:p>
    <w:p>
      <w:pPr>
        <w:spacing w:line="574" w:lineRule="exact"/>
        <w:ind w:firstLine="640" w:firstLineChars="200"/>
        <w:outlineLvl w:val="1"/>
        <w:rPr>
          <w:rFonts w:hint="eastAsia" w:ascii="宋体" w:hAnsi="宋体" w:eastAsia="方正楷体_GBK"/>
          <w:bCs/>
          <w:sz w:val="32"/>
          <w:szCs w:val="32"/>
        </w:rPr>
      </w:pPr>
      <w:bookmarkStart w:id="40" w:name="_Toc518486887"/>
      <w:bookmarkStart w:id="41" w:name="_Toc28820"/>
      <w:bookmarkStart w:id="42" w:name="_Toc2809"/>
      <w:bookmarkStart w:id="43" w:name="_Toc7829"/>
      <w:bookmarkStart w:id="44" w:name="_Toc20653"/>
      <w:r>
        <w:rPr>
          <w:rFonts w:hint="eastAsia" w:ascii="宋体" w:hAnsi="宋体" w:eastAsia="方正楷体_GBK"/>
          <w:bCs/>
          <w:sz w:val="32"/>
          <w:szCs w:val="32"/>
        </w:rPr>
        <w:t>（二）经济新常态对黔江智慧城市发展提出新要求</w:t>
      </w:r>
      <w:bookmarkEnd w:id="40"/>
      <w:bookmarkEnd w:id="41"/>
      <w:bookmarkEnd w:id="42"/>
      <w:bookmarkEnd w:id="43"/>
      <w:bookmarkEnd w:id="44"/>
    </w:p>
    <w:p>
      <w:pPr>
        <w:spacing w:line="574" w:lineRule="exact"/>
        <w:ind w:firstLine="640" w:firstLineChars="200"/>
        <w:rPr>
          <w:rFonts w:hint="eastAsia"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我国已经进入经济新常态，积极培育经济发展新动能、加快转变社会发展方式、破解发展难题、厚植发展优势，成为各地破解“三期叠加”难题的紧迫任务。以创新、协调、绿色、开放、共享的发展理念为引领，以智慧城市应用为抓手，扎实推进经济、政治、文化、社会和生态建设和改革，是我区深刻认识经济新常态、积极适应经济新常态，站上新的历史方位，推动经济社会持续健康发展的重大选择和内在要求。</w:t>
      </w:r>
    </w:p>
    <w:p>
      <w:pPr>
        <w:spacing w:line="574" w:lineRule="exact"/>
        <w:ind w:firstLine="640" w:firstLineChars="200"/>
        <w:outlineLvl w:val="1"/>
        <w:rPr>
          <w:rFonts w:hint="eastAsia" w:ascii="宋体" w:hAnsi="宋体" w:eastAsia="方正楷体_GBK"/>
          <w:bCs/>
          <w:sz w:val="32"/>
          <w:szCs w:val="32"/>
        </w:rPr>
      </w:pPr>
      <w:bookmarkStart w:id="45" w:name="_Toc11819"/>
      <w:bookmarkStart w:id="46" w:name="_Toc17800"/>
      <w:bookmarkStart w:id="47" w:name="_Toc518486888"/>
      <w:bookmarkStart w:id="48" w:name="_Toc8831"/>
      <w:bookmarkStart w:id="49" w:name="_Toc10859"/>
      <w:r>
        <w:rPr>
          <w:rFonts w:hint="eastAsia" w:ascii="宋体" w:hAnsi="宋体" w:eastAsia="方正楷体_GBK"/>
          <w:bCs/>
          <w:sz w:val="32"/>
          <w:szCs w:val="32"/>
        </w:rPr>
        <w:t>（三）国市战略为黔江智慧城市建设提供政策新环境</w:t>
      </w:r>
      <w:bookmarkEnd w:id="45"/>
      <w:bookmarkEnd w:id="46"/>
      <w:bookmarkEnd w:id="47"/>
      <w:bookmarkEnd w:id="48"/>
      <w:bookmarkEnd w:id="49"/>
    </w:p>
    <w:p>
      <w:pPr>
        <w:spacing w:line="560" w:lineRule="exact"/>
        <w:ind w:firstLine="640" w:firstLineChars="200"/>
        <w:rPr>
          <w:rFonts w:hint="eastAsia"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近年来，为鼓励和加快推进智慧城市建设，国务院及有关部委陆续发布了一系列重要的政策规划和指导意见，</w:t>
      </w:r>
      <w:r>
        <w:rPr>
          <w:rFonts w:hint="eastAsia" w:ascii="宋体" w:hAnsi="宋体" w:eastAsia="方正仿宋_GBK" w:cs="方正仿宋_GBK"/>
          <w:snapToGrid w:val="0"/>
          <w:spacing w:val="6"/>
          <w:kern w:val="0"/>
          <w:sz w:val="32"/>
          <w:szCs w:val="32"/>
        </w:rPr>
        <w:t>如《国家新型城镇化建设（</w:t>
      </w:r>
      <w:r>
        <w:rPr>
          <w:rFonts w:hint="eastAsia" w:ascii="Times New Roman" w:hAnsi="Times New Roman" w:eastAsia="方正仿宋_GBK" w:cs="方正仿宋_GBK"/>
          <w:snapToGrid w:val="0"/>
          <w:spacing w:val="6"/>
          <w:kern w:val="0"/>
          <w:sz w:val="32"/>
          <w:szCs w:val="32"/>
        </w:rPr>
        <w:t>2014</w:t>
      </w:r>
      <w:r>
        <w:rPr>
          <w:rFonts w:hint="eastAsia" w:ascii="宋体" w:hAnsi="宋体" w:eastAsia="方正仿宋_GBK" w:cs="方正仿宋_GBK"/>
          <w:snapToGrid w:val="0"/>
          <w:spacing w:val="6"/>
          <w:kern w:val="0"/>
          <w:sz w:val="32"/>
          <w:szCs w:val="32"/>
        </w:rPr>
        <w:t>-</w:t>
      </w:r>
      <w:r>
        <w:rPr>
          <w:rFonts w:hint="eastAsia" w:ascii="Times New Roman" w:hAnsi="Times New Roman" w:eastAsia="方正仿宋_GBK" w:cs="方正仿宋_GBK"/>
          <w:snapToGrid w:val="0"/>
          <w:spacing w:val="6"/>
          <w:kern w:val="0"/>
          <w:sz w:val="32"/>
          <w:szCs w:val="32"/>
        </w:rPr>
        <w:t>2020</w:t>
      </w:r>
      <w:r>
        <w:rPr>
          <w:rFonts w:hint="eastAsia" w:ascii="宋体" w:hAnsi="宋体" w:eastAsia="方正仿宋_GBK" w:cs="方正仿宋_GBK"/>
          <w:snapToGrid w:val="0"/>
          <w:spacing w:val="6"/>
          <w:kern w:val="0"/>
          <w:sz w:val="32"/>
          <w:szCs w:val="32"/>
        </w:rPr>
        <w:t>年）》《关于促进智慧城市健康发展的指导意见》《推进互联网+行动意见》《关于印发促进大数据发展行动纲要的通知》《关于加快构建大众创业万众创新支撑平台的指导意见》等，勾勒出我国智慧城市发展蓝图。重庆市也发布了《重庆市深入推进智慧城市建设总体方案（</w:t>
      </w:r>
      <w:r>
        <w:rPr>
          <w:rFonts w:hint="eastAsia" w:ascii="Times New Roman" w:hAnsi="Times New Roman" w:eastAsia="方正仿宋_GBK" w:cs="方正仿宋_GBK"/>
          <w:snapToGrid w:val="0"/>
          <w:spacing w:val="6"/>
          <w:kern w:val="0"/>
          <w:sz w:val="32"/>
          <w:szCs w:val="32"/>
        </w:rPr>
        <w:t>2015</w:t>
      </w:r>
      <w:r>
        <w:rPr>
          <w:rFonts w:hint="eastAsia" w:ascii="宋体" w:hAnsi="宋体" w:eastAsia="方正仿宋_GBK" w:cs="方正仿宋_GBK"/>
          <w:snapToGrid w:val="0"/>
          <w:spacing w:val="6"/>
          <w:kern w:val="0"/>
          <w:sz w:val="32"/>
          <w:szCs w:val="32"/>
        </w:rPr>
        <w:t>-</w:t>
      </w:r>
      <w:r>
        <w:rPr>
          <w:rFonts w:hint="eastAsia" w:ascii="Times New Roman" w:hAnsi="Times New Roman" w:eastAsia="方正仿宋_GBK" w:cs="方正仿宋_GBK"/>
          <w:snapToGrid w:val="0"/>
          <w:spacing w:val="6"/>
          <w:kern w:val="0"/>
          <w:sz w:val="32"/>
          <w:szCs w:val="32"/>
        </w:rPr>
        <w:t>2020</w:t>
      </w:r>
      <w:r>
        <w:rPr>
          <w:rFonts w:hint="eastAsia" w:ascii="宋体" w:hAnsi="宋体" w:eastAsia="方正仿宋_GBK" w:cs="方正仿宋_GBK"/>
          <w:snapToGrid w:val="0"/>
          <w:spacing w:val="6"/>
          <w:kern w:val="0"/>
          <w:sz w:val="32"/>
          <w:szCs w:val="32"/>
        </w:rPr>
        <w:t>）》及《重庆市以大数据智能化为引领的创新驱动发展战略行动计划(</w:t>
      </w:r>
      <w:r>
        <w:rPr>
          <w:rFonts w:hint="eastAsia" w:ascii="Times New Roman" w:hAnsi="Times New Roman" w:eastAsia="方正仿宋_GBK" w:cs="方正仿宋_GBK"/>
          <w:snapToGrid w:val="0"/>
          <w:spacing w:val="6"/>
          <w:kern w:val="0"/>
          <w:sz w:val="32"/>
          <w:szCs w:val="32"/>
        </w:rPr>
        <w:t>2018</w:t>
      </w:r>
      <w:r>
        <w:rPr>
          <w:rFonts w:hint="eastAsia" w:ascii="宋体" w:hAnsi="宋体" w:eastAsia="方正仿宋_GBK" w:cs="方正仿宋_GBK"/>
          <w:snapToGrid w:val="0"/>
          <w:spacing w:val="6"/>
          <w:kern w:val="0"/>
          <w:sz w:val="32"/>
          <w:szCs w:val="32"/>
        </w:rPr>
        <w:t>-</w:t>
      </w:r>
      <w:r>
        <w:rPr>
          <w:rFonts w:hint="eastAsia" w:ascii="Times New Roman" w:hAnsi="Times New Roman" w:eastAsia="方正仿宋_GBK" w:cs="方正仿宋_GBK"/>
          <w:snapToGrid w:val="0"/>
          <w:spacing w:val="6"/>
          <w:kern w:val="0"/>
          <w:sz w:val="32"/>
          <w:szCs w:val="32"/>
        </w:rPr>
        <w:t>2020</w:t>
      </w:r>
      <w:r>
        <w:rPr>
          <w:rFonts w:hint="eastAsia" w:ascii="宋体" w:hAnsi="宋体" w:eastAsia="方正仿宋_GBK" w:cs="方正仿宋_GBK"/>
          <w:snapToGrid w:val="0"/>
          <w:spacing w:val="6"/>
          <w:kern w:val="0"/>
          <w:sz w:val="32"/>
          <w:szCs w:val="32"/>
        </w:rPr>
        <w:t>)》等系列重要文件，以推动重庆市智慧城市建设。</w:t>
      </w:r>
    </w:p>
    <w:p>
      <w:pPr>
        <w:spacing w:line="574" w:lineRule="exact"/>
        <w:ind w:firstLine="480" w:firstLineChars="150"/>
        <w:outlineLvl w:val="1"/>
        <w:rPr>
          <w:rFonts w:ascii="宋体" w:hAnsi="宋体" w:eastAsia="方正楷体_GBK" w:cs="方正楷体_GBK"/>
          <w:snapToGrid w:val="0"/>
          <w:kern w:val="0"/>
          <w:sz w:val="32"/>
          <w:szCs w:val="32"/>
        </w:rPr>
      </w:pPr>
      <w:bookmarkStart w:id="50" w:name="_Toc21706"/>
      <w:bookmarkStart w:id="51" w:name="_Toc19103"/>
      <w:bookmarkStart w:id="52" w:name="_Toc21781"/>
      <w:r>
        <w:rPr>
          <w:rFonts w:hint="eastAsia" w:ascii="宋体" w:hAnsi="宋体" w:eastAsia="方正楷体_GBK" w:cs="方正楷体_GBK"/>
          <w:snapToGrid w:val="0"/>
          <w:kern w:val="0"/>
          <w:sz w:val="32"/>
          <w:szCs w:val="32"/>
        </w:rPr>
        <w:t>（四）黔江区委区政府积极响应政府号召</w:t>
      </w:r>
      <w:bookmarkEnd w:id="50"/>
      <w:bookmarkEnd w:id="51"/>
      <w:bookmarkEnd w:id="52"/>
    </w:p>
    <w:p>
      <w:pPr>
        <w:spacing w:line="560" w:lineRule="exact"/>
        <w:ind w:firstLine="640" w:firstLineChars="200"/>
        <w:rPr>
          <w:rFonts w:hint="eastAsia"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黔江区积极响应中央和市委、市政府在智慧城市建设及网络信息安全等方面的工作号召，早在</w:t>
      </w:r>
      <w:r>
        <w:rPr>
          <w:rFonts w:hint="eastAsia" w:ascii="Times New Roman" w:hAnsi="Times New Roman" w:eastAsia="方正仿宋_GBK" w:cs="方正仿宋_GBK"/>
          <w:snapToGrid w:val="0"/>
          <w:kern w:val="0"/>
          <w:sz w:val="32"/>
          <w:szCs w:val="32"/>
        </w:rPr>
        <w:t>2013</w:t>
      </w:r>
      <w:r>
        <w:rPr>
          <w:rFonts w:hint="eastAsia" w:ascii="宋体" w:hAnsi="宋体" w:eastAsia="方正仿宋_GBK" w:cs="方正仿宋_GBK"/>
          <w:snapToGrid w:val="0"/>
          <w:kern w:val="0"/>
          <w:sz w:val="32"/>
          <w:szCs w:val="32"/>
        </w:rPr>
        <w:t>年就与</w:t>
      </w:r>
      <w:r>
        <w:rPr>
          <w:rFonts w:ascii="宋体" w:hAnsi="宋体" w:eastAsia="方正仿宋_GBK" w:cs="方正仿宋_GBK"/>
          <w:snapToGrid w:val="0"/>
          <w:kern w:val="0"/>
          <w:sz w:val="32"/>
          <w:szCs w:val="32"/>
        </w:rPr>
        <w:t>IBM</w:t>
      </w:r>
      <w:r>
        <w:rPr>
          <w:rFonts w:hint="eastAsia" w:ascii="宋体" w:hAnsi="宋体" w:eastAsia="方正仿宋_GBK" w:cs="方正仿宋_GBK"/>
          <w:snapToGrid w:val="0"/>
          <w:kern w:val="0"/>
          <w:sz w:val="32"/>
          <w:szCs w:val="32"/>
        </w:rPr>
        <w:t>公司智慧城市团队洽谈智慧城市的建设发展，</w:t>
      </w:r>
      <w:r>
        <w:rPr>
          <w:rFonts w:hint="eastAsia" w:ascii="Times New Roman" w:hAnsi="Times New Roman" w:eastAsia="方正仿宋_GBK" w:cs="方正仿宋_GBK"/>
          <w:snapToGrid w:val="0"/>
          <w:kern w:val="0"/>
          <w:sz w:val="32"/>
          <w:szCs w:val="32"/>
        </w:rPr>
        <w:t>2018</w:t>
      </w:r>
      <w:r>
        <w:rPr>
          <w:rFonts w:hint="eastAsia" w:ascii="宋体" w:hAnsi="宋体" w:eastAsia="方正仿宋_GBK" w:cs="方正仿宋_GBK"/>
          <w:snapToGrid w:val="0"/>
          <w:kern w:val="0"/>
          <w:sz w:val="32"/>
          <w:szCs w:val="32"/>
        </w:rPr>
        <w:t>年启动了基于“雪亮工程”的“城市大脑”项目建设工作，目前已</w:t>
      </w:r>
      <w:r>
        <w:rPr>
          <w:rFonts w:hint="eastAsia" w:ascii="宋体" w:hAnsi="宋体" w:eastAsia="方正仿宋_GBK" w:cs="方正黑体_GBK"/>
          <w:sz w:val="32"/>
          <w:szCs w:val="32"/>
        </w:rPr>
        <w:t>形成了“一脑五网”布局， 并进入实战应用阶段，为我区新型智慧城市建设提供了强大的智能底座，</w:t>
      </w:r>
      <w:r>
        <w:rPr>
          <w:rFonts w:ascii="Times New Roman" w:hAnsi="Times New Roman" w:eastAsia="方正仿宋_GBK" w:cs="方正仿宋_GBK"/>
          <w:snapToGrid w:val="0"/>
          <w:kern w:val="0"/>
          <w:sz w:val="32"/>
          <w:szCs w:val="32"/>
        </w:rPr>
        <w:t>2018</w:t>
      </w:r>
      <w:r>
        <w:rPr>
          <w:rFonts w:hint="eastAsia" w:ascii="宋体" w:hAnsi="宋体" w:eastAsia="方正仿宋_GBK" w:cs="方正仿宋_GBK"/>
          <w:snapToGrid w:val="0"/>
          <w:kern w:val="0"/>
          <w:sz w:val="32"/>
          <w:szCs w:val="32"/>
        </w:rPr>
        <w:t>年</w:t>
      </w:r>
      <w:r>
        <w:rPr>
          <w:rFonts w:ascii="Times New Roman" w:hAnsi="Times New Roman" w:eastAsia="方正仿宋_GBK" w:cs="方正仿宋_GBK"/>
          <w:snapToGrid w:val="0"/>
          <w:kern w:val="0"/>
          <w:sz w:val="32"/>
          <w:szCs w:val="32"/>
        </w:rPr>
        <w:t>12</w:t>
      </w:r>
      <w:r>
        <w:rPr>
          <w:rFonts w:hint="eastAsia" w:ascii="宋体" w:hAnsi="宋体" w:eastAsia="方正仿宋_GBK" w:cs="方正仿宋_GBK"/>
          <w:snapToGrid w:val="0"/>
          <w:kern w:val="0"/>
          <w:sz w:val="32"/>
          <w:szCs w:val="32"/>
        </w:rPr>
        <w:t>月印发了《黔江区以大数据智能化为引领的创新驱动发展战略行动计划（</w:t>
      </w:r>
      <w:r>
        <w:rPr>
          <w:rFonts w:ascii="Times New Roman" w:hAnsi="Times New Roman" w:eastAsia="方正仿宋_GBK" w:cs="方正仿宋_GBK"/>
          <w:snapToGrid w:val="0"/>
          <w:kern w:val="0"/>
          <w:sz w:val="32"/>
          <w:szCs w:val="32"/>
        </w:rPr>
        <w:t>2018</w:t>
      </w:r>
      <w:r>
        <w:rPr>
          <w:rFonts w:ascii="宋体" w:hAnsi="宋体" w:eastAsia="方正仿宋_GBK" w:cs="方正仿宋_GBK"/>
          <w:snapToGrid w:val="0"/>
          <w:kern w:val="0"/>
          <w:sz w:val="32"/>
          <w:szCs w:val="32"/>
        </w:rPr>
        <w:t>-</w:t>
      </w:r>
      <w:r>
        <w:rPr>
          <w:rFonts w:ascii="Times New Roman" w:hAnsi="Times New Roman" w:eastAsia="方正仿宋_GBK" w:cs="方正仿宋_GBK"/>
          <w:snapToGrid w:val="0"/>
          <w:kern w:val="0"/>
          <w:sz w:val="32"/>
          <w:szCs w:val="32"/>
        </w:rPr>
        <w:t>2020</w:t>
      </w:r>
      <w:r>
        <w:rPr>
          <w:rFonts w:hint="eastAsia" w:ascii="宋体" w:hAnsi="宋体" w:eastAsia="方正仿宋_GBK" w:cs="方正仿宋_GBK"/>
          <w:snapToGrid w:val="0"/>
          <w:kern w:val="0"/>
          <w:sz w:val="32"/>
          <w:szCs w:val="32"/>
        </w:rPr>
        <w:t xml:space="preserve">年）》，提出以农副产品加工、卷烟及配套、纺织服装、新材料、节能环保和生物医药及配套等“六大产业”为产业发展核心，大力推进制造智能化，积极探索智能制造新业态、新模式，加快完善智能制造产业链体系，抢占产业发展制高点。结合农业、旅游、金融、物流、能源、教育、医疗、环保等行业智慧应用分布实施逐步向智慧城市“强政、惠民、兴业”目标迈进。 </w:t>
      </w:r>
    </w:p>
    <w:p>
      <w:pPr>
        <w:pStyle w:val="3"/>
        <w:keepNext w:val="0"/>
        <w:keepLines w:val="0"/>
        <w:spacing w:before="0" w:after="0" w:line="574" w:lineRule="exact"/>
        <w:ind w:firstLine="640" w:firstLineChars="200"/>
        <w:rPr>
          <w:rFonts w:hint="eastAsia" w:ascii="宋体" w:hAnsi="宋体" w:eastAsia="方正黑体_GBK"/>
          <w:b w:val="0"/>
          <w:sz w:val="32"/>
          <w:szCs w:val="32"/>
        </w:rPr>
      </w:pPr>
      <w:bookmarkStart w:id="53" w:name="_Toc24331"/>
      <w:bookmarkStart w:id="54" w:name="_Toc10287"/>
      <w:bookmarkStart w:id="55" w:name="_Toc8646"/>
      <w:bookmarkStart w:id="56" w:name="_Toc28435"/>
      <w:bookmarkStart w:id="57" w:name="_Toc19119"/>
      <w:r>
        <w:rPr>
          <w:rFonts w:hint="eastAsia" w:ascii="宋体" w:hAnsi="宋体" w:eastAsia="方正黑体_GBK"/>
          <w:b w:val="0"/>
          <w:sz w:val="32"/>
          <w:szCs w:val="32"/>
        </w:rPr>
        <w:t>三、总体要求</w:t>
      </w:r>
      <w:bookmarkEnd w:id="53"/>
      <w:bookmarkEnd w:id="54"/>
      <w:bookmarkEnd w:id="55"/>
      <w:bookmarkEnd w:id="56"/>
      <w:bookmarkEnd w:id="57"/>
    </w:p>
    <w:p>
      <w:pPr>
        <w:pStyle w:val="4"/>
        <w:keepNext w:val="0"/>
        <w:keepLines w:val="0"/>
        <w:spacing w:before="0" w:after="0" w:line="574" w:lineRule="exact"/>
        <w:ind w:firstLine="640" w:firstLineChars="200"/>
        <w:rPr>
          <w:rFonts w:hint="eastAsia" w:ascii="宋体" w:hAnsi="宋体" w:eastAsia="方正楷体_GBK"/>
          <w:b w:val="0"/>
        </w:rPr>
      </w:pPr>
      <w:bookmarkStart w:id="58" w:name="_Toc26589"/>
      <w:bookmarkStart w:id="59" w:name="_Toc24213"/>
      <w:bookmarkStart w:id="60" w:name="_Toc30014"/>
      <w:bookmarkStart w:id="61" w:name="_Toc25601"/>
      <w:bookmarkStart w:id="62" w:name="_Toc2686"/>
      <w:r>
        <w:rPr>
          <w:rFonts w:hint="eastAsia" w:ascii="宋体" w:hAnsi="宋体" w:eastAsia="方正楷体_GBK"/>
          <w:b w:val="0"/>
        </w:rPr>
        <w:t>（一）指导思想</w:t>
      </w:r>
      <w:bookmarkEnd w:id="58"/>
      <w:bookmarkEnd w:id="59"/>
      <w:bookmarkEnd w:id="60"/>
      <w:bookmarkEnd w:id="61"/>
      <w:bookmarkEnd w:id="62"/>
    </w:p>
    <w:p>
      <w:pPr>
        <w:spacing w:line="574"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以习近平新时代中国特色社会主义思想为指导，深入学习贯彻党的十九大和十九届二中、三中、四中全会精神，全面贯彻落实习近平总书记对重庆提出的“两点”定位、“两地”“两高”目标、发挥“三个作用”和营造良好政治生态的重要指示要求，深化落实国家和重庆市大数据发展战略，深入实施以大数据智能化为引领的创新驱动发展</w:t>
      </w:r>
      <w:r>
        <w:rPr>
          <w:rFonts w:hint="eastAsia" w:ascii="宋体" w:hAnsi="宋体" w:eastAsia="方正仿宋_GBK"/>
          <w:sz w:val="32"/>
          <w:szCs w:val="32"/>
          <w:lang w:eastAsia="zh-CN"/>
        </w:rPr>
        <w:t>战</w:t>
      </w:r>
      <w:r>
        <w:rPr>
          <w:rFonts w:hint="eastAsia" w:ascii="宋体" w:hAnsi="宋体" w:eastAsia="方正仿宋_GBK"/>
          <w:sz w:val="32"/>
          <w:szCs w:val="32"/>
        </w:rPr>
        <w:t>略行动计划，以增强人民群众获得感、幸福感、安全感为根本目的，以加大创新力度为强大动能，以推动大数据智能化应用为核心，以基础设施、网络安全、标准规范为重要支撑，分级分类推进新型智慧城市建设，促进数字经济和实体经济深度融合发展，推进数字产业化、产业数字化、数字化治理、数据价值化，提升民生服务便捷化、城市治理精准化、政府决策科学化、产业发展现代化、生态环境宜居水平，为我区推动高质量发展、创造高品质生活提供智能引擎。</w:t>
      </w:r>
    </w:p>
    <w:p>
      <w:pPr>
        <w:pStyle w:val="4"/>
        <w:keepNext w:val="0"/>
        <w:keepLines w:val="0"/>
        <w:spacing w:before="0" w:after="0" w:line="574" w:lineRule="exact"/>
        <w:ind w:firstLine="640" w:firstLineChars="200"/>
        <w:rPr>
          <w:rFonts w:hint="eastAsia" w:ascii="宋体" w:hAnsi="宋体" w:eastAsia="方正楷体_GBK"/>
          <w:b w:val="0"/>
        </w:rPr>
      </w:pPr>
      <w:bookmarkStart w:id="63" w:name="_Toc30874"/>
      <w:bookmarkStart w:id="64" w:name="_Toc29207"/>
      <w:bookmarkStart w:id="65" w:name="_Toc20782"/>
      <w:bookmarkStart w:id="66" w:name="_Toc17347"/>
      <w:bookmarkStart w:id="67" w:name="_Toc18935"/>
      <w:r>
        <w:rPr>
          <w:rFonts w:hint="eastAsia" w:ascii="宋体" w:hAnsi="宋体" w:eastAsia="方正楷体_GBK"/>
          <w:b w:val="0"/>
        </w:rPr>
        <w:t>（二）总体原则</w:t>
      </w:r>
      <w:bookmarkEnd w:id="63"/>
      <w:bookmarkEnd w:id="64"/>
      <w:bookmarkEnd w:id="65"/>
      <w:bookmarkEnd w:id="66"/>
      <w:bookmarkEnd w:id="67"/>
    </w:p>
    <w:p>
      <w:pPr>
        <w:spacing w:line="574" w:lineRule="exact"/>
        <w:ind w:firstLine="642" w:firstLineChars="200"/>
        <w:rPr>
          <w:rFonts w:hint="eastAsia" w:ascii="宋体" w:hAnsi="宋体" w:eastAsia="方正仿宋_GBK"/>
          <w:sz w:val="32"/>
          <w:szCs w:val="32"/>
        </w:rPr>
      </w:pPr>
      <w:r>
        <w:rPr>
          <w:rFonts w:hint="eastAsia" w:ascii="宋体" w:hAnsi="宋体" w:eastAsia="方正仿宋_GBK"/>
          <w:b/>
          <w:sz w:val="32"/>
          <w:szCs w:val="32"/>
        </w:rPr>
        <w:t>坚持统筹协调。</w:t>
      </w:r>
      <w:r>
        <w:rPr>
          <w:rFonts w:hint="eastAsia" w:ascii="宋体" w:hAnsi="宋体" w:eastAsia="方正仿宋_GBK" w:cs="宋体"/>
          <w:kern w:val="0"/>
          <w:sz w:val="32"/>
          <w:szCs w:val="32"/>
        </w:rPr>
        <w:t>加强总体设计，按照全市“一盘棋”的要求，强化我区新型智慧城市统一体系、统一架构，解决以往城市信息化和政务信息化中存在各自为政、重复建设等突出问题，促进系统大集成、数据大融合、业务大协同、社会大合作。</w:t>
      </w:r>
    </w:p>
    <w:p>
      <w:pPr>
        <w:spacing w:line="574" w:lineRule="exact"/>
        <w:ind w:firstLine="642" w:firstLineChars="200"/>
        <w:rPr>
          <w:rFonts w:hint="eastAsia" w:ascii="宋体" w:hAnsi="宋体" w:eastAsia="方正仿宋_GBK"/>
          <w:sz w:val="32"/>
          <w:szCs w:val="32"/>
        </w:rPr>
      </w:pPr>
      <w:r>
        <w:rPr>
          <w:rFonts w:hint="eastAsia" w:ascii="宋体" w:hAnsi="宋体" w:eastAsia="方正仿宋_GBK"/>
          <w:b/>
          <w:sz w:val="32"/>
          <w:szCs w:val="32"/>
        </w:rPr>
        <w:t>坚持数智创新。</w:t>
      </w:r>
      <w:r>
        <w:rPr>
          <w:rFonts w:ascii="宋体" w:hAnsi="宋体" w:eastAsia="方正仿宋_GBK" w:cs="宋体"/>
          <w:kern w:val="0"/>
          <w:sz w:val="32"/>
          <w:szCs w:val="32"/>
        </w:rPr>
        <w:t>以数据的理念规划城市，以数据的方式建设城市，以数据的手段管理城市，用数据的策略发展城市，有助于促进城市各个关键系统和谐高效运行，促进城市经济社会与资源环境协调发展。</w:t>
      </w:r>
    </w:p>
    <w:p>
      <w:pPr>
        <w:spacing w:line="574" w:lineRule="exact"/>
        <w:ind w:firstLine="642" w:firstLineChars="200"/>
        <w:rPr>
          <w:rFonts w:ascii="宋体" w:hAnsi="宋体" w:eastAsia="方正仿宋_GBK" w:cs="宋体"/>
          <w:kern w:val="0"/>
          <w:sz w:val="32"/>
          <w:szCs w:val="32"/>
        </w:rPr>
      </w:pPr>
      <w:r>
        <w:rPr>
          <w:rFonts w:hint="eastAsia" w:ascii="宋体" w:hAnsi="宋体" w:eastAsia="方正仿宋_GBK"/>
          <w:b/>
          <w:sz w:val="32"/>
          <w:szCs w:val="32"/>
        </w:rPr>
        <w:t>坚持</w:t>
      </w:r>
      <w:r>
        <w:rPr>
          <w:rFonts w:hint="eastAsia" w:ascii="宋体" w:hAnsi="宋体" w:eastAsia="方正仿宋_GBK" w:cs="宋体"/>
          <w:b/>
          <w:kern w:val="0"/>
          <w:sz w:val="32"/>
          <w:szCs w:val="32"/>
        </w:rPr>
        <w:t>惠民为本</w:t>
      </w:r>
      <w:r>
        <w:rPr>
          <w:rFonts w:hint="eastAsia" w:ascii="宋体" w:hAnsi="宋体" w:eastAsia="方正仿宋_GBK"/>
          <w:b/>
          <w:sz w:val="32"/>
          <w:szCs w:val="32"/>
        </w:rPr>
        <w:t>。</w:t>
      </w:r>
      <w:r>
        <w:rPr>
          <w:rFonts w:hint="eastAsia" w:ascii="宋体" w:hAnsi="宋体" w:eastAsia="方正仿宋_GBK" w:cs="宋体"/>
          <w:kern w:val="0"/>
          <w:sz w:val="32"/>
          <w:szCs w:val="32"/>
        </w:rPr>
        <w:t>以人民日益增长的美好生活需要为新型智慧城市建设的出发点和落脚点，</w:t>
      </w:r>
      <w:r>
        <w:rPr>
          <w:rFonts w:ascii="宋体" w:hAnsi="宋体" w:eastAsia="方正仿宋_GBK" w:cs="宋体"/>
          <w:kern w:val="0"/>
          <w:sz w:val="32"/>
          <w:szCs w:val="32"/>
        </w:rPr>
        <w:t>通过物与物、物与人、人与人的互联互通互动，极大增强城市信息获取、实时反馈和随时随地服务的能力，可以有效解决民生领域存在的信息不对称、服务不公平等问题，促进公共服务均等化、优质化，</w:t>
      </w:r>
      <w:r>
        <w:rPr>
          <w:rFonts w:hint="eastAsia" w:ascii="宋体" w:hAnsi="宋体" w:eastAsia="方正仿宋_GBK" w:cs="宋体"/>
          <w:kern w:val="0"/>
          <w:sz w:val="32"/>
          <w:szCs w:val="32"/>
        </w:rPr>
        <w:t>切实让新型智慧城市建设成果惠及全社会。</w:t>
      </w:r>
    </w:p>
    <w:p>
      <w:pPr>
        <w:spacing w:line="574" w:lineRule="exact"/>
        <w:ind w:firstLine="642" w:firstLineChars="200"/>
        <w:rPr>
          <w:rFonts w:ascii="宋体" w:hAnsi="宋体" w:eastAsia="方正仿宋_GBK" w:cs="宋体"/>
          <w:kern w:val="0"/>
          <w:sz w:val="32"/>
          <w:szCs w:val="32"/>
        </w:rPr>
      </w:pPr>
      <w:r>
        <w:rPr>
          <w:rFonts w:hint="eastAsia" w:ascii="宋体" w:hAnsi="宋体" w:eastAsia="方正仿宋_GBK"/>
          <w:b/>
          <w:sz w:val="32"/>
          <w:szCs w:val="32"/>
        </w:rPr>
        <w:t>坚持创新引领。</w:t>
      </w:r>
      <w:r>
        <w:rPr>
          <w:rFonts w:ascii="宋体" w:hAnsi="宋体" w:eastAsia="方正仿宋_GBK" w:cs="宋体"/>
          <w:kern w:val="0"/>
          <w:sz w:val="32"/>
          <w:szCs w:val="32"/>
        </w:rPr>
        <w:t>基于全面透彻的泛在感知、万物互联以及智能融合的应用，构建起有利于创新的制度环境和生态系统，促进城市产业链、价值链、创新产业优化升级，推动以用户创新、开放创新、大众创新、协同创新为特征的全面创新，从而为新旧动能转换和经济高质量发展注入蓬勃动力。</w:t>
      </w:r>
    </w:p>
    <w:p>
      <w:pPr>
        <w:spacing w:line="574" w:lineRule="exact"/>
        <w:ind w:firstLine="642" w:firstLineChars="200"/>
        <w:rPr>
          <w:rFonts w:hint="eastAsia" w:ascii="宋体" w:hAnsi="宋体" w:eastAsia="方正仿宋_GBK"/>
          <w:sz w:val="32"/>
          <w:szCs w:val="32"/>
        </w:rPr>
      </w:pPr>
      <w:r>
        <w:rPr>
          <w:rFonts w:hint="eastAsia" w:ascii="宋体" w:hAnsi="宋体" w:eastAsia="方正仿宋_GBK"/>
          <w:b/>
          <w:sz w:val="32"/>
          <w:szCs w:val="32"/>
        </w:rPr>
        <w:t>坚持融合共享。</w:t>
      </w:r>
      <w:r>
        <w:rPr>
          <w:rFonts w:hint="eastAsia" w:ascii="宋体" w:hAnsi="宋体" w:eastAsia="方正仿宋_GBK" w:cs="宋体"/>
          <w:kern w:val="0"/>
          <w:sz w:val="32"/>
          <w:szCs w:val="32"/>
        </w:rPr>
        <w:t>着力推进跨部门、跨领域的业务流程重组优化和机制创新，注重推动感知设施、基础平台的集约共建、互联互通，推进信息系统和数据资源整合共享，促进“设施共连、平台共用、数据共享、业务协同”。</w:t>
      </w:r>
    </w:p>
    <w:p>
      <w:pPr>
        <w:spacing w:line="574" w:lineRule="exact"/>
        <w:ind w:firstLine="642" w:firstLineChars="200"/>
        <w:rPr>
          <w:rFonts w:hint="eastAsia" w:ascii="宋体" w:hAnsi="宋体" w:eastAsia="方正仿宋_GBK"/>
          <w:sz w:val="32"/>
          <w:szCs w:val="32"/>
        </w:rPr>
      </w:pPr>
      <w:r>
        <w:rPr>
          <w:rFonts w:hint="eastAsia" w:ascii="宋体" w:hAnsi="宋体" w:eastAsia="方正仿宋_GBK"/>
          <w:b/>
          <w:sz w:val="32"/>
          <w:szCs w:val="32"/>
        </w:rPr>
        <w:t>坚持安全可控。</w:t>
      </w:r>
      <w:r>
        <w:rPr>
          <w:rFonts w:hint="eastAsia" w:ascii="宋体" w:hAnsi="宋体" w:eastAsia="方正仿宋_GBK" w:cs="宋体"/>
          <w:kern w:val="0"/>
          <w:sz w:val="32"/>
          <w:szCs w:val="32"/>
        </w:rPr>
        <w:t>完善网络和信息安全管理，强化要害信息系统和信息基础设施安全保障，加强个人信息保护，确保城市信息基础设施和数据资源的自主、安全、可控。健全网络和信息化安全标准体系，形成部门协同、上下联动的安全发展良好格局。</w:t>
      </w:r>
    </w:p>
    <w:p>
      <w:pPr>
        <w:pStyle w:val="4"/>
        <w:keepNext w:val="0"/>
        <w:keepLines w:val="0"/>
        <w:spacing w:before="0" w:after="0" w:line="574" w:lineRule="exact"/>
        <w:ind w:firstLine="640" w:firstLineChars="200"/>
        <w:rPr>
          <w:rFonts w:hint="eastAsia" w:ascii="宋体" w:hAnsi="宋体" w:eastAsia="方正楷体_GBK"/>
          <w:b w:val="0"/>
        </w:rPr>
      </w:pPr>
      <w:bookmarkStart w:id="68" w:name="_Toc23135"/>
      <w:bookmarkStart w:id="69" w:name="_Toc15441"/>
      <w:bookmarkStart w:id="70" w:name="_Toc24776"/>
      <w:bookmarkStart w:id="71" w:name="_Toc26612"/>
      <w:bookmarkStart w:id="72" w:name="_Toc17168"/>
      <w:r>
        <w:rPr>
          <w:rFonts w:hint="eastAsia" w:ascii="宋体" w:hAnsi="宋体" w:eastAsia="方正楷体_GBK"/>
          <w:b w:val="0"/>
        </w:rPr>
        <w:t>（三）总体目标</w:t>
      </w:r>
      <w:bookmarkEnd w:id="68"/>
      <w:bookmarkEnd w:id="69"/>
      <w:bookmarkEnd w:id="70"/>
      <w:bookmarkEnd w:id="71"/>
      <w:bookmarkEnd w:id="72"/>
    </w:p>
    <w:p>
      <w:pPr>
        <w:spacing w:line="574" w:lineRule="exact"/>
        <w:ind w:firstLine="640" w:firstLineChars="200"/>
        <w:rPr>
          <w:rFonts w:hint="eastAsia" w:ascii="宋体" w:hAnsi="宋体" w:eastAsia="方正仿宋_GBK" w:cs="宋体"/>
          <w:kern w:val="0"/>
          <w:sz w:val="32"/>
          <w:szCs w:val="32"/>
        </w:rPr>
      </w:pPr>
      <w:r>
        <w:rPr>
          <w:rFonts w:hint="eastAsia" w:ascii="宋体" w:hAnsi="宋体" w:eastAsia="方正仿宋_GBK" w:cs="宋体"/>
          <w:kern w:val="0"/>
          <w:sz w:val="32"/>
          <w:szCs w:val="32"/>
        </w:rPr>
        <w:t>以信息共享、互联互通为重点，以“统筹、共享、演进”为基本遵循，集聚“云联数算用”全要素群，塑造“住业游乐购”全场景集，运用云计算、物联网、大数据、人工智能等技术，建成具备“感知能力、认知能力、治理能力、指挥控制能力”的黔江区“城市数智中枢”，汇聚城市数据并进行融合计算，实现对城市全域的精准分析、整体研判、协同指挥、科学治理，提升政务治理、城市运行管理、公共服务和产业转型升级等方面的综合水平，推动“智慧黔江”建设迈上新台阶。</w:t>
      </w:r>
    </w:p>
    <w:p>
      <w:pPr>
        <w:spacing w:line="574" w:lineRule="exact"/>
        <w:ind w:firstLine="642" w:firstLineChars="200"/>
        <w:rPr>
          <w:rFonts w:ascii="宋体" w:hAnsi="宋体" w:eastAsia="方正仿宋_GBK" w:cs="宋体"/>
          <w:kern w:val="0"/>
          <w:sz w:val="32"/>
          <w:szCs w:val="32"/>
        </w:rPr>
      </w:pPr>
      <w:r>
        <w:rPr>
          <w:rFonts w:hint="eastAsia" w:ascii="宋体" w:hAnsi="宋体" w:eastAsia="方正仿宋_GBK"/>
          <w:b/>
          <w:sz w:val="32"/>
          <w:szCs w:val="32"/>
        </w:rPr>
        <w:t>——智慧生活全民共享。</w:t>
      </w:r>
      <w:r>
        <w:rPr>
          <w:rFonts w:hint="eastAsia" w:ascii="宋体" w:hAnsi="宋体" w:eastAsia="方正仿宋_GBK" w:cs="宋体"/>
          <w:kern w:val="0"/>
          <w:sz w:val="32"/>
          <w:szCs w:val="32"/>
        </w:rPr>
        <w:t>基于大数据的医疗、医保、教育、扶贫、养老、社保、就业、社区等智慧民生服务取得实质性突破，一站式门户网站、统一应用程序（</w:t>
      </w:r>
      <w:r>
        <w:rPr>
          <w:rFonts w:ascii="Times New Roman" w:hAnsi="Times New Roman"/>
          <w:kern w:val="0"/>
          <w:sz w:val="32"/>
          <w:szCs w:val="32"/>
        </w:rPr>
        <w:t>APP</w:t>
      </w:r>
      <w:r>
        <w:rPr>
          <w:rFonts w:hint="eastAsia" w:ascii="宋体" w:hAnsi="宋体" w:eastAsia="方正仿宋_GBK" w:cs="宋体"/>
          <w:kern w:val="0"/>
          <w:sz w:val="32"/>
          <w:szCs w:val="32"/>
        </w:rPr>
        <w:t>）等惠民应用不断完善，市民和企业通过移动终端等方式即可零距离享受高品质服务，社会公共服务资源不断向基层延伸，城乡一体化的普惠民生服务体系基本形成，群众获得感、幸福感、安全感不断提升。</w:t>
      </w:r>
    </w:p>
    <w:p>
      <w:pPr>
        <w:spacing w:line="574" w:lineRule="exact"/>
        <w:ind w:firstLine="642" w:firstLineChars="200"/>
        <w:rPr>
          <w:rFonts w:hint="eastAsia" w:ascii="宋体" w:hAnsi="宋体" w:eastAsia="方正仿宋_GBK" w:cs="宋体"/>
          <w:kern w:val="0"/>
          <w:sz w:val="32"/>
          <w:szCs w:val="32"/>
        </w:rPr>
      </w:pPr>
      <w:r>
        <w:rPr>
          <w:rFonts w:hint="eastAsia" w:ascii="宋体" w:hAnsi="宋体" w:eastAsia="方正仿宋_GBK" w:cs="宋体"/>
          <w:b/>
          <w:kern w:val="0"/>
          <w:sz w:val="32"/>
          <w:szCs w:val="32"/>
        </w:rPr>
        <w:t>——城市治理全网覆盖。</w:t>
      </w:r>
      <w:r>
        <w:rPr>
          <w:rFonts w:hint="eastAsia" w:ascii="宋体" w:hAnsi="宋体" w:eastAsia="方正仿宋_GBK" w:cs="宋体"/>
          <w:kern w:val="0"/>
          <w:sz w:val="32"/>
          <w:szCs w:val="32"/>
        </w:rPr>
        <w:t>建成横向到边、纵向到底、多业务叠加、以网格化为基础的城市综合治理体系，重点公共区域视频联网率达到</w:t>
      </w:r>
      <w:r>
        <w:rPr>
          <w:rFonts w:ascii="Times New Roman" w:hAnsi="Times New Roman"/>
          <w:kern w:val="0"/>
          <w:sz w:val="32"/>
          <w:szCs w:val="32"/>
        </w:rPr>
        <w:t>100%</w:t>
      </w:r>
      <w:r>
        <w:rPr>
          <w:rFonts w:hint="eastAsia" w:ascii="宋体" w:hAnsi="宋体" w:eastAsia="方正仿宋_GBK" w:cs="宋体"/>
          <w:kern w:val="0"/>
          <w:sz w:val="32"/>
          <w:szCs w:val="32"/>
        </w:rPr>
        <w:t>，依托物联网、大数据、人工智能等技术大幅提升交通管控效率、交通运输服务能力和市民出行服务体验，“城市数智中枢”全面支撑优化城市治理与决策部署。</w:t>
      </w:r>
    </w:p>
    <w:p>
      <w:pPr>
        <w:spacing w:line="574" w:lineRule="exact"/>
        <w:ind w:firstLine="642" w:firstLineChars="200"/>
        <w:rPr>
          <w:rFonts w:hint="eastAsia" w:ascii="宋体" w:hAnsi="宋体" w:eastAsia="方正仿宋_GBK" w:cs="宋体"/>
          <w:kern w:val="0"/>
          <w:sz w:val="32"/>
          <w:szCs w:val="32"/>
        </w:rPr>
      </w:pPr>
      <w:r>
        <w:rPr>
          <w:rFonts w:hint="eastAsia" w:ascii="宋体" w:hAnsi="宋体" w:eastAsia="方正仿宋_GBK" w:cs="宋体"/>
          <w:b/>
          <w:kern w:val="0"/>
          <w:sz w:val="32"/>
          <w:szCs w:val="32"/>
        </w:rPr>
        <w:t>——政务协同一网通办。</w:t>
      </w:r>
      <w:r>
        <w:rPr>
          <w:rFonts w:hint="eastAsia" w:ascii="宋体" w:hAnsi="宋体" w:eastAsia="方正仿宋_GBK" w:cs="宋体"/>
          <w:kern w:val="0"/>
          <w:sz w:val="32"/>
          <w:szCs w:val="32"/>
        </w:rPr>
        <w:t>政务数据资源跨部门共享水平显著提升，基于大数据驱动的智能机关应用全面实现政务服务和政务运行管理创新。“互联网+政务服务”体系进一步优化完善，政务系统全面整合上云，政务服务网上统一入口率达到</w:t>
      </w:r>
      <w:r>
        <w:rPr>
          <w:rFonts w:hint="eastAsia" w:ascii="Times New Roman" w:hAnsi="Times New Roman" w:eastAsia="方正仿宋_GBK" w:cs="宋体"/>
          <w:kern w:val="0"/>
          <w:sz w:val="32"/>
          <w:szCs w:val="32"/>
        </w:rPr>
        <w:t>100%</w:t>
      </w:r>
      <w:r>
        <w:rPr>
          <w:rFonts w:hint="eastAsia" w:ascii="宋体" w:hAnsi="宋体" w:eastAsia="方正仿宋_GBK" w:cs="宋体"/>
          <w:kern w:val="0"/>
          <w:sz w:val="32"/>
          <w:szCs w:val="32"/>
        </w:rPr>
        <w:t>，服务大厅全面推行“愉快办”政务服务平台，实现“马上办、网上办、就近办、一次办”。社会信用信息全面覆盖企事业单位和城乡居民，“互联网+监管”体系不断完善，实现城市“规建管”一体化统筹。</w:t>
      </w:r>
    </w:p>
    <w:p>
      <w:pPr>
        <w:spacing w:line="574" w:lineRule="exact"/>
        <w:ind w:firstLine="642" w:firstLineChars="200"/>
        <w:rPr>
          <w:rFonts w:ascii="宋体" w:hAnsi="宋体" w:eastAsia="方正仿宋_GBK" w:cs="宋体"/>
          <w:kern w:val="0"/>
          <w:sz w:val="32"/>
          <w:szCs w:val="32"/>
        </w:rPr>
      </w:pPr>
      <w:r>
        <w:rPr>
          <w:rFonts w:hint="eastAsia" w:ascii="宋体" w:hAnsi="宋体" w:eastAsia="方正仿宋_GBK"/>
          <w:b/>
          <w:sz w:val="32"/>
          <w:szCs w:val="32"/>
        </w:rPr>
        <w:t>——</w:t>
      </w:r>
      <w:r>
        <w:rPr>
          <w:rFonts w:hint="eastAsia" w:ascii="宋体" w:hAnsi="宋体" w:eastAsia="方正仿宋_GBK" w:cs="宋体"/>
          <w:b/>
          <w:kern w:val="0"/>
          <w:sz w:val="32"/>
          <w:szCs w:val="32"/>
        </w:rPr>
        <w:t>产业提质全面融合。</w:t>
      </w:r>
      <w:r>
        <w:rPr>
          <w:rFonts w:hint="eastAsia" w:ascii="宋体" w:hAnsi="宋体" w:eastAsia="方正仿宋_GBK" w:cs="宋体"/>
          <w:kern w:val="0"/>
          <w:sz w:val="32"/>
          <w:szCs w:val="32"/>
        </w:rPr>
        <w:t>物联网、大数据、人工智能等新一代信息技术与传统产业实现深度融合发展，产业转型升级步伐加快，农业生产、管理、经营、服务数字化水平显著增强，智能制造领域新技术新业态新模式加快应用，智慧物流、智慧文旅、智慧金融等服务业持续壮大，智慧招商体系支撑招商引资取得积极成效，完成正阳工业园区智慧园区建设。</w:t>
      </w:r>
    </w:p>
    <w:p>
      <w:pPr>
        <w:spacing w:line="574" w:lineRule="exact"/>
        <w:ind w:firstLine="642" w:firstLineChars="200"/>
        <w:rPr>
          <w:rFonts w:hint="eastAsia" w:ascii="宋体" w:hAnsi="宋体"/>
        </w:rPr>
      </w:pPr>
      <w:r>
        <w:rPr>
          <w:rFonts w:hint="eastAsia" w:ascii="宋体" w:hAnsi="宋体" w:eastAsia="方正仿宋_GBK" w:cs="宋体"/>
          <w:b/>
          <w:kern w:val="0"/>
          <w:sz w:val="32"/>
          <w:szCs w:val="32"/>
        </w:rPr>
        <w:t>——</w:t>
      </w:r>
      <w:r>
        <w:rPr>
          <w:rFonts w:hint="eastAsia" w:ascii="宋体" w:hAnsi="宋体" w:eastAsia="方正仿宋_GBK" w:cs="方正仿宋_GBK"/>
          <w:b/>
          <w:snapToGrid w:val="0"/>
          <w:kern w:val="0"/>
          <w:sz w:val="32"/>
          <w:szCs w:val="32"/>
        </w:rPr>
        <w:t>生态宜居全域美丽。</w:t>
      </w:r>
      <w:r>
        <w:rPr>
          <w:rFonts w:hint="eastAsia" w:ascii="宋体" w:hAnsi="宋体" w:eastAsia="方正仿宋_GBK" w:cs="方正仿宋_GBK"/>
          <w:snapToGrid w:val="0"/>
          <w:kern w:val="0"/>
          <w:sz w:val="32"/>
          <w:szCs w:val="32"/>
        </w:rPr>
        <w:t>以立体感知、智能监测、在线防控等为核心的智慧环保、智慧水务、智慧能源等全面发展，生态环境监测监管能力和生态资源要素管理效率大幅提升，生态环境资源得到合理开发和充分保护，经济社会与生态环境实现绿色协调发展。</w:t>
      </w:r>
    </w:p>
    <w:p>
      <w:pPr>
        <w:spacing w:line="574" w:lineRule="exact"/>
        <w:ind w:firstLine="642" w:firstLineChars="200"/>
        <w:rPr>
          <w:rFonts w:hint="eastAsia" w:ascii="宋体" w:hAnsi="宋体" w:eastAsia="方正仿宋_GBK" w:cs="宋体"/>
          <w:kern w:val="0"/>
          <w:sz w:val="32"/>
          <w:szCs w:val="32"/>
        </w:rPr>
      </w:pPr>
      <w:r>
        <w:rPr>
          <w:rFonts w:hint="eastAsia" w:ascii="宋体" w:hAnsi="宋体" w:eastAsia="方正仿宋_GBK" w:cs="宋体"/>
          <w:b/>
          <w:kern w:val="0"/>
          <w:sz w:val="32"/>
          <w:szCs w:val="32"/>
        </w:rPr>
        <w:t>——基础设施</w:t>
      </w:r>
      <w:r>
        <w:rPr>
          <w:rFonts w:hint="eastAsia" w:ascii="宋体" w:hAnsi="宋体" w:eastAsia="方正仿宋_GBK" w:cs="方正仿宋_GBK"/>
          <w:b/>
          <w:snapToGrid w:val="0"/>
          <w:kern w:val="0"/>
          <w:sz w:val="32"/>
          <w:szCs w:val="32"/>
        </w:rPr>
        <w:t>全域互联</w:t>
      </w:r>
      <w:r>
        <w:rPr>
          <w:rFonts w:hint="eastAsia" w:ascii="宋体" w:hAnsi="宋体" w:eastAsia="方正仿宋_GBK" w:cs="宋体"/>
          <w:b/>
          <w:kern w:val="0"/>
          <w:sz w:val="32"/>
          <w:szCs w:val="32"/>
        </w:rPr>
        <w:t>。</w:t>
      </w:r>
      <w:r>
        <w:rPr>
          <w:rFonts w:hint="eastAsia" w:ascii="宋体" w:hAnsi="宋体" w:eastAsia="方正仿宋_GBK" w:cs="宋体"/>
          <w:kern w:val="0"/>
          <w:sz w:val="32"/>
          <w:szCs w:val="32"/>
        </w:rPr>
        <w:t>全面建成高速泛在的全光网络，</w:t>
      </w:r>
      <w:r>
        <w:rPr>
          <w:rFonts w:ascii="Times New Roman" w:hAnsi="Times New Roman"/>
          <w:kern w:val="0"/>
          <w:sz w:val="32"/>
          <w:szCs w:val="32"/>
        </w:rPr>
        <w:t>4</w:t>
      </w:r>
      <w:r>
        <w:rPr>
          <w:rFonts w:ascii="宋体" w:hAnsi="宋体"/>
          <w:kern w:val="0"/>
          <w:sz w:val="32"/>
          <w:szCs w:val="32"/>
        </w:rPr>
        <w:t>G</w:t>
      </w:r>
      <w:r>
        <w:rPr>
          <w:rFonts w:hint="eastAsia" w:ascii="宋体" w:hAnsi="宋体" w:eastAsia="方正仿宋_GBK" w:cs="宋体"/>
          <w:kern w:val="0"/>
          <w:sz w:val="32"/>
          <w:szCs w:val="32"/>
        </w:rPr>
        <w:t>网络实现深度覆盖，</w:t>
      </w:r>
      <w:r>
        <w:rPr>
          <w:rFonts w:ascii="Times New Roman" w:hAnsi="Times New Roman"/>
          <w:kern w:val="0"/>
          <w:sz w:val="32"/>
          <w:szCs w:val="32"/>
        </w:rPr>
        <w:t>5</w:t>
      </w:r>
      <w:r>
        <w:rPr>
          <w:rFonts w:ascii="宋体" w:hAnsi="宋体"/>
          <w:kern w:val="0"/>
          <w:sz w:val="32"/>
          <w:szCs w:val="32"/>
        </w:rPr>
        <w:t>G</w:t>
      </w:r>
      <w:r>
        <w:rPr>
          <w:rFonts w:hint="eastAsia" w:ascii="宋体" w:hAnsi="宋体" w:eastAsia="方正仿宋_GBK" w:cs="宋体"/>
          <w:kern w:val="0"/>
          <w:sz w:val="32"/>
          <w:szCs w:val="32"/>
        </w:rPr>
        <w:t>网络实现规模化商用部署，逐步发展卫星遥感基础设施，基本形成覆盖城乡的高速通信网、电子政务网、物联网等基础网络传输体系和城市部件数字化标识体系。依托全市统一的数字重庆云平台，推动全区各部门业务系统遵循统一架构实现上云部署。建成城市大数据资源中心（数据智能平台）、城市物联网平台等新型赋能设施，实现全面对外提供服务和提升我区数据资源开发利用效能。</w:t>
      </w:r>
    </w:p>
    <w:p>
      <w:pPr>
        <w:spacing w:line="574" w:lineRule="exact"/>
        <w:ind w:firstLine="640"/>
        <w:rPr>
          <w:rFonts w:hint="eastAsia" w:ascii="宋体" w:hAnsi="宋体" w:eastAsia="方正仿宋_GBK" w:cs="宋体"/>
          <w:kern w:val="0"/>
          <w:sz w:val="32"/>
          <w:szCs w:val="32"/>
        </w:rPr>
      </w:pPr>
      <w:r>
        <w:rPr>
          <w:rFonts w:hint="eastAsia" w:ascii="宋体" w:hAnsi="宋体" w:eastAsia="方正仿宋_GBK" w:cs="方正仿宋_GBK"/>
          <w:snapToGrid w:val="0"/>
          <w:kern w:val="0"/>
          <w:sz w:val="32"/>
          <w:szCs w:val="32"/>
        </w:rPr>
        <w:t>围绕民生服务、城市治理、政府管理、产业融合、生态宜居和基础设施等六大领域设立</w:t>
      </w:r>
      <w:r>
        <w:rPr>
          <w:rFonts w:hint="eastAsia" w:ascii="Times New Roman" w:hAnsi="Times New Roman" w:eastAsia="方正仿宋_GBK" w:cs="方正仿宋_GBK"/>
          <w:snapToGrid w:val="0"/>
          <w:kern w:val="0"/>
          <w:sz w:val="32"/>
          <w:szCs w:val="32"/>
        </w:rPr>
        <w:t>2</w:t>
      </w:r>
      <w:r>
        <w:rPr>
          <w:rFonts w:ascii="Times New Roman" w:hAnsi="Times New Roman" w:eastAsia="方正仿宋_GBK" w:cs="方正仿宋_GBK"/>
          <w:snapToGrid w:val="0"/>
          <w:kern w:val="0"/>
          <w:sz w:val="32"/>
          <w:szCs w:val="32"/>
        </w:rPr>
        <w:t>5</w:t>
      </w:r>
      <w:r>
        <w:rPr>
          <w:rFonts w:hint="eastAsia" w:ascii="宋体" w:hAnsi="宋体" w:eastAsia="方正仿宋_GBK" w:cs="方正仿宋_GBK"/>
          <w:snapToGrid w:val="0"/>
          <w:kern w:val="0"/>
          <w:sz w:val="32"/>
          <w:szCs w:val="32"/>
        </w:rPr>
        <w:t>项核心指标，并分别提出近期（</w:t>
      </w:r>
      <w:r>
        <w:rPr>
          <w:rFonts w:hint="eastAsia" w:ascii="Times New Roman" w:hAnsi="Times New Roman" w:eastAsia="方正仿宋_GBK" w:cs="方正仿宋_GBK"/>
          <w:snapToGrid w:val="0"/>
          <w:kern w:val="0"/>
          <w:sz w:val="32"/>
          <w:szCs w:val="32"/>
        </w:rPr>
        <w:t>2023</w:t>
      </w:r>
      <w:r>
        <w:rPr>
          <w:rFonts w:hint="eastAsia" w:ascii="宋体" w:hAnsi="宋体" w:eastAsia="方正仿宋_GBK" w:cs="方正仿宋_GBK"/>
          <w:snapToGrid w:val="0"/>
          <w:kern w:val="0"/>
          <w:sz w:val="32"/>
          <w:szCs w:val="32"/>
        </w:rPr>
        <w:t>年）和远期（</w:t>
      </w:r>
      <w:r>
        <w:rPr>
          <w:rFonts w:hint="eastAsia" w:ascii="Times New Roman" w:hAnsi="Times New Roman" w:eastAsia="方正仿宋_GBK" w:cs="方正仿宋_GBK"/>
          <w:snapToGrid w:val="0"/>
          <w:kern w:val="0"/>
          <w:sz w:val="32"/>
          <w:szCs w:val="32"/>
        </w:rPr>
        <w:t>2025</w:t>
      </w:r>
      <w:r>
        <w:rPr>
          <w:rFonts w:hint="eastAsia" w:ascii="宋体" w:hAnsi="宋体" w:eastAsia="方正仿宋_GBK" w:cs="方正仿宋_GBK"/>
          <w:snapToGrid w:val="0"/>
          <w:kern w:val="0"/>
          <w:sz w:val="32"/>
          <w:szCs w:val="32"/>
        </w:rPr>
        <w:t>年）的量化目标。</w:t>
      </w:r>
    </w:p>
    <w:p>
      <w:pPr>
        <w:spacing w:line="574" w:lineRule="exact"/>
        <w:jc w:val="center"/>
        <w:rPr>
          <w:rFonts w:ascii="宋体" w:hAnsi="宋体" w:eastAsia="方正黑体_GBK" w:cs="宋体"/>
          <w:kern w:val="0"/>
          <w:sz w:val="32"/>
          <w:szCs w:val="32"/>
        </w:rPr>
      </w:pPr>
      <w:r>
        <w:rPr>
          <w:rFonts w:hint="eastAsia" w:ascii="宋体" w:hAnsi="宋体" w:eastAsia="方正黑体_GBK" w:cs="宋体"/>
          <w:kern w:val="0"/>
          <w:sz w:val="32"/>
          <w:szCs w:val="32"/>
        </w:rPr>
        <w:t>表</w:t>
      </w:r>
      <w:r>
        <w:rPr>
          <w:rFonts w:ascii="Times New Roman" w:hAnsi="Times New Roman" w:eastAsia="方正黑体_GBK"/>
          <w:kern w:val="0"/>
          <w:sz w:val="32"/>
          <w:szCs w:val="32"/>
        </w:rPr>
        <w:t>1</w:t>
      </w:r>
      <w:r>
        <w:rPr>
          <w:rFonts w:hint="eastAsia" w:ascii="宋体" w:hAnsi="宋体" w:eastAsia="方正黑体_GBK" w:cs="宋体"/>
          <w:kern w:val="0"/>
          <w:sz w:val="32"/>
          <w:szCs w:val="32"/>
        </w:rPr>
        <w:t>：黔江区新型智慧城市建设主要指标</w:t>
      </w:r>
    </w:p>
    <w:tbl>
      <w:tblPr>
        <w:tblStyle w:val="16"/>
        <w:tblW w:w="4997" w:type="pct"/>
        <w:jc w:val="center"/>
        <w:tblLayout w:type="autofit"/>
        <w:tblCellMar>
          <w:top w:w="0" w:type="dxa"/>
          <w:left w:w="28" w:type="dxa"/>
          <w:bottom w:w="0" w:type="dxa"/>
          <w:right w:w="28" w:type="dxa"/>
        </w:tblCellMar>
      </w:tblPr>
      <w:tblGrid>
        <w:gridCol w:w="604"/>
        <w:gridCol w:w="744"/>
        <w:gridCol w:w="3907"/>
        <w:gridCol w:w="914"/>
        <w:gridCol w:w="914"/>
        <w:gridCol w:w="892"/>
        <w:gridCol w:w="1090"/>
      </w:tblGrid>
      <w:tr>
        <w:tblPrEx>
          <w:tblCellMar>
            <w:top w:w="0" w:type="dxa"/>
            <w:left w:w="28" w:type="dxa"/>
            <w:bottom w:w="0" w:type="dxa"/>
            <w:right w:w="28" w:type="dxa"/>
          </w:tblCellMar>
        </w:tblPrEx>
        <w:trPr>
          <w:trHeight w:val="420" w:hRule="atLeast"/>
          <w:tblHeader/>
          <w:jc w:val="center"/>
        </w:trPr>
        <w:tc>
          <w:tcPr>
            <w:tcW w:w="33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方正黑体_GBK" w:cs="宋体"/>
                <w:snapToGrid w:val="0"/>
                <w:kern w:val="0"/>
                <w:sz w:val="24"/>
              </w:rPr>
            </w:pPr>
            <w:r>
              <w:rPr>
                <w:rFonts w:hint="eastAsia" w:ascii="宋体" w:hAnsi="宋体" w:eastAsia="方正黑体_GBK" w:cs="宋体"/>
                <w:snapToGrid w:val="0"/>
                <w:kern w:val="0"/>
                <w:sz w:val="24"/>
              </w:rPr>
              <w:t>序号</w:t>
            </w:r>
          </w:p>
        </w:tc>
        <w:tc>
          <w:tcPr>
            <w:tcW w:w="410"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方正黑体_GBK" w:cs="宋体"/>
                <w:snapToGrid w:val="0"/>
                <w:kern w:val="0"/>
                <w:sz w:val="24"/>
              </w:rPr>
            </w:pPr>
            <w:r>
              <w:rPr>
                <w:rFonts w:hint="eastAsia" w:ascii="宋体" w:hAnsi="宋体" w:eastAsia="方正黑体_GBK" w:cs="宋体"/>
                <w:snapToGrid w:val="0"/>
                <w:kern w:val="0"/>
                <w:sz w:val="24"/>
              </w:rPr>
              <w:t>领域</w:t>
            </w:r>
          </w:p>
        </w:tc>
        <w:tc>
          <w:tcPr>
            <w:tcW w:w="2154"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方正黑体_GBK" w:cs="宋体"/>
                <w:snapToGrid w:val="0"/>
                <w:kern w:val="0"/>
                <w:sz w:val="24"/>
              </w:rPr>
            </w:pPr>
            <w:r>
              <w:rPr>
                <w:rFonts w:hint="eastAsia" w:ascii="宋体" w:hAnsi="宋体" w:eastAsia="方正黑体_GBK" w:cs="宋体"/>
                <w:snapToGrid w:val="0"/>
                <w:kern w:val="0"/>
                <w:sz w:val="24"/>
              </w:rPr>
              <w:t>核心指标</w:t>
            </w:r>
          </w:p>
        </w:tc>
        <w:tc>
          <w:tcPr>
            <w:tcW w:w="504"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方正黑体_GBK" w:cs="宋体"/>
                <w:snapToGrid w:val="0"/>
                <w:kern w:val="0"/>
                <w:sz w:val="24"/>
              </w:rPr>
            </w:pPr>
            <w:r>
              <w:rPr>
                <w:rFonts w:hint="eastAsia" w:ascii="Times New Roman" w:hAnsi="Times New Roman" w:eastAsia="方正黑体_GBK" w:cs="宋体"/>
                <w:snapToGrid w:val="0"/>
                <w:kern w:val="0"/>
                <w:sz w:val="24"/>
              </w:rPr>
              <w:t>2021</w:t>
            </w:r>
            <w:r>
              <w:rPr>
                <w:rFonts w:hint="eastAsia" w:ascii="宋体" w:hAnsi="宋体" w:eastAsia="方正黑体_GBK" w:cs="宋体"/>
                <w:snapToGrid w:val="0"/>
                <w:kern w:val="0"/>
                <w:sz w:val="24"/>
              </w:rPr>
              <w:t>年</w:t>
            </w:r>
          </w:p>
        </w:tc>
        <w:tc>
          <w:tcPr>
            <w:tcW w:w="504"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方正黑体_GBK" w:cs="宋体"/>
                <w:snapToGrid w:val="0"/>
                <w:kern w:val="0"/>
                <w:sz w:val="24"/>
              </w:rPr>
            </w:pPr>
            <w:r>
              <w:rPr>
                <w:rFonts w:hint="eastAsia" w:ascii="Times New Roman" w:hAnsi="Times New Roman" w:eastAsia="方正黑体_GBK" w:cs="宋体"/>
                <w:snapToGrid w:val="0"/>
                <w:kern w:val="0"/>
                <w:sz w:val="24"/>
              </w:rPr>
              <w:t>2023</w:t>
            </w:r>
            <w:r>
              <w:rPr>
                <w:rFonts w:hint="eastAsia" w:ascii="宋体" w:hAnsi="宋体" w:eastAsia="方正黑体_GBK" w:cs="宋体"/>
                <w:snapToGrid w:val="0"/>
                <w:kern w:val="0"/>
                <w:sz w:val="24"/>
              </w:rPr>
              <w:t>年</w:t>
            </w:r>
          </w:p>
        </w:tc>
        <w:tc>
          <w:tcPr>
            <w:tcW w:w="492"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方正黑体_GBK" w:cs="宋体"/>
                <w:snapToGrid w:val="0"/>
                <w:kern w:val="0"/>
                <w:sz w:val="24"/>
              </w:rPr>
            </w:pPr>
            <w:r>
              <w:rPr>
                <w:rFonts w:hint="eastAsia" w:ascii="Times New Roman" w:hAnsi="Times New Roman" w:eastAsia="方正黑体_GBK" w:cs="宋体"/>
                <w:snapToGrid w:val="0"/>
                <w:kern w:val="0"/>
                <w:sz w:val="24"/>
              </w:rPr>
              <w:t>2025</w:t>
            </w:r>
            <w:r>
              <w:rPr>
                <w:rFonts w:hint="eastAsia" w:ascii="宋体" w:hAnsi="宋体" w:eastAsia="方正黑体_GBK" w:cs="宋体"/>
                <w:snapToGrid w:val="0"/>
                <w:kern w:val="0"/>
                <w:sz w:val="24"/>
              </w:rPr>
              <w:t>年</w:t>
            </w:r>
          </w:p>
        </w:tc>
        <w:tc>
          <w:tcPr>
            <w:tcW w:w="601"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方正黑体_GBK" w:cs="宋体"/>
                <w:snapToGrid w:val="0"/>
                <w:kern w:val="0"/>
                <w:sz w:val="24"/>
              </w:rPr>
            </w:pPr>
            <w:r>
              <w:rPr>
                <w:rFonts w:hint="eastAsia" w:ascii="宋体" w:hAnsi="宋体" w:eastAsia="方正黑体_GBK" w:cs="宋体"/>
                <w:snapToGrid w:val="0"/>
                <w:kern w:val="0"/>
                <w:sz w:val="24"/>
              </w:rPr>
              <w:t>指标属性</w:t>
            </w:r>
          </w:p>
        </w:tc>
      </w:tr>
      <w:tr>
        <w:tblPrEx>
          <w:tblCellMar>
            <w:top w:w="0" w:type="dxa"/>
            <w:left w:w="28" w:type="dxa"/>
            <w:bottom w:w="0" w:type="dxa"/>
            <w:right w:w="28" w:type="dxa"/>
          </w:tblCellMar>
        </w:tblPrEx>
        <w:trPr>
          <w:trHeight w:val="420" w:hRule="atLeast"/>
          <w:jc w:val="center"/>
        </w:trPr>
        <w:tc>
          <w:tcPr>
            <w:tcW w:w="333"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1</w:t>
            </w:r>
          </w:p>
        </w:tc>
        <w:tc>
          <w:tcPr>
            <w:tcW w:w="410" w:type="pct"/>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民生服务</w:t>
            </w:r>
          </w:p>
        </w:tc>
        <w:tc>
          <w:tcPr>
            <w:tcW w:w="2154" w:type="pct"/>
            <w:tcBorders>
              <w:top w:val="nil"/>
              <w:left w:val="nil"/>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医疗机构电子病历普及率（</w:t>
            </w:r>
            <w:r>
              <w:rPr>
                <w:rFonts w:hint="eastAsia" w:ascii="Times New Roman" w:hAnsi="Times New Roman" w:eastAsia="方正仿宋_GBK" w:cs="宋体"/>
                <w:snapToGrid w:val="0"/>
                <w:kern w:val="0"/>
                <w:sz w:val="24"/>
              </w:rPr>
              <w:t>%</w:t>
            </w:r>
            <w:r>
              <w:rPr>
                <w:rFonts w:hint="eastAsia" w:ascii="宋体" w:hAnsi="宋体" w:eastAsia="方正仿宋_GBK" w:cs="宋体"/>
                <w:snapToGrid w:val="0"/>
                <w:kern w:val="0"/>
                <w:sz w:val="24"/>
              </w:rPr>
              <w:t>）</w:t>
            </w:r>
          </w:p>
        </w:tc>
        <w:tc>
          <w:tcPr>
            <w:tcW w:w="504"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95</w:t>
            </w:r>
          </w:p>
        </w:tc>
        <w:tc>
          <w:tcPr>
            <w:tcW w:w="504" w:type="pct"/>
            <w:tcBorders>
              <w:top w:val="nil"/>
              <w:left w:val="nil"/>
              <w:bottom w:val="single" w:color="auto" w:sz="4" w:space="0"/>
              <w:right w:val="single" w:color="auto" w:sz="4" w:space="0"/>
            </w:tcBorders>
            <w:noWrap w:val="0"/>
            <w:vAlign w:val="center"/>
          </w:tcPr>
          <w:p>
            <w:pPr>
              <w:jc w:val="center"/>
              <w:rPr>
                <w:rFonts w:ascii="宋体" w:hAnsi="宋体" w:eastAsia="方正仿宋_GBK" w:cs="宋体"/>
                <w:snapToGrid w:val="0"/>
                <w:kern w:val="0"/>
                <w:sz w:val="24"/>
              </w:rPr>
            </w:pPr>
            <w:r>
              <w:rPr>
                <w:rFonts w:hint="eastAsia" w:ascii="Times New Roman" w:hAnsi="Times New Roman" w:eastAsia="方正仿宋_GBK" w:cs="宋体"/>
                <w:snapToGrid w:val="0"/>
                <w:kern w:val="0"/>
                <w:sz w:val="24"/>
              </w:rPr>
              <w:t>98</w:t>
            </w:r>
          </w:p>
        </w:tc>
        <w:tc>
          <w:tcPr>
            <w:tcW w:w="492"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100</w:t>
            </w:r>
          </w:p>
        </w:tc>
        <w:tc>
          <w:tcPr>
            <w:tcW w:w="601"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预期性</w:t>
            </w:r>
          </w:p>
        </w:tc>
      </w:tr>
      <w:tr>
        <w:tblPrEx>
          <w:tblCellMar>
            <w:top w:w="0" w:type="dxa"/>
            <w:left w:w="28" w:type="dxa"/>
            <w:bottom w:w="0" w:type="dxa"/>
            <w:right w:w="28" w:type="dxa"/>
          </w:tblCellMar>
        </w:tblPrEx>
        <w:trPr>
          <w:trHeight w:val="420" w:hRule="atLeast"/>
          <w:jc w:val="center"/>
        </w:trPr>
        <w:tc>
          <w:tcPr>
            <w:tcW w:w="333"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2</w:t>
            </w:r>
          </w:p>
        </w:tc>
        <w:tc>
          <w:tcPr>
            <w:tcW w:w="410" w:type="pct"/>
            <w:vMerge w:val="continue"/>
            <w:tcBorders>
              <w:top w:val="nil"/>
              <w:left w:val="single" w:color="auto" w:sz="4" w:space="0"/>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p>
        </w:tc>
        <w:tc>
          <w:tcPr>
            <w:tcW w:w="2154" w:type="pct"/>
            <w:tcBorders>
              <w:top w:val="nil"/>
              <w:left w:val="nil"/>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智慧医院建成数量（个）</w:t>
            </w:r>
          </w:p>
        </w:tc>
        <w:tc>
          <w:tcPr>
            <w:tcW w:w="504"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0</w:t>
            </w:r>
          </w:p>
        </w:tc>
        <w:tc>
          <w:tcPr>
            <w:tcW w:w="504"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1</w:t>
            </w:r>
          </w:p>
        </w:tc>
        <w:tc>
          <w:tcPr>
            <w:tcW w:w="492"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2</w:t>
            </w:r>
          </w:p>
        </w:tc>
        <w:tc>
          <w:tcPr>
            <w:tcW w:w="601"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预期性</w:t>
            </w:r>
          </w:p>
        </w:tc>
      </w:tr>
      <w:tr>
        <w:tblPrEx>
          <w:tblCellMar>
            <w:top w:w="0" w:type="dxa"/>
            <w:left w:w="28" w:type="dxa"/>
            <w:bottom w:w="0" w:type="dxa"/>
            <w:right w:w="28" w:type="dxa"/>
          </w:tblCellMar>
        </w:tblPrEx>
        <w:trPr>
          <w:trHeight w:val="420" w:hRule="atLeast"/>
          <w:jc w:val="center"/>
        </w:trPr>
        <w:tc>
          <w:tcPr>
            <w:tcW w:w="333"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3</w:t>
            </w:r>
          </w:p>
        </w:tc>
        <w:tc>
          <w:tcPr>
            <w:tcW w:w="410" w:type="pct"/>
            <w:vMerge w:val="continue"/>
            <w:tcBorders>
              <w:top w:val="nil"/>
              <w:left w:val="single" w:color="auto" w:sz="4" w:space="0"/>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p>
        </w:tc>
        <w:tc>
          <w:tcPr>
            <w:tcW w:w="2154" w:type="pct"/>
            <w:tcBorders>
              <w:top w:val="nil"/>
              <w:left w:val="nil"/>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智慧校园建成数量（个）</w:t>
            </w:r>
          </w:p>
        </w:tc>
        <w:tc>
          <w:tcPr>
            <w:tcW w:w="504"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10</w:t>
            </w:r>
          </w:p>
        </w:tc>
        <w:tc>
          <w:tcPr>
            <w:tcW w:w="504" w:type="pct"/>
            <w:tcBorders>
              <w:top w:val="nil"/>
              <w:left w:val="nil"/>
              <w:bottom w:val="single" w:color="auto" w:sz="4" w:space="0"/>
              <w:right w:val="single" w:color="auto" w:sz="4" w:space="0"/>
            </w:tcBorders>
            <w:noWrap w:val="0"/>
            <w:vAlign w:val="center"/>
          </w:tcPr>
          <w:p>
            <w:pPr>
              <w:jc w:val="center"/>
              <w:rPr>
                <w:rFonts w:ascii="宋体" w:hAnsi="宋体" w:eastAsia="方正仿宋_GBK" w:cs="宋体"/>
                <w:snapToGrid w:val="0"/>
                <w:kern w:val="0"/>
                <w:sz w:val="24"/>
              </w:rPr>
            </w:pPr>
            <w:r>
              <w:rPr>
                <w:rFonts w:hint="eastAsia" w:ascii="Times New Roman" w:hAnsi="Times New Roman" w:eastAsia="方正仿宋_GBK" w:cs="宋体"/>
                <w:snapToGrid w:val="0"/>
                <w:kern w:val="0"/>
                <w:sz w:val="24"/>
              </w:rPr>
              <w:t>13</w:t>
            </w:r>
          </w:p>
        </w:tc>
        <w:tc>
          <w:tcPr>
            <w:tcW w:w="492"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15</w:t>
            </w:r>
          </w:p>
        </w:tc>
        <w:tc>
          <w:tcPr>
            <w:tcW w:w="601"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预期性</w:t>
            </w:r>
          </w:p>
        </w:tc>
      </w:tr>
      <w:tr>
        <w:tblPrEx>
          <w:tblCellMar>
            <w:top w:w="0" w:type="dxa"/>
            <w:left w:w="28" w:type="dxa"/>
            <w:bottom w:w="0" w:type="dxa"/>
            <w:right w:w="28" w:type="dxa"/>
          </w:tblCellMar>
        </w:tblPrEx>
        <w:trPr>
          <w:trHeight w:val="420" w:hRule="atLeast"/>
          <w:jc w:val="center"/>
        </w:trPr>
        <w:tc>
          <w:tcPr>
            <w:tcW w:w="333"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4</w:t>
            </w:r>
          </w:p>
        </w:tc>
        <w:tc>
          <w:tcPr>
            <w:tcW w:w="410" w:type="pct"/>
            <w:vMerge w:val="continue"/>
            <w:tcBorders>
              <w:top w:val="nil"/>
              <w:left w:val="single" w:color="auto" w:sz="4" w:space="0"/>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p>
        </w:tc>
        <w:tc>
          <w:tcPr>
            <w:tcW w:w="2154" w:type="pct"/>
            <w:tcBorders>
              <w:top w:val="nil"/>
              <w:left w:val="nil"/>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智慧社区信息系统覆盖率（</w:t>
            </w:r>
            <w:r>
              <w:rPr>
                <w:rFonts w:hint="eastAsia" w:ascii="Times New Roman" w:hAnsi="Times New Roman" w:eastAsia="方正仿宋_GBK" w:cs="宋体"/>
                <w:snapToGrid w:val="0"/>
                <w:kern w:val="0"/>
                <w:sz w:val="24"/>
              </w:rPr>
              <w:t>%</w:t>
            </w:r>
            <w:r>
              <w:rPr>
                <w:rFonts w:hint="eastAsia" w:ascii="宋体" w:hAnsi="宋体" w:eastAsia="方正仿宋_GBK" w:cs="宋体"/>
                <w:snapToGrid w:val="0"/>
                <w:kern w:val="0"/>
                <w:sz w:val="24"/>
              </w:rPr>
              <w:t>）</w:t>
            </w:r>
          </w:p>
        </w:tc>
        <w:tc>
          <w:tcPr>
            <w:tcW w:w="504"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50</w:t>
            </w:r>
          </w:p>
        </w:tc>
        <w:tc>
          <w:tcPr>
            <w:tcW w:w="504" w:type="pct"/>
            <w:tcBorders>
              <w:top w:val="nil"/>
              <w:left w:val="nil"/>
              <w:bottom w:val="single" w:color="auto" w:sz="4" w:space="0"/>
              <w:right w:val="single" w:color="auto" w:sz="4" w:space="0"/>
            </w:tcBorders>
            <w:noWrap w:val="0"/>
            <w:vAlign w:val="center"/>
          </w:tcPr>
          <w:p>
            <w:pPr>
              <w:jc w:val="center"/>
              <w:rPr>
                <w:rFonts w:ascii="宋体" w:hAnsi="宋体" w:eastAsia="方正仿宋_GBK" w:cs="宋体"/>
                <w:snapToGrid w:val="0"/>
                <w:kern w:val="0"/>
                <w:sz w:val="24"/>
              </w:rPr>
            </w:pPr>
            <w:r>
              <w:rPr>
                <w:rFonts w:hint="eastAsia" w:ascii="Times New Roman" w:hAnsi="Times New Roman" w:eastAsia="方正仿宋_GBK" w:cs="宋体"/>
                <w:snapToGrid w:val="0"/>
                <w:kern w:val="0"/>
                <w:sz w:val="24"/>
              </w:rPr>
              <w:t>70</w:t>
            </w:r>
          </w:p>
        </w:tc>
        <w:tc>
          <w:tcPr>
            <w:tcW w:w="492"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90</w:t>
            </w:r>
          </w:p>
        </w:tc>
        <w:tc>
          <w:tcPr>
            <w:tcW w:w="601"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预期性</w:t>
            </w:r>
          </w:p>
        </w:tc>
      </w:tr>
      <w:tr>
        <w:tblPrEx>
          <w:tblCellMar>
            <w:top w:w="0" w:type="dxa"/>
            <w:left w:w="28" w:type="dxa"/>
            <w:bottom w:w="0" w:type="dxa"/>
            <w:right w:w="28" w:type="dxa"/>
          </w:tblCellMar>
        </w:tblPrEx>
        <w:trPr>
          <w:trHeight w:val="420" w:hRule="atLeast"/>
          <w:jc w:val="center"/>
        </w:trPr>
        <w:tc>
          <w:tcPr>
            <w:tcW w:w="333"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5</w:t>
            </w:r>
          </w:p>
        </w:tc>
        <w:tc>
          <w:tcPr>
            <w:tcW w:w="410" w:type="pct"/>
            <w:vMerge w:val="continue"/>
            <w:tcBorders>
              <w:top w:val="nil"/>
              <w:left w:val="single" w:color="auto" w:sz="4" w:space="0"/>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p>
        </w:tc>
        <w:tc>
          <w:tcPr>
            <w:tcW w:w="2154" w:type="pct"/>
            <w:tcBorders>
              <w:top w:val="nil"/>
              <w:left w:val="nil"/>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街镇乡社保自助服务开通率（</w:t>
            </w:r>
            <w:r>
              <w:rPr>
                <w:rFonts w:hint="eastAsia" w:ascii="Times New Roman" w:hAnsi="Times New Roman" w:eastAsia="方正仿宋_GBK" w:cs="宋体"/>
                <w:snapToGrid w:val="0"/>
                <w:kern w:val="0"/>
                <w:sz w:val="24"/>
              </w:rPr>
              <w:t>%</w:t>
            </w:r>
            <w:r>
              <w:rPr>
                <w:rFonts w:hint="eastAsia" w:ascii="宋体" w:hAnsi="宋体" w:eastAsia="方正仿宋_GBK" w:cs="宋体"/>
                <w:snapToGrid w:val="0"/>
                <w:kern w:val="0"/>
                <w:sz w:val="24"/>
              </w:rPr>
              <w:t>）</w:t>
            </w:r>
          </w:p>
        </w:tc>
        <w:tc>
          <w:tcPr>
            <w:tcW w:w="504"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80</w:t>
            </w:r>
          </w:p>
        </w:tc>
        <w:tc>
          <w:tcPr>
            <w:tcW w:w="504" w:type="pct"/>
            <w:tcBorders>
              <w:top w:val="nil"/>
              <w:left w:val="nil"/>
              <w:bottom w:val="single" w:color="auto" w:sz="4" w:space="0"/>
              <w:right w:val="single" w:color="auto" w:sz="4" w:space="0"/>
            </w:tcBorders>
            <w:noWrap w:val="0"/>
            <w:vAlign w:val="center"/>
          </w:tcPr>
          <w:p>
            <w:pPr>
              <w:jc w:val="center"/>
              <w:rPr>
                <w:rFonts w:ascii="宋体" w:hAnsi="宋体" w:eastAsia="方正仿宋_GBK" w:cs="宋体"/>
                <w:snapToGrid w:val="0"/>
                <w:kern w:val="0"/>
                <w:sz w:val="24"/>
              </w:rPr>
            </w:pPr>
            <w:r>
              <w:rPr>
                <w:rFonts w:hint="eastAsia" w:ascii="Times New Roman" w:hAnsi="Times New Roman" w:eastAsia="方正仿宋_GBK" w:cs="宋体"/>
                <w:snapToGrid w:val="0"/>
                <w:kern w:val="0"/>
                <w:sz w:val="24"/>
              </w:rPr>
              <w:t>90</w:t>
            </w:r>
          </w:p>
        </w:tc>
        <w:tc>
          <w:tcPr>
            <w:tcW w:w="492"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100</w:t>
            </w:r>
          </w:p>
        </w:tc>
        <w:tc>
          <w:tcPr>
            <w:tcW w:w="601"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预期性</w:t>
            </w:r>
          </w:p>
        </w:tc>
      </w:tr>
      <w:tr>
        <w:tblPrEx>
          <w:tblCellMar>
            <w:top w:w="0" w:type="dxa"/>
            <w:left w:w="28" w:type="dxa"/>
            <w:bottom w:w="0" w:type="dxa"/>
            <w:right w:w="28" w:type="dxa"/>
          </w:tblCellMar>
        </w:tblPrEx>
        <w:trPr>
          <w:trHeight w:val="420" w:hRule="atLeast"/>
          <w:jc w:val="center"/>
        </w:trPr>
        <w:tc>
          <w:tcPr>
            <w:tcW w:w="333"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6</w:t>
            </w:r>
          </w:p>
        </w:tc>
        <w:tc>
          <w:tcPr>
            <w:tcW w:w="410" w:type="pct"/>
            <w:vMerge w:val="continue"/>
            <w:tcBorders>
              <w:top w:val="nil"/>
              <w:left w:val="single" w:color="auto" w:sz="4" w:space="0"/>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p>
        </w:tc>
        <w:tc>
          <w:tcPr>
            <w:tcW w:w="2154" w:type="pct"/>
            <w:tcBorders>
              <w:top w:val="nil"/>
              <w:left w:val="nil"/>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公共汽电车来车信息实时预报率（</w:t>
            </w:r>
            <w:r>
              <w:rPr>
                <w:rFonts w:hint="eastAsia" w:ascii="Times New Roman" w:hAnsi="Times New Roman" w:eastAsia="方正仿宋_GBK" w:cs="宋体"/>
                <w:snapToGrid w:val="0"/>
                <w:kern w:val="0"/>
                <w:sz w:val="24"/>
              </w:rPr>
              <w:t>%</w:t>
            </w:r>
            <w:r>
              <w:rPr>
                <w:rFonts w:hint="eastAsia" w:ascii="宋体" w:hAnsi="宋体" w:eastAsia="方正仿宋_GBK" w:cs="宋体"/>
                <w:snapToGrid w:val="0"/>
                <w:kern w:val="0"/>
                <w:sz w:val="24"/>
              </w:rPr>
              <w:t>）</w:t>
            </w:r>
          </w:p>
        </w:tc>
        <w:tc>
          <w:tcPr>
            <w:tcW w:w="504"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85</w:t>
            </w:r>
          </w:p>
        </w:tc>
        <w:tc>
          <w:tcPr>
            <w:tcW w:w="504" w:type="pct"/>
            <w:tcBorders>
              <w:top w:val="nil"/>
              <w:left w:val="nil"/>
              <w:bottom w:val="single" w:color="auto" w:sz="4" w:space="0"/>
              <w:right w:val="single" w:color="auto" w:sz="4" w:space="0"/>
            </w:tcBorders>
            <w:noWrap w:val="0"/>
            <w:vAlign w:val="center"/>
          </w:tcPr>
          <w:p>
            <w:pPr>
              <w:jc w:val="center"/>
              <w:rPr>
                <w:rFonts w:ascii="宋体" w:hAnsi="宋体" w:eastAsia="方正仿宋_GBK" w:cs="宋体"/>
                <w:snapToGrid w:val="0"/>
                <w:kern w:val="0"/>
                <w:sz w:val="24"/>
              </w:rPr>
            </w:pPr>
            <w:r>
              <w:rPr>
                <w:rFonts w:hint="eastAsia" w:ascii="Times New Roman" w:hAnsi="Times New Roman" w:eastAsia="方正仿宋_GBK" w:cs="宋体"/>
                <w:snapToGrid w:val="0"/>
                <w:kern w:val="0"/>
                <w:sz w:val="24"/>
              </w:rPr>
              <w:t>95</w:t>
            </w:r>
          </w:p>
        </w:tc>
        <w:tc>
          <w:tcPr>
            <w:tcW w:w="492"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100</w:t>
            </w:r>
          </w:p>
        </w:tc>
        <w:tc>
          <w:tcPr>
            <w:tcW w:w="601"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预期性</w:t>
            </w:r>
          </w:p>
        </w:tc>
      </w:tr>
      <w:tr>
        <w:tblPrEx>
          <w:tblCellMar>
            <w:top w:w="0" w:type="dxa"/>
            <w:left w:w="28" w:type="dxa"/>
            <w:bottom w:w="0" w:type="dxa"/>
            <w:right w:w="28" w:type="dxa"/>
          </w:tblCellMar>
        </w:tblPrEx>
        <w:trPr>
          <w:trHeight w:val="420" w:hRule="atLeast"/>
          <w:jc w:val="center"/>
        </w:trPr>
        <w:tc>
          <w:tcPr>
            <w:tcW w:w="333"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7</w:t>
            </w:r>
          </w:p>
        </w:tc>
        <w:tc>
          <w:tcPr>
            <w:tcW w:w="410" w:type="pct"/>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城市治理</w:t>
            </w:r>
          </w:p>
        </w:tc>
        <w:tc>
          <w:tcPr>
            <w:tcW w:w="2154" w:type="pct"/>
            <w:tcBorders>
              <w:top w:val="nil"/>
              <w:left w:val="nil"/>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重点公共区域高清视频监控覆盖率（</w:t>
            </w:r>
            <w:r>
              <w:rPr>
                <w:rFonts w:hint="eastAsia" w:ascii="Times New Roman" w:hAnsi="Times New Roman" w:eastAsia="方正仿宋_GBK" w:cs="宋体"/>
                <w:snapToGrid w:val="0"/>
                <w:kern w:val="0"/>
                <w:sz w:val="24"/>
              </w:rPr>
              <w:t>%</w:t>
            </w:r>
            <w:r>
              <w:rPr>
                <w:rFonts w:hint="eastAsia" w:ascii="宋体" w:hAnsi="宋体" w:eastAsia="方正仿宋_GBK" w:cs="宋体"/>
                <w:snapToGrid w:val="0"/>
                <w:kern w:val="0"/>
                <w:sz w:val="24"/>
              </w:rPr>
              <w:t>）</w:t>
            </w:r>
          </w:p>
        </w:tc>
        <w:tc>
          <w:tcPr>
            <w:tcW w:w="504"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95</w:t>
            </w:r>
          </w:p>
        </w:tc>
        <w:tc>
          <w:tcPr>
            <w:tcW w:w="504" w:type="pct"/>
            <w:tcBorders>
              <w:top w:val="nil"/>
              <w:left w:val="nil"/>
              <w:bottom w:val="single" w:color="auto" w:sz="4" w:space="0"/>
              <w:right w:val="single" w:color="auto" w:sz="4" w:space="0"/>
            </w:tcBorders>
            <w:noWrap w:val="0"/>
            <w:vAlign w:val="center"/>
          </w:tcPr>
          <w:p>
            <w:pPr>
              <w:jc w:val="center"/>
              <w:rPr>
                <w:rFonts w:ascii="宋体" w:hAnsi="宋体" w:eastAsia="方正仿宋_GBK" w:cs="宋体"/>
                <w:snapToGrid w:val="0"/>
                <w:kern w:val="0"/>
                <w:sz w:val="24"/>
              </w:rPr>
            </w:pPr>
            <w:r>
              <w:rPr>
                <w:rFonts w:hint="eastAsia" w:ascii="Times New Roman" w:hAnsi="Times New Roman" w:eastAsia="方正仿宋_GBK" w:cs="宋体"/>
                <w:snapToGrid w:val="0"/>
                <w:kern w:val="0"/>
                <w:sz w:val="24"/>
              </w:rPr>
              <w:t>98</w:t>
            </w:r>
          </w:p>
        </w:tc>
        <w:tc>
          <w:tcPr>
            <w:tcW w:w="492"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100</w:t>
            </w:r>
          </w:p>
        </w:tc>
        <w:tc>
          <w:tcPr>
            <w:tcW w:w="601"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预期性</w:t>
            </w:r>
          </w:p>
        </w:tc>
      </w:tr>
      <w:tr>
        <w:tblPrEx>
          <w:tblCellMar>
            <w:top w:w="0" w:type="dxa"/>
            <w:left w:w="28" w:type="dxa"/>
            <w:bottom w:w="0" w:type="dxa"/>
            <w:right w:w="28" w:type="dxa"/>
          </w:tblCellMar>
        </w:tblPrEx>
        <w:trPr>
          <w:trHeight w:val="420" w:hRule="atLeast"/>
          <w:jc w:val="center"/>
        </w:trPr>
        <w:tc>
          <w:tcPr>
            <w:tcW w:w="333"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8</w:t>
            </w:r>
          </w:p>
        </w:tc>
        <w:tc>
          <w:tcPr>
            <w:tcW w:w="410" w:type="pct"/>
            <w:vMerge w:val="continue"/>
            <w:tcBorders>
              <w:top w:val="nil"/>
              <w:left w:val="single" w:color="auto" w:sz="4" w:space="0"/>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p>
        </w:tc>
        <w:tc>
          <w:tcPr>
            <w:tcW w:w="2154" w:type="pct"/>
            <w:tcBorders>
              <w:top w:val="nil"/>
              <w:left w:val="nil"/>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重点公共区域视频联网率（</w:t>
            </w:r>
            <w:r>
              <w:rPr>
                <w:rFonts w:hint="eastAsia" w:ascii="Times New Roman" w:hAnsi="Times New Roman" w:eastAsia="方正仿宋_GBK" w:cs="宋体"/>
                <w:snapToGrid w:val="0"/>
                <w:kern w:val="0"/>
                <w:sz w:val="24"/>
              </w:rPr>
              <w:t>%</w:t>
            </w:r>
            <w:r>
              <w:rPr>
                <w:rFonts w:hint="eastAsia" w:ascii="宋体" w:hAnsi="宋体" w:eastAsia="方正仿宋_GBK" w:cs="宋体"/>
                <w:snapToGrid w:val="0"/>
                <w:kern w:val="0"/>
                <w:sz w:val="24"/>
              </w:rPr>
              <w:t>）</w:t>
            </w:r>
          </w:p>
        </w:tc>
        <w:tc>
          <w:tcPr>
            <w:tcW w:w="504"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95</w:t>
            </w:r>
          </w:p>
        </w:tc>
        <w:tc>
          <w:tcPr>
            <w:tcW w:w="504" w:type="pct"/>
            <w:tcBorders>
              <w:top w:val="nil"/>
              <w:left w:val="nil"/>
              <w:bottom w:val="single" w:color="auto" w:sz="4" w:space="0"/>
              <w:right w:val="single" w:color="auto" w:sz="4" w:space="0"/>
            </w:tcBorders>
            <w:noWrap w:val="0"/>
            <w:vAlign w:val="center"/>
          </w:tcPr>
          <w:p>
            <w:pPr>
              <w:jc w:val="center"/>
              <w:rPr>
                <w:rFonts w:ascii="宋体" w:hAnsi="宋体" w:eastAsia="方正仿宋_GBK" w:cs="宋体"/>
                <w:snapToGrid w:val="0"/>
                <w:kern w:val="0"/>
                <w:sz w:val="24"/>
              </w:rPr>
            </w:pPr>
            <w:r>
              <w:rPr>
                <w:rFonts w:hint="eastAsia" w:ascii="Times New Roman" w:hAnsi="Times New Roman" w:eastAsia="方正仿宋_GBK" w:cs="宋体"/>
                <w:snapToGrid w:val="0"/>
                <w:kern w:val="0"/>
                <w:sz w:val="24"/>
              </w:rPr>
              <w:t>98</w:t>
            </w:r>
          </w:p>
        </w:tc>
        <w:tc>
          <w:tcPr>
            <w:tcW w:w="492"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100</w:t>
            </w:r>
          </w:p>
        </w:tc>
        <w:tc>
          <w:tcPr>
            <w:tcW w:w="601"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预期性</w:t>
            </w:r>
          </w:p>
        </w:tc>
      </w:tr>
      <w:tr>
        <w:tblPrEx>
          <w:tblCellMar>
            <w:top w:w="0" w:type="dxa"/>
            <w:left w:w="28" w:type="dxa"/>
            <w:bottom w:w="0" w:type="dxa"/>
            <w:right w:w="28" w:type="dxa"/>
          </w:tblCellMar>
        </w:tblPrEx>
        <w:trPr>
          <w:trHeight w:val="420" w:hRule="atLeast"/>
          <w:jc w:val="center"/>
        </w:trPr>
        <w:tc>
          <w:tcPr>
            <w:tcW w:w="333"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9</w:t>
            </w:r>
          </w:p>
        </w:tc>
        <w:tc>
          <w:tcPr>
            <w:tcW w:w="410" w:type="pct"/>
            <w:vMerge w:val="continue"/>
            <w:tcBorders>
              <w:top w:val="nil"/>
              <w:left w:val="single" w:color="auto" w:sz="4" w:space="0"/>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p>
        </w:tc>
        <w:tc>
          <w:tcPr>
            <w:tcW w:w="2154" w:type="pct"/>
            <w:tcBorders>
              <w:top w:val="nil"/>
              <w:left w:val="nil"/>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数字化城管覆盖率（</w:t>
            </w:r>
            <w:r>
              <w:rPr>
                <w:rFonts w:hint="eastAsia" w:ascii="Times New Roman" w:hAnsi="Times New Roman" w:eastAsia="方正仿宋_GBK" w:cs="宋体"/>
                <w:snapToGrid w:val="0"/>
                <w:kern w:val="0"/>
                <w:sz w:val="24"/>
              </w:rPr>
              <w:t>%</w:t>
            </w:r>
            <w:r>
              <w:rPr>
                <w:rFonts w:hint="eastAsia" w:ascii="宋体" w:hAnsi="宋体" w:eastAsia="方正仿宋_GBK" w:cs="宋体"/>
                <w:snapToGrid w:val="0"/>
                <w:kern w:val="0"/>
                <w:sz w:val="24"/>
              </w:rPr>
              <w:t>）</w:t>
            </w:r>
          </w:p>
        </w:tc>
        <w:tc>
          <w:tcPr>
            <w:tcW w:w="504"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90</w:t>
            </w:r>
          </w:p>
        </w:tc>
        <w:tc>
          <w:tcPr>
            <w:tcW w:w="504" w:type="pct"/>
            <w:tcBorders>
              <w:top w:val="nil"/>
              <w:left w:val="nil"/>
              <w:bottom w:val="single" w:color="auto" w:sz="4" w:space="0"/>
              <w:right w:val="single" w:color="auto" w:sz="4" w:space="0"/>
            </w:tcBorders>
            <w:noWrap w:val="0"/>
            <w:vAlign w:val="center"/>
          </w:tcPr>
          <w:p>
            <w:pPr>
              <w:jc w:val="center"/>
              <w:rPr>
                <w:rFonts w:ascii="宋体" w:hAnsi="宋体" w:eastAsia="方正仿宋_GBK" w:cs="宋体"/>
                <w:snapToGrid w:val="0"/>
                <w:kern w:val="0"/>
                <w:sz w:val="24"/>
              </w:rPr>
            </w:pPr>
            <w:r>
              <w:rPr>
                <w:rFonts w:hint="eastAsia" w:ascii="Times New Roman" w:hAnsi="Times New Roman" w:eastAsia="方正仿宋_GBK" w:cs="宋体"/>
                <w:snapToGrid w:val="0"/>
                <w:kern w:val="0"/>
                <w:sz w:val="24"/>
              </w:rPr>
              <w:t>95</w:t>
            </w:r>
          </w:p>
        </w:tc>
        <w:tc>
          <w:tcPr>
            <w:tcW w:w="492"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100</w:t>
            </w:r>
          </w:p>
        </w:tc>
        <w:tc>
          <w:tcPr>
            <w:tcW w:w="601"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预期性</w:t>
            </w:r>
          </w:p>
        </w:tc>
      </w:tr>
      <w:tr>
        <w:tblPrEx>
          <w:tblCellMar>
            <w:top w:w="0" w:type="dxa"/>
            <w:left w:w="28" w:type="dxa"/>
            <w:bottom w:w="0" w:type="dxa"/>
            <w:right w:w="28" w:type="dxa"/>
          </w:tblCellMar>
        </w:tblPrEx>
        <w:trPr>
          <w:trHeight w:val="420" w:hRule="atLeast"/>
          <w:jc w:val="center"/>
        </w:trPr>
        <w:tc>
          <w:tcPr>
            <w:tcW w:w="333"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10</w:t>
            </w:r>
          </w:p>
        </w:tc>
        <w:tc>
          <w:tcPr>
            <w:tcW w:w="410" w:type="pct"/>
            <w:vMerge w:val="restart"/>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政府管理</w:t>
            </w:r>
          </w:p>
        </w:tc>
        <w:tc>
          <w:tcPr>
            <w:tcW w:w="2154" w:type="pct"/>
            <w:tcBorders>
              <w:top w:val="nil"/>
              <w:left w:val="nil"/>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政务服务网上统一入口率（</w:t>
            </w:r>
            <w:r>
              <w:rPr>
                <w:rFonts w:hint="eastAsia" w:ascii="Times New Roman" w:hAnsi="Times New Roman" w:eastAsia="方正仿宋_GBK" w:cs="宋体"/>
                <w:snapToGrid w:val="0"/>
                <w:kern w:val="0"/>
                <w:sz w:val="24"/>
              </w:rPr>
              <w:t>%</w:t>
            </w:r>
            <w:r>
              <w:rPr>
                <w:rFonts w:hint="eastAsia" w:ascii="宋体" w:hAnsi="宋体" w:eastAsia="方正仿宋_GBK" w:cs="宋体"/>
                <w:snapToGrid w:val="0"/>
                <w:kern w:val="0"/>
                <w:sz w:val="24"/>
              </w:rPr>
              <w:t>）</w:t>
            </w:r>
          </w:p>
        </w:tc>
        <w:tc>
          <w:tcPr>
            <w:tcW w:w="504"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80</w:t>
            </w:r>
          </w:p>
        </w:tc>
        <w:tc>
          <w:tcPr>
            <w:tcW w:w="504" w:type="pct"/>
            <w:tcBorders>
              <w:top w:val="nil"/>
              <w:left w:val="nil"/>
              <w:bottom w:val="single" w:color="auto" w:sz="4" w:space="0"/>
              <w:right w:val="single" w:color="auto" w:sz="4" w:space="0"/>
            </w:tcBorders>
            <w:noWrap w:val="0"/>
            <w:vAlign w:val="center"/>
          </w:tcPr>
          <w:p>
            <w:pPr>
              <w:jc w:val="center"/>
              <w:rPr>
                <w:rFonts w:ascii="宋体" w:hAnsi="宋体" w:eastAsia="方正仿宋_GBK" w:cs="宋体"/>
                <w:snapToGrid w:val="0"/>
                <w:kern w:val="0"/>
                <w:sz w:val="24"/>
              </w:rPr>
            </w:pPr>
            <w:r>
              <w:rPr>
                <w:rFonts w:hint="eastAsia" w:ascii="Times New Roman" w:hAnsi="Times New Roman" w:eastAsia="方正仿宋_GBK" w:cs="宋体"/>
                <w:snapToGrid w:val="0"/>
                <w:kern w:val="0"/>
                <w:sz w:val="24"/>
              </w:rPr>
              <w:t>90</w:t>
            </w:r>
          </w:p>
        </w:tc>
        <w:tc>
          <w:tcPr>
            <w:tcW w:w="492"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100</w:t>
            </w:r>
          </w:p>
        </w:tc>
        <w:tc>
          <w:tcPr>
            <w:tcW w:w="601"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预期性</w:t>
            </w:r>
          </w:p>
        </w:tc>
      </w:tr>
      <w:tr>
        <w:tblPrEx>
          <w:tblCellMar>
            <w:top w:w="0" w:type="dxa"/>
            <w:left w:w="28" w:type="dxa"/>
            <w:bottom w:w="0" w:type="dxa"/>
            <w:right w:w="28" w:type="dxa"/>
          </w:tblCellMar>
        </w:tblPrEx>
        <w:trPr>
          <w:trHeight w:val="420" w:hRule="atLeast"/>
          <w:jc w:val="center"/>
        </w:trPr>
        <w:tc>
          <w:tcPr>
            <w:tcW w:w="333"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11</w:t>
            </w:r>
          </w:p>
        </w:tc>
        <w:tc>
          <w:tcPr>
            <w:tcW w:w="410" w:type="pct"/>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eastAsia="方正仿宋_GBK" w:cs="宋体"/>
                <w:snapToGrid w:val="0"/>
                <w:kern w:val="0"/>
                <w:sz w:val="24"/>
              </w:rPr>
            </w:pPr>
          </w:p>
        </w:tc>
        <w:tc>
          <w:tcPr>
            <w:tcW w:w="2154" w:type="pct"/>
            <w:tcBorders>
              <w:top w:val="nil"/>
              <w:left w:val="nil"/>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电子证照使用率（</w:t>
            </w:r>
            <w:r>
              <w:rPr>
                <w:rFonts w:hint="eastAsia" w:ascii="Times New Roman" w:hAnsi="Times New Roman" w:eastAsia="方正仿宋_GBK" w:cs="宋体"/>
                <w:snapToGrid w:val="0"/>
                <w:kern w:val="0"/>
                <w:sz w:val="24"/>
              </w:rPr>
              <w:t>%</w:t>
            </w:r>
            <w:r>
              <w:rPr>
                <w:rFonts w:hint="eastAsia" w:ascii="宋体" w:hAnsi="宋体" w:eastAsia="方正仿宋_GBK" w:cs="宋体"/>
                <w:snapToGrid w:val="0"/>
                <w:kern w:val="0"/>
                <w:sz w:val="24"/>
              </w:rPr>
              <w:t>）</w:t>
            </w:r>
          </w:p>
        </w:tc>
        <w:tc>
          <w:tcPr>
            <w:tcW w:w="504"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80</w:t>
            </w:r>
          </w:p>
        </w:tc>
        <w:tc>
          <w:tcPr>
            <w:tcW w:w="504" w:type="pct"/>
            <w:tcBorders>
              <w:top w:val="nil"/>
              <w:left w:val="nil"/>
              <w:bottom w:val="single" w:color="auto" w:sz="4" w:space="0"/>
              <w:right w:val="single" w:color="auto" w:sz="4" w:space="0"/>
            </w:tcBorders>
            <w:noWrap w:val="0"/>
            <w:vAlign w:val="center"/>
          </w:tcPr>
          <w:p>
            <w:pPr>
              <w:jc w:val="center"/>
              <w:rPr>
                <w:rFonts w:ascii="宋体" w:hAnsi="宋体" w:eastAsia="方正仿宋_GBK" w:cs="宋体"/>
                <w:snapToGrid w:val="0"/>
                <w:kern w:val="0"/>
                <w:sz w:val="24"/>
              </w:rPr>
            </w:pPr>
            <w:r>
              <w:rPr>
                <w:rFonts w:hint="eastAsia" w:ascii="Times New Roman" w:hAnsi="Times New Roman" w:eastAsia="方正仿宋_GBK" w:cs="宋体"/>
                <w:snapToGrid w:val="0"/>
                <w:kern w:val="0"/>
                <w:sz w:val="24"/>
              </w:rPr>
              <w:t>90</w:t>
            </w:r>
          </w:p>
        </w:tc>
        <w:tc>
          <w:tcPr>
            <w:tcW w:w="492"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95</w:t>
            </w:r>
          </w:p>
        </w:tc>
        <w:tc>
          <w:tcPr>
            <w:tcW w:w="601"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预期性</w:t>
            </w:r>
          </w:p>
        </w:tc>
      </w:tr>
      <w:tr>
        <w:tblPrEx>
          <w:tblCellMar>
            <w:top w:w="0" w:type="dxa"/>
            <w:left w:w="28" w:type="dxa"/>
            <w:bottom w:w="0" w:type="dxa"/>
            <w:right w:w="28" w:type="dxa"/>
          </w:tblCellMar>
        </w:tblPrEx>
        <w:trPr>
          <w:trHeight w:val="420" w:hRule="atLeast"/>
          <w:jc w:val="center"/>
        </w:trPr>
        <w:tc>
          <w:tcPr>
            <w:tcW w:w="333"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12</w:t>
            </w:r>
          </w:p>
        </w:tc>
        <w:tc>
          <w:tcPr>
            <w:tcW w:w="410" w:type="pct"/>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eastAsia="方正仿宋_GBK" w:cs="宋体"/>
                <w:snapToGrid w:val="0"/>
                <w:kern w:val="0"/>
                <w:sz w:val="24"/>
              </w:rPr>
            </w:pPr>
          </w:p>
        </w:tc>
        <w:tc>
          <w:tcPr>
            <w:tcW w:w="2154" w:type="pct"/>
            <w:tcBorders>
              <w:top w:val="nil"/>
              <w:left w:val="nil"/>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公共信息资源社会开放率（</w:t>
            </w:r>
            <w:r>
              <w:rPr>
                <w:rFonts w:hint="eastAsia" w:ascii="Times New Roman" w:hAnsi="Times New Roman" w:eastAsia="方正仿宋_GBK" w:cs="宋体"/>
                <w:snapToGrid w:val="0"/>
                <w:kern w:val="0"/>
                <w:sz w:val="24"/>
              </w:rPr>
              <w:t>%</w:t>
            </w:r>
            <w:r>
              <w:rPr>
                <w:rFonts w:hint="eastAsia" w:ascii="宋体" w:hAnsi="宋体" w:eastAsia="方正仿宋_GBK" w:cs="宋体"/>
                <w:snapToGrid w:val="0"/>
                <w:kern w:val="0"/>
                <w:sz w:val="24"/>
              </w:rPr>
              <w:t>）</w:t>
            </w:r>
          </w:p>
        </w:tc>
        <w:tc>
          <w:tcPr>
            <w:tcW w:w="504"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50</w:t>
            </w:r>
          </w:p>
        </w:tc>
        <w:tc>
          <w:tcPr>
            <w:tcW w:w="504" w:type="pct"/>
            <w:tcBorders>
              <w:top w:val="nil"/>
              <w:left w:val="nil"/>
              <w:bottom w:val="single" w:color="auto" w:sz="4" w:space="0"/>
              <w:right w:val="single" w:color="auto" w:sz="4" w:space="0"/>
            </w:tcBorders>
            <w:noWrap w:val="0"/>
            <w:vAlign w:val="center"/>
          </w:tcPr>
          <w:p>
            <w:pPr>
              <w:jc w:val="center"/>
              <w:rPr>
                <w:rFonts w:ascii="宋体" w:hAnsi="宋体" w:eastAsia="方正仿宋_GBK" w:cs="宋体"/>
                <w:snapToGrid w:val="0"/>
                <w:kern w:val="0"/>
                <w:sz w:val="24"/>
              </w:rPr>
            </w:pPr>
            <w:r>
              <w:rPr>
                <w:rFonts w:hint="eastAsia" w:ascii="Times New Roman" w:hAnsi="Times New Roman" w:eastAsia="方正仿宋_GBK" w:cs="宋体"/>
                <w:snapToGrid w:val="0"/>
                <w:kern w:val="0"/>
                <w:sz w:val="24"/>
              </w:rPr>
              <w:t>75</w:t>
            </w:r>
          </w:p>
        </w:tc>
        <w:tc>
          <w:tcPr>
            <w:tcW w:w="492"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95</w:t>
            </w:r>
          </w:p>
        </w:tc>
        <w:tc>
          <w:tcPr>
            <w:tcW w:w="601"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预期性</w:t>
            </w:r>
          </w:p>
        </w:tc>
      </w:tr>
      <w:tr>
        <w:tblPrEx>
          <w:tblCellMar>
            <w:top w:w="0" w:type="dxa"/>
            <w:left w:w="28" w:type="dxa"/>
            <w:bottom w:w="0" w:type="dxa"/>
            <w:right w:w="28" w:type="dxa"/>
          </w:tblCellMar>
        </w:tblPrEx>
        <w:trPr>
          <w:trHeight w:val="420" w:hRule="atLeast"/>
          <w:jc w:val="center"/>
        </w:trPr>
        <w:tc>
          <w:tcPr>
            <w:tcW w:w="333"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13</w:t>
            </w:r>
          </w:p>
        </w:tc>
        <w:tc>
          <w:tcPr>
            <w:tcW w:w="410" w:type="pct"/>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eastAsia="方正仿宋_GBK" w:cs="宋体"/>
                <w:snapToGrid w:val="0"/>
                <w:kern w:val="0"/>
                <w:sz w:val="24"/>
              </w:rPr>
            </w:pPr>
          </w:p>
        </w:tc>
        <w:tc>
          <w:tcPr>
            <w:tcW w:w="2154" w:type="pct"/>
            <w:tcBorders>
              <w:top w:val="nil"/>
              <w:left w:val="nil"/>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信息资源部门间共享率（</w:t>
            </w:r>
            <w:r>
              <w:rPr>
                <w:rFonts w:hint="eastAsia" w:ascii="Times New Roman" w:hAnsi="Times New Roman" w:eastAsia="方正仿宋_GBK" w:cs="宋体"/>
                <w:snapToGrid w:val="0"/>
                <w:kern w:val="0"/>
                <w:sz w:val="24"/>
              </w:rPr>
              <w:t>%</w:t>
            </w:r>
            <w:r>
              <w:rPr>
                <w:rFonts w:hint="eastAsia" w:ascii="宋体" w:hAnsi="宋体" w:eastAsia="方正仿宋_GBK" w:cs="宋体"/>
                <w:snapToGrid w:val="0"/>
                <w:kern w:val="0"/>
                <w:sz w:val="24"/>
              </w:rPr>
              <w:t>）</w:t>
            </w:r>
          </w:p>
        </w:tc>
        <w:tc>
          <w:tcPr>
            <w:tcW w:w="504"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85</w:t>
            </w:r>
          </w:p>
        </w:tc>
        <w:tc>
          <w:tcPr>
            <w:tcW w:w="504" w:type="pct"/>
            <w:tcBorders>
              <w:top w:val="nil"/>
              <w:left w:val="nil"/>
              <w:bottom w:val="single" w:color="auto" w:sz="4" w:space="0"/>
              <w:right w:val="single" w:color="auto" w:sz="4" w:space="0"/>
            </w:tcBorders>
            <w:noWrap w:val="0"/>
            <w:vAlign w:val="center"/>
          </w:tcPr>
          <w:p>
            <w:pPr>
              <w:jc w:val="center"/>
              <w:rPr>
                <w:rFonts w:ascii="宋体" w:hAnsi="宋体" w:eastAsia="方正仿宋_GBK" w:cs="宋体"/>
                <w:snapToGrid w:val="0"/>
                <w:kern w:val="0"/>
                <w:sz w:val="24"/>
              </w:rPr>
            </w:pPr>
            <w:r>
              <w:rPr>
                <w:rFonts w:hint="eastAsia" w:ascii="Times New Roman" w:hAnsi="Times New Roman" w:eastAsia="方正仿宋_GBK" w:cs="宋体"/>
                <w:snapToGrid w:val="0"/>
                <w:kern w:val="0"/>
                <w:sz w:val="24"/>
              </w:rPr>
              <w:t>95</w:t>
            </w:r>
          </w:p>
        </w:tc>
        <w:tc>
          <w:tcPr>
            <w:tcW w:w="492"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100</w:t>
            </w:r>
          </w:p>
        </w:tc>
        <w:tc>
          <w:tcPr>
            <w:tcW w:w="601"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预期性</w:t>
            </w:r>
          </w:p>
        </w:tc>
      </w:tr>
      <w:tr>
        <w:tblPrEx>
          <w:tblCellMar>
            <w:top w:w="0" w:type="dxa"/>
            <w:left w:w="28" w:type="dxa"/>
            <w:bottom w:w="0" w:type="dxa"/>
            <w:right w:w="28" w:type="dxa"/>
          </w:tblCellMar>
        </w:tblPrEx>
        <w:trPr>
          <w:trHeight w:val="420" w:hRule="atLeast"/>
          <w:jc w:val="center"/>
        </w:trPr>
        <w:tc>
          <w:tcPr>
            <w:tcW w:w="333"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14</w:t>
            </w:r>
          </w:p>
        </w:tc>
        <w:tc>
          <w:tcPr>
            <w:tcW w:w="410" w:type="pct"/>
            <w:vMerge w:val="restart"/>
            <w:tcBorders>
              <w:top w:val="nil"/>
              <w:left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产业融合</w:t>
            </w:r>
          </w:p>
        </w:tc>
        <w:tc>
          <w:tcPr>
            <w:tcW w:w="2154" w:type="pct"/>
            <w:tcBorders>
              <w:top w:val="nil"/>
              <w:left w:val="nil"/>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农业智能化示范点累计建设数量（个）</w:t>
            </w:r>
          </w:p>
        </w:tc>
        <w:tc>
          <w:tcPr>
            <w:tcW w:w="504"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3</w:t>
            </w:r>
          </w:p>
        </w:tc>
        <w:tc>
          <w:tcPr>
            <w:tcW w:w="504"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4</w:t>
            </w:r>
          </w:p>
        </w:tc>
        <w:tc>
          <w:tcPr>
            <w:tcW w:w="492"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5</w:t>
            </w:r>
          </w:p>
        </w:tc>
        <w:tc>
          <w:tcPr>
            <w:tcW w:w="601"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预期性</w:t>
            </w:r>
          </w:p>
        </w:tc>
      </w:tr>
      <w:tr>
        <w:tblPrEx>
          <w:tblCellMar>
            <w:top w:w="0" w:type="dxa"/>
            <w:left w:w="28" w:type="dxa"/>
            <w:bottom w:w="0" w:type="dxa"/>
            <w:right w:w="28" w:type="dxa"/>
          </w:tblCellMar>
        </w:tblPrEx>
        <w:trPr>
          <w:trHeight w:val="420" w:hRule="atLeast"/>
          <w:jc w:val="center"/>
        </w:trPr>
        <w:tc>
          <w:tcPr>
            <w:tcW w:w="333"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15</w:t>
            </w:r>
          </w:p>
        </w:tc>
        <w:tc>
          <w:tcPr>
            <w:tcW w:w="410" w:type="pct"/>
            <w:vMerge w:val="continue"/>
            <w:tcBorders>
              <w:left w:val="single" w:color="auto" w:sz="4" w:space="0"/>
              <w:right w:val="single" w:color="auto" w:sz="4" w:space="0"/>
            </w:tcBorders>
            <w:noWrap w:val="0"/>
            <w:vAlign w:val="center"/>
          </w:tcPr>
          <w:p>
            <w:pPr>
              <w:rPr>
                <w:rFonts w:hint="eastAsia" w:ascii="宋体" w:hAnsi="宋体" w:eastAsia="方正仿宋_GBK" w:cs="宋体"/>
                <w:snapToGrid w:val="0"/>
                <w:kern w:val="0"/>
                <w:sz w:val="24"/>
              </w:rPr>
            </w:pPr>
          </w:p>
        </w:tc>
        <w:tc>
          <w:tcPr>
            <w:tcW w:w="2154" w:type="pct"/>
            <w:tcBorders>
              <w:top w:val="nil"/>
              <w:left w:val="nil"/>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数字车间累计建设数量（个）</w:t>
            </w:r>
          </w:p>
        </w:tc>
        <w:tc>
          <w:tcPr>
            <w:tcW w:w="504"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1</w:t>
            </w:r>
          </w:p>
        </w:tc>
        <w:tc>
          <w:tcPr>
            <w:tcW w:w="504"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2</w:t>
            </w:r>
          </w:p>
        </w:tc>
        <w:tc>
          <w:tcPr>
            <w:tcW w:w="492"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3</w:t>
            </w:r>
          </w:p>
        </w:tc>
        <w:tc>
          <w:tcPr>
            <w:tcW w:w="601"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预期性</w:t>
            </w:r>
          </w:p>
        </w:tc>
      </w:tr>
      <w:tr>
        <w:tblPrEx>
          <w:tblCellMar>
            <w:top w:w="0" w:type="dxa"/>
            <w:left w:w="28" w:type="dxa"/>
            <w:bottom w:w="0" w:type="dxa"/>
            <w:right w:w="28" w:type="dxa"/>
          </w:tblCellMar>
        </w:tblPrEx>
        <w:trPr>
          <w:trHeight w:val="420" w:hRule="atLeast"/>
          <w:jc w:val="center"/>
        </w:trPr>
        <w:tc>
          <w:tcPr>
            <w:tcW w:w="333"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16</w:t>
            </w:r>
          </w:p>
        </w:tc>
        <w:tc>
          <w:tcPr>
            <w:tcW w:w="410" w:type="pct"/>
            <w:vMerge w:val="continue"/>
            <w:tcBorders>
              <w:left w:val="single" w:color="auto" w:sz="4" w:space="0"/>
              <w:right w:val="single" w:color="auto" w:sz="4" w:space="0"/>
            </w:tcBorders>
            <w:noWrap w:val="0"/>
            <w:vAlign w:val="center"/>
          </w:tcPr>
          <w:p>
            <w:pPr>
              <w:rPr>
                <w:rFonts w:hint="eastAsia" w:ascii="宋体" w:hAnsi="宋体" w:eastAsia="方正仿宋_GBK" w:cs="宋体"/>
                <w:snapToGrid w:val="0"/>
                <w:kern w:val="0"/>
                <w:sz w:val="24"/>
              </w:rPr>
            </w:pPr>
          </w:p>
        </w:tc>
        <w:tc>
          <w:tcPr>
            <w:tcW w:w="2154" w:type="pct"/>
            <w:tcBorders>
              <w:top w:val="nil"/>
              <w:left w:val="nil"/>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智慧园区累计建设数量（个）</w:t>
            </w:r>
          </w:p>
        </w:tc>
        <w:tc>
          <w:tcPr>
            <w:tcW w:w="504"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1</w:t>
            </w:r>
          </w:p>
        </w:tc>
        <w:tc>
          <w:tcPr>
            <w:tcW w:w="504"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1</w:t>
            </w:r>
          </w:p>
        </w:tc>
        <w:tc>
          <w:tcPr>
            <w:tcW w:w="492"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1</w:t>
            </w:r>
          </w:p>
        </w:tc>
        <w:tc>
          <w:tcPr>
            <w:tcW w:w="601"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预期性</w:t>
            </w:r>
          </w:p>
        </w:tc>
      </w:tr>
      <w:tr>
        <w:tblPrEx>
          <w:tblCellMar>
            <w:top w:w="0" w:type="dxa"/>
            <w:left w:w="28" w:type="dxa"/>
            <w:bottom w:w="0" w:type="dxa"/>
            <w:right w:w="28" w:type="dxa"/>
          </w:tblCellMar>
        </w:tblPrEx>
        <w:trPr>
          <w:trHeight w:val="420" w:hRule="atLeast"/>
          <w:jc w:val="center"/>
        </w:trPr>
        <w:tc>
          <w:tcPr>
            <w:tcW w:w="333"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17</w:t>
            </w:r>
          </w:p>
        </w:tc>
        <w:tc>
          <w:tcPr>
            <w:tcW w:w="410" w:type="pct"/>
            <w:vMerge w:val="continue"/>
            <w:tcBorders>
              <w:left w:val="single" w:color="auto" w:sz="4" w:space="0"/>
              <w:right w:val="single" w:color="auto" w:sz="4" w:space="0"/>
            </w:tcBorders>
            <w:noWrap w:val="0"/>
            <w:vAlign w:val="center"/>
          </w:tcPr>
          <w:p>
            <w:pPr>
              <w:rPr>
                <w:rFonts w:hint="eastAsia" w:ascii="宋体" w:hAnsi="宋体" w:eastAsia="方正仿宋_GBK" w:cs="宋体"/>
                <w:snapToGrid w:val="0"/>
                <w:kern w:val="0"/>
                <w:sz w:val="24"/>
              </w:rPr>
            </w:pPr>
          </w:p>
        </w:tc>
        <w:tc>
          <w:tcPr>
            <w:tcW w:w="2154" w:type="pct"/>
            <w:tcBorders>
              <w:top w:val="nil"/>
              <w:left w:val="nil"/>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智慧景区累计建设数量（个）</w:t>
            </w:r>
          </w:p>
        </w:tc>
        <w:tc>
          <w:tcPr>
            <w:tcW w:w="504"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1</w:t>
            </w:r>
          </w:p>
        </w:tc>
        <w:tc>
          <w:tcPr>
            <w:tcW w:w="504"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1</w:t>
            </w:r>
          </w:p>
        </w:tc>
        <w:tc>
          <w:tcPr>
            <w:tcW w:w="492"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2</w:t>
            </w:r>
          </w:p>
        </w:tc>
        <w:tc>
          <w:tcPr>
            <w:tcW w:w="601"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预期性</w:t>
            </w:r>
          </w:p>
        </w:tc>
      </w:tr>
      <w:tr>
        <w:tblPrEx>
          <w:tblCellMar>
            <w:top w:w="0" w:type="dxa"/>
            <w:left w:w="28" w:type="dxa"/>
            <w:bottom w:w="0" w:type="dxa"/>
            <w:right w:w="28" w:type="dxa"/>
          </w:tblCellMar>
        </w:tblPrEx>
        <w:trPr>
          <w:trHeight w:val="420" w:hRule="atLeast"/>
          <w:jc w:val="center"/>
        </w:trPr>
        <w:tc>
          <w:tcPr>
            <w:tcW w:w="333"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18</w:t>
            </w:r>
          </w:p>
        </w:tc>
        <w:tc>
          <w:tcPr>
            <w:tcW w:w="410" w:type="pct"/>
            <w:vMerge w:val="continue"/>
            <w:tcBorders>
              <w:left w:val="single" w:color="auto" w:sz="4" w:space="0"/>
              <w:bottom w:val="single" w:color="000000" w:sz="4" w:space="0"/>
              <w:right w:val="single" w:color="auto" w:sz="4" w:space="0"/>
            </w:tcBorders>
            <w:noWrap w:val="0"/>
            <w:vAlign w:val="center"/>
          </w:tcPr>
          <w:p>
            <w:pPr>
              <w:rPr>
                <w:rFonts w:hint="eastAsia" w:ascii="宋体" w:hAnsi="宋体" w:eastAsia="方正仿宋_GBK" w:cs="宋体"/>
                <w:snapToGrid w:val="0"/>
                <w:kern w:val="0"/>
                <w:sz w:val="24"/>
              </w:rPr>
            </w:pPr>
          </w:p>
        </w:tc>
        <w:tc>
          <w:tcPr>
            <w:tcW w:w="2154" w:type="pct"/>
            <w:tcBorders>
              <w:top w:val="nil"/>
              <w:left w:val="nil"/>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智慧工地累计建设数量（个）</w:t>
            </w:r>
          </w:p>
        </w:tc>
        <w:tc>
          <w:tcPr>
            <w:tcW w:w="504"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16</w:t>
            </w:r>
          </w:p>
        </w:tc>
        <w:tc>
          <w:tcPr>
            <w:tcW w:w="504" w:type="pct"/>
            <w:tcBorders>
              <w:top w:val="nil"/>
              <w:left w:val="nil"/>
              <w:bottom w:val="single" w:color="auto" w:sz="4" w:space="0"/>
              <w:right w:val="single" w:color="auto" w:sz="4" w:space="0"/>
            </w:tcBorders>
            <w:noWrap w:val="0"/>
            <w:vAlign w:val="center"/>
          </w:tcPr>
          <w:p>
            <w:pPr>
              <w:jc w:val="center"/>
              <w:rPr>
                <w:rFonts w:ascii="宋体" w:hAnsi="宋体" w:eastAsia="方正仿宋_GBK" w:cs="宋体"/>
                <w:snapToGrid w:val="0"/>
                <w:kern w:val="0"/>
                <w:sz w:val="24"/>
              </w:rPr>
            </w:pPr>
            <w:r>
              <w:rPr>
                <w:rFonts w:hint="eastAsia" w:ascii="Times New Roman" w:hAnsi="Times New Roman" w:eastAsia="方正仿宋_GBK" w:cs="宋体"/>
                <w:snapToGrid w:val="0"/>
                <w:kern w:val="0"/>
                <w:sz w:val="24"/>
              </w:rPr>
              <w:t>18</w:t>
            </w:r>
          </w:p>
        </w:tc>
        <w:tc>
          <w:tcPr>
            <w:tcW w:w="492"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20</w:t>
            </w:r>
          </w:p>
        </w:tc>
        <w:tc>
          <w:tcPr>
            <w:tcW w:w="601"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预期性</w:t>
            </w:r>
          </w:p>
        </w:tc>
      </w:tr>
      <w:tr>
        <w:tblPrEx>
          <w:tblCellMar>
            <w:top w:w="0" w:type="dxa"/>
            <w:left w:w="28" w:type="dxa"/>
            <w:bottom w:w="0" w:type="dxa"/>
            <w:right w:w="28" w:type="dxa"/>
          </w:tblCellMar>
        </w:tblPrEx>
        <w:trPr>
          <w:trHeight w:val="420" w:hRule="atLeast"/>
          <w:jc w:val="center"/>
        </w:trPr>
        <w:tc>
          <w:tcPr>
            <w:tcW w:w="333"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19</w:t>
            </w:r>
          </w:p>
        </w:tc>
        <w:tc>
          <w:tcPr>
            <w:tcW w:w="410" w:type="pct"/>
            <w:vMerge w:val="restart"/>
            <w:tcBorders>
              <w:top w:val="nil"/>
              <w:left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生态宜居</w:t>
            </w:r>
          </w:p>
        </w:tc>
        <w:tc>
          <w:tcPr>
            <w:tcW w:w="2154" w:type="pct"/>
            <w:tcBorders>
              <w:top w:val="nil"/>
              <w:left w:val="nil"/>
              <w:bottom w:val="single" w:color="auto" w:sz="4" w:space="0"/>
              <w:right w:val="single" w:color="auto" w:sz="4" w:space="0"/>
            </w:tcBorders>
            <w:noWrap w:val="0"/>
            <w:vAlign w:val="center"/>
          </w:tcPr>
          <w:p>
            <w:pPr>
              <w:rPr>
                <w:rFonts w:ascii="宋体" w:hAnsi="宋体" w:eastAsia="方正仿宋_GBK" w:cs="宋体"/>
                <w:snapToGrid w:val="0"/>
                <w:kern w:val="0"/>
                <w:sz w:val="24"/>
              </w:rPr>
            </w:pPr>
            <w:r>
              <w:rPr>
                <w:rFonts w:ascii="宋体" w:hAnsi="宋体" w:eastAsia="方正仿宋_GBK" w:cs="宋体"/>
                <w:snapToGrid w:val="0"/>
                <w:kern w:val="0"/>
                <w:sz w:val="24"/>
              </w:rPr>
              <w:t>负离子自动监测点数量</w:t>
            </w:r>
          </w:p>
        </w:tc>
        <w:tc>
          <w:tcPr>
            <w:tcW w:w="504" w:type="pct"/>
            <w:tcBorders>
              <w:top w:val="nil"/>
              <w:left w:val="nil"/>
              <w:bottom w:val="single" w:color="auto" w:sz="4" w:space="0"/>
              <w:right w:val="single" w:color="auto" w:sz="4" w:space="0"/>
            </w:tcBorders>
            <w:noWrap w:val="0"/>
            <w:vAlign w:val="center"/>
          </w:tcPr>
          <w:p>
            <w:pPr>
              <w:jc w:val="center"/>
              <w:rPr>
                <w:rFonts w:ascii="宋体" w:hAnsi="宋体" w:eastAsia="方正仿宋_GBK" w:cs="宋体"/>
                <w:snapToGrid w:val="0"/>
                <w:kern w:val="0"/>
                <w:sz w:val="24"/>
              </w:rPr>
            </w:pPr>
            <w:r>
              <w:rPr>
                <w:rFonts w:ascii="Times New Roman" w:hAnsi="Times New Roman" w:eastAsia="方正仿宋_GBK" w:cs="宋体"/>
                <w:snapToGrid w:val="0"/>
                <w:kern w:val="0"/>
                <w:sz w:val="24"/>
              </w:rPr>
              <w:t>3</w:t>
            </w:r>
          </w:p>
        </w:tc>
        <w:tc>
          <w:tcPr>
            <w:tcW w:w="504"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5</w:t>
            </w:r>
          </w:p>
        </w:tc>
        <w:tc>
          <w:tcPr>
            <w:tcW w:w="492" w:type="pct"/>
            <w:tcBorders>
              <w:top w:val="nil"/>
              <w:left w:val="nil"/>
              <w:bottom w:val="single" w:color="auto" w:sz="4" w:space="0"/>
              <w:right w:val="single" w:color="auto" w:sz="4" w:space="0"/>
            </w:tcBorders>
            <w:noWrap w:val="0"/>
            <w:vAlign w:val="center"/>
          </w:tcPr>
          <w:p>
            <w:pPr>
              <w:jc w:val="center"/>
              <w:rPr>
                <w:rFonts w:ascii="宋体" w:hAnsi="宋体" w:eastAsia="方正仿宋_GBK" w:cs="宋体"/>
                <w:snapToGrid w:val="0"/>
                <w:kern w:val="0"/>
                <w:sz w:val="24"/>
              </w:rPr>
            </w:pPr>
            <w:r>
              <w:rPr>
                <w:rFonts w:ascii="宋体" w:hAnsi="宋体" w:eastAsia="方正仿宋_GBK" w:cs="宋体"/>
                <w:snapToGrid w:val="0"/>
                <w:kern w:val="0"/>
                <w:sz w:val="24"/>
              </w:rPr>
              <w:t>&gt;</w:t>
            </w:r>
            <w:r>
              <w:rPr>
                <w:rFonts w:ascii="Times New Roman" w:hAnsi="Times New Roman" w:eastAsia="方正仿宋_GBK" w:cs="宋体"/>
                <w:snapToGrid w:val="0"/>
                <w:kern w:val="0"/>
                <w:sz w:val="24"/>
              </w:rPr>
              <w:t>5</w:t>
            </w:r>
          </w:p>
        </w:tc>
        <w:tc>
          <w:tcPr>
            <w:tcW w:w="601" w:type="pct"/>
            <w:tcBorders>
              <w:top w:val="nil"/>
              <w:left w:val="nil"/>
              <w:bottom w:val="single" w:color="auto" w:sz="4" w:space="0"/>
              <w:right w:val="single" w:color="auto" w:sz="4" w:space="0"/>
            </w:tcBorders>
            <w:noWrap w:val="0"/>
            <w:vAlign w:val="center"/>
          </w:tcPr>
          <w:p>
            <w:pPr>
              <w:jc w:val="center"/>
              <w:rPr>
                <w:rFonts w:ascii="宋体" w:hAnsi="宋体" w:eastAsia="方正仿宋_GBK" w:cs="宋体"/>
                <w:snapToGrid w:val="0"/>
                <w:kern w:val="0"/>
                <w:sz w:val="24"/>
              </w:rPr>
            </w:pPr>
            <w:r>
              <w:rPr>
                <w:rFonts w:ascii="宋体" w:hAnsi="宋体" w:eastAsia="方正仿宋_GBK" w:cs="宋体"/>
                <w:snapToGrid w:val="0"/>
                <w:kern w:val="0"/>
                <w:sz w:val="24"/>
              </w:rPr>
              <w:t>预期性</w:t>
            </w:r>
          </w:p>
        </w:tc>
      </w:tr>
      <w:tr>
        <w:tblPrEx>
          <w:tblCellMar>
            <w:top w:w="0" w:type="dxa"/>
            <w:left w:w="28" w:type="dxa"/>
            <w:bottom w:w="0" w:type="dxa"/>
            <w:right w:w="28" w:type="dxa"/>
          </w:tblCellMar>
        </w:tblPrEx>
        <w:trPr>
          <w:trHeight w:val="420" w:hRule="atLeast"/>
          <w:jc w:val="center"/>
        </w:trPr>
        <w:tc>
          <w:tcPr>
            <w:tcW w:w="333"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20</w:t>
            </w:r>
          </w:p>
        </w:tc>
        <w:tc>
          <w:tcPr>
            <w:tcW w:w="410" w:type="pct"/>
            <w:vMerge w:val="continue"/>
            <w:tcBorders>
              <w:left w:val="single" w:color="auto" w:sz="4" w:space="0"/>
              <w:right w:val="single" w:color="auto" w:sz="4" w:space="0"/>
            </w:tcBorders>
            <w:noWrap w:val="0"/>
            <w:vAlign w:val="center"/>
          </w:tcPr>
          <w:p>
            <w:pPr>
              <w:rPr>
                <w:rFonts w:hint="eastAsia" w:ascii="宋体" w:hAnsi="宋体" w:eastAsia="方正仿宋_GBK" w:cs="宋体"/>
                <w:snapToGrid w:val="0"/>
                <w:kern w:val="0"/>
                <w:sz w:val="24"/>
              </w:rPr>
            </w:pPr>
          </w:p>
        </w:tc>
        <w:tc>
          <w:tcPr>
            <w:tcW w:w="2154" w:type="pct"/>
            <w:tcBorders>
              <w:top w:val="nil"/>
              <w:left w:val="nil"/>
              <w:bottom w:val="single" w:color="auto" w:sz="4" w:space="0"/>
              <w:right w:val="single" w:color="auto" w:sz="4" w:space="0"/>
            </w:tcBorders>
            <w:noWrap w:val="0"/>
            <w:vAlign w:val="center"/>
          </w:tcPr>
          <w:p>
            <w:pPr>
              <w:rPr>
                <w:rFonts w:ascii="宋体" w:hAnsi="宋体" w:eastAsia="方正仿宋_GBK" w:cs="宋体"/>
                <w:snapToGrid w:val="0"/>
                <w:kern w:val="0"/>
                <w:sz w:val="24"/>
              </w:rPr>
            </w:pPr>
            <w:r>
              <w:rPr>
                <w:rFonts w:ascii="宋体" w:hAnsi="宋体" w:eastAsia="方正仿宋_GBK" w:cs="宋体"/>
                <w:snapToGrid w:val="0"/>
                <w:kern w:val="0"/>
                <w:sz w:val="24"/>
              </w:rPr>
              <w:t>气象预警信息镇街及行政村覆盖率（</w:t>
            </w:r>
            <w:r>
              <w:rPr>
                <w:rFonts w:ascii="Times New Roman" w:hAnsi="Times New Roman" w:eastAsia="方正仿宋_GBK" w:cs="宋体"/>
                <w:snapToGrid w:val="0"/>
                <w:kern w:val="0"/>
                <w:sz w:val="24"/>
              </w:rPr>
              <w:t>%</w:t>
            </w:r>
            <w:r>
              <w:rPr>
                <w:rFonts w:ascii="宋体" w:hAnsi="宋体" w:eastAsia="方正仿宋_GBK" w:cs="宋体"/>
                <w:snapToGrid w:val="0"/>
                <w:kern w:val="0"/>
                <w:sz w:val="24"/>
              </w:rPr>
              <w:t>）</w:t>
            </w:r>
          </w:p>
        </w:tc>
        <w:tc>
          <w:tcPr>
            <w:tcW w:w="504" w:type="pct"/>
            <w:tcBorders>
              <w:top w:val="nil"/>
              <w:left w:val="nil"/>
              <w:bottom w:val="single" w:color="auto" w:sz="4" w:space="0"/>
              <w:right w:val="single" w:color="auto" w:sz="4" w:space="0"/>
            </w:tcBorders>
            <w:noWrap w:val="0"/>
            <w:vAlign w:val="center"/>
          </w:tcPr>
          <w:p>
            <w:pPr>
              <w:jc w:val="center"/>
              <w:rPr>
                <w:rFonts w:ascii="宋体" w:hAnsi="宋体" w:eastAsia="方正仿宋_GBK" w:cs="宋体"/>
                <w:snapToGrid w:val="0"/>
                <w:kern w:val="0"/>
                <w:sz w:val="24"/>
              </w:rPr>
            </w:pPr>
            <w:r>
              <w:rPr>
                <w:rFonts w:ascii="Times New Roman" w:hAnsi="Times New Roman" w:eastAsia="方正仿宋_GBK" w:cs="宋体"/>
                <w:snapToGrid w:val="0"/>
                <w:kern w:val="0"/>
                <w:sz w:val="24"/>
              </w:rPr>
              <w:t>20</w:t>
            </w:r>
          </w:p>
        </w:tc>
        <w:tc>
          <w:tcPr>
            <w:tcW w:w="504" w:type="pct"/>
            <w:tcBorders>
              <w:top w:val="nil"/>
              <w:left w:val="nil"/>
              <w:bottom w:val="single" w:color="auto" w:sz="4" w:space="0"/>
              <w:right w:val="single" w:color="auto" w:sz="4" w:space="0"/>
            </w:tcBorders>
            <w:noWrap w:val="0"/>
            <w:vAlign w:val="center"/>
          </w:tcPr>
          <w:p>
            <w:pPr>
              <w:jc w:val="center"/>
              <w:rPr>
                <w:rFonts w:ascii="宋体" w:hAnsi="宋体" w:eastAsia="方正仿宋_GBK" w:cs="宋体"/>
                <w:snapToGrid w:val="0"/>
                <w:kern w:val="0"/>
                <w:sz w:val="24"/>
              </w:rPr>
            </w:pPr>
            <w:r>
              <w:rPr>
                <w:rFonts w:hint="eastAsia" w:ascii="Times New Roman" w:hAnsi="Times New Roman" w:eastAsia="方正仿宋_GBK" w:cs="宋体"/>
                <w:snapToGrid w:val="0"/>
                <w:kern w:val="0"/>
                <w:sz w:val="24"/>
              </w:rPr>
              <w:t>35</w:t>
            </w:r>
          </w:p>
        </w:tc>
        <w:tc>
          <w:tcPr>
            <w:tcW w:w="492" w:type="pct"/>
            <w:tcBorders>
              <w:top w:val="nil"/>
              <w:left w:val="nil"/>
              <w:bottom w:val="single" w:color="auto" w:sz="4" w:space="0"/>
              <w:right w:val="single" w:color="auto" w:sz="4" w:space="0"/>
            </w:tcBorders>
            <w:noWrap w:val="0"/>
            <w:vAlign w:val="center"/>
          </w:tcPr>
          <w:p>
            <w:pPr>
              <w:jc w:val="center"/>
              <w:rPr>
                <w:rFonts w:ascii="宋体" w:hAnsi="宋体" w:eastAsia="方正仿宋_GBK" w:cs="宋体"/>
                <w:snapToGrid w:val="0"/>
                <w:kern w:val="0"/>
                <w:sz w:val="24"/>
              </w:rPr>
            </w:pPr>
            <w:r>
              <w:rPr>
                <w:rFonts w:ascii="Times New Roman" w:hAnsi="Times New Roman" w:eastAsia="方正仿宋_GBK" w:cs="宋体"/>
                <w:snapToGrid w:val="0"/>
                <w:kern w:val="0"/>
                <w:sz w:val="24"/>
              </w:rPr>
              <w:t>50</w:t>
            </w:r>
          </w:p>
        </w:tc>
        <w:tc>
          <w:tcPr>
            <w:tcW w:w="601" w:type="pct"/>
            <w:tcBorders>
              <w:top w:val="nil"/>
              <w:left w:val="nil"/>
              <w:bottom w:val="single" w:color="auto" w:sz="4" w:space="0"/>
              <w:right w:val="single" w:color="auto" w:sz="4" w:space="0"/>
            </w:tcBorders>
            <w:noWrap w:val="0"/>
            <w:vAlign w:val="center"/>
          </w:tcPr>
          <w:p>
            <w:pPr>
              <w:jc w:val="center"/>
              <w:rPr>
                <w:rFonts w:ascii="宋体" w:hAnsi="宋体" w:eastAsia="方正仿宋_GBK" w:cs="宋体"/>
                <w:snapToGrid w:val="0"/>
                <w:kern w:val="0"/>
                <w:sz w:val="24"/>
              </w:rPr>
            </w:pPr>
            <w:r>
              <w:rPr>
                <w:rFonts w:ascii="宋体" w:hAnsi="宋体" w:eastAsia="方正仿宋_GBK" w:cs="宋体"/>
                <w:snapToGrid w:val="0"/>
                <w:kern w:val="0"/>
                <w:sz w:val="24"/>
              </w:rPr>
              <w:t>预期性</w:t>
            </w:r>
          </w:p>
        </w:tc>
      </w:tr>
      <w:tr>
        <w:tblPrEx>
          <w:tblCellMar>
            <w:top w:w="0" w:type="dxa"/>
            <w:left w:w="28" w:type="dxa"/>
            <w:bottom w:w="0" w:type="dxa"/>
            <w:right w:w="28" w:type="dxa"/>
          </w:tblCellMar>
        </w:tblPrEx>
        <w:trPr>
          <w:trHeight w:val="420" w:hRule="atLeast"/>
          <w:jc w:val="center"/>
        </w:trPr>
        <w:tc>
          <w:tcPr>
            <w:tcW w:w="333"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21</w:t>
            </w:r>
          </w:p>
        </w:tc>
        <w:tc>
          <w:tcPr>
            <w:tcW w:w="410" w:type="pct"/>
            <w:vMerge w:val="continue"/>
            <w:tcBorders>
              <w:left w:val="single" w:color="auto" w:sz="4" w:space="0"/>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p>
        </w:tc>
        <w:tc>
          <w:tcPr>
            <w:tcW w:w="2154" w:type="pct"/>
            <w:tcBorders>
              <w:top w:val="nil"/>
              <w:left w:val="nil"/>
              <w:bottom w:val="single" w:color="auto" w:sz="4" w:space="0"/>
              <w:right w:val="single" w:color="auto" w:sz="4" w:space="0"/>
            </w:tcBorders>
            <w:noWrap w:val="0"/>
            <w:vAlign w:val="center"/>
          </w:tcPr>
          <w:p>
            <w:pPr>
              <w:rPr>
                <w:rFonts w:ascii="宋体" w:hAnsi="宋体" w:eastAsia="方正仿宋_GBK" w:cs="宋体"/>
                <w:snapToGrid w:val="0"/>
                <w:kern w:val="0"/>
                <w:sz w:val="24"/>
              </w:rPr>
            </w:pPr>
            <w:r>
              <w:rPr>
                <w:rFonts w:ascii="宋体" w:hAnsi="宋体" w:eastAsia="方正仿宋_GBK" w:cs="宋体"/>
                <w:snapToGrid w:val="0"/>
                <w:kern w:val="0"/>
                <w:sz w:val="24"/>
              </w:rPr>
              <w:t>非煤矿山资源在线监测率（</w:t>
            </w:r>
            <w:r>
              <w:rPr>
                <w:rFonts w:ascii="Times New Roman" w:hAnsi="Times New Roman" w:eastAsia="方正仿宋_GBK" w:cs="宋体"/>
                <w:snapToGrid w:val="0"/>
                <w:kern w:val="0"/>
                <w:sz w:val="24"/>
              </w:rPr>
              <w:t>%</w:t>
            </w:r>
            <w:r>
              <w:rPr>
                <w:rFonts w:ascii="宋体" w:hAnsi="宋体" w:eastAsia="方正仿宋_GBK" w:cs="宋体"/>
                <w:snapToGrid w:val="0"/>
                <w:kern w:val="0"/>
                <w:sz w:val="24"/>
              </w:rPr>
              <w:t>）</w:t>
            </w:r>
          </w:p>
        </w:tc>
        <w:tc>
          <w:tcPr>
            <w:tcW w:w="504" w:type="pct"/>
            <w:tcBorders>
              <w:top w:val="nil"/>
              <w:left w:val="nil"/>
              <w:bottom w:val="single" w:color="auto" w:sz="4" w:space="0"/>
              <w:right w:val="single" w:color="auto" w:sz="4" w:space="0"/>
            </w:tcBorders>
            <w:noWrap w:val="0"/>
            <w:vAlign w:val="center"/>
          </w:tcPr>
          <w:p>
            <w:pPr>
              <w:jc w:val="center"/>
              <w:rPr>
                <w:rFonts w:ascii="宋体" w:hAnsi="宋体" w:eastAsia="方正仿宋_GBK" w:cs="宋体"/>
                <w:snapToGrid w:val="0"/>
                <w:kern w:val="0"/>
                <w:sz w:val="24"/>
              </w:rPr>
            </w:pPr>
            <w:r>
              <w:rPr>
                <w:rFonts w:ascii="Times New Roman" w:hAnsi="Times New Roman" w:eastAsia="方正仿宋_GBK" w:cs="宋体"/>
                <w:snapToGrid w:val="0"/>
                <w:kern w:val="0"/>
                <w:sz w:val="24"/>
              </w:rPr>
              <w:t>50</w:t>
            </w:r>
          </w:p>
        </w:tc>
        <w:tc>
          <w:tcPr>
            <w:tcW w:w="504" w:type="pct"/>
            <w:tcBorders>
              <w:top w:val="nil"/>
              <w:left w:val="nil"/>
              <w:bottom w:val="single" w:color="auto" w:sz="4" w:space="0"/>
              <w:right w:val="single" w:color="auto" w:sz="4" w:space="0"/>
            </w:tcBorders>
            <w:noWrap w:val="0"/>
            <w:vAlign w:val="center"/>
          </w:tcPr>
          <w:p>
            <w:pPr>
              <w:jc w:val="center"/>
              <w:rPr>
                <w:rFonts w:ascii="宋体" w:hAnsi="宋体" w:eastAsia="方正仿宋_GBK" w:cs="宋体"/>
                <w:snapToGrid w:val="0"/>
                <w:kern w:val="0"/>
                <w:sz w:val="24"/>
              </w:rPr>
            </w:pPr>
            <w:r>
              <w:rPr>
                <w:rFonts w:hint="eastAsia" w:ascii="Times New Roman" w:hAnsi="Times New Roman" w:eastAsia="方正仿宋_GBK" w:cs="宋体"/>
                <w:snapToGrid w:val="0"/>
                <w:kern w:val="0"/>
                <w:sz w:val="24"/>
              </w:rPr>
              <w:t>75</w:t>
            </w:r>
          </w:p>
        </w:tc>
        <w:tc>
          <w:tcPr>
            <w:tcW w:w="492" w:type="pct"/>
            <w:tcBorders>
              <w:top w:val="nil"/>
              <w:left w:val="nil"/>
              <w:bottom w:val="single" w:color="auto" w:sz="4" w:space="0"/>
              <w:right w:val="single" w:color="auto" w:sz="4" w:space="0"/>
            </w:tcBorders>
            <w:noWrap w:val="0"/>
            <w:vAlign w:val="center"/>
          </w:tcPr>
          <w:p>
            <w:pPr>
              <w:jc w:val="center"/>
              <w:rPr>
                <w:rFonts w:ascii="宋体" w:hAnsi="宋体" w:eastAsia="方正仿宋_GBK" w:cs="宋体"/>
                <w:snapToGrid w:val="0"/>
                <w:kern w:val="0"/>
                <w:sz w:val="24"/>
              </w:rPr>
            </w:pPr>
            <w:r>
              <w:rPr>
                <w:rFonts w:ascii="Times New Roman" w:hAnsi="Times New Roman" w:eastAsia="方正仿宋_GBK" w:cs="宋体"/>
                <w:snapToGrid w:val="0"/>
                <w:kern w:val="0"/>
                <w:sz w:val="24"/>
              </w:rPr>
              <w:t>90</w:t>
            </w:r>
          </w:p>
        </w:tc>
        <w:tc>
          <w:tcPr>
            <w:tcW w:w="601" w:type="pct"/>
            <w:tcBorders>
              <w:top w:val="nil"/>
              <w:left w:val="nil"/>
              <w:bottom w:val="single" w:color="auto" w:sz="4" w:space="0"/>
              <w:right w:val="single" w:color="auto" w:sz="4" w:space="0"/>
            </w:tcBorders>
            <w:noWrap w:val="0"/>
            <w:vAlign w:val="center"/>
          </w:tcPr>
          <w:p>
            <w:pPr>
              <w:jc w:val="center"/>
              <w:rPr>
                <w:rFonts w:ascii="宋体" w:hAnsi="宋体" w:eastAsia="方正仿宋_GBK" w:cs="宋体"/>
                <w:snapToGrid w:val="0"/>
                <w:kern w:val="0"/>
                <w:sz w:val="24"/>
              </w:rPr>
            </w:pPr>
            <w:r>
              <w:rPr>
                <w:rFonts w:ascii="宋体" w:hAnsi="宋体" w:eastAsia="方正仿宋_GBK" w:cs="宋体"/>
                <w:snapToGrid w:val="0"/>
                <w:kern w:val="0"/>
                <w:sz w:val="24"/>
              </w:rPr>
              <w:t>预期性</w:t>
            </w:r>
          </w:p>
        </w:tc>
      </w:tr>
      <w:tr>
        <w:tblPrEx>
          <w:tblCellMar>
            <w:top w:w="0" w:type="dxa"/>
            <w:left w:w="28" w:type="dxa"/>
            <w:bottom w:w="0" w:type="dxa"/>
            <w:right w:w="28" w:type="dxa"/>
          </w:tblCellMar>
        </w:tblPrEx>
        <w:trPr>
          <w:trHeight w:val="420" w:hRule="atLeast"/>
          <w:jc w:val="center"/>
        </w:trPr>
        <w:tc>
          <w:tcPr>
            <w:tcW w:w="333"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2</w:t>
            </w:r>
            <w:r>
              <w:rPr>
                <w:rFonts w:ascii="Times New Roman" w:hAnsi="Times New Roman" w:eastAsia="方正仿宋_GBK" w:cs="宋体"/>
                <w:snapToGrid w:val="0"/>
                <w:kern w:val="0"/>
                <w:sz w:val="24"/>
              </w:rPr>
              <w:t>2</w:t>
            </w:r>
          </w:p>
        </w:tc>
        <w:tc>
          <w:tcPr>
            <w:tcW w:w="410" w:type="pct"/>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基础设施</w:t>
            </w:r>
          </w:p>
        </w:tc>
        <w:tc>
          <w:tcPr>
            <w:tcW w:w="2154" w:type="pct"/>
            <w:tcBorders>
              <w:top w:val="nil"/>
              <w:left w:val="nil"/>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固定宽带家庭普及率（</w:t>
            </w:r>
            <w:r>
              <w:rPr>
                <w:rFonts w:hint="eastAsia" w:ascii="Times New Roman" w:hAnsi="Times New Roman" w:eastAsia="方正仿宋_GBK" w:cs="宋体"/>
                <w:snapToGrid w:val="0"/>
                <w:kern w:val="0"/>
                <w:sz w:val="24"/>
              </w:rPr>
              <w:t>%</w:t>
            </w:r>
            <w:r>
              <w:rPr>
                <w:rFonts w:hint="eastAsia" w:ascii="宋体" w:hAnsi="宋体" w:eastAsia="方正仿宋_GBK" w:cs="宋体"/>
                <w:snapToGrid w:val="0"/>
                <w:kern w:val="0"/>
                <w:sz w:val="24"/>
              </w:rPr>
              <w:t>）</w:t>
            </w:r>
          </w:p>
        </w:tc>
        <w:tc>
          <w:tcPr>
            <w:tcW w:w="504"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90</w:t>
            </w:r>
          </w:p>
        </w:tc>
        <w:tc>
          <w:tcPr>
            <w:tcW w:w="504" w:type="pct"/>
            <w:tcBorders>
              <w:top w:val="nil"/>
              <w:left w:val="nil"/>
              <w:bottom w:val="single" w:color="auto" w:sz="4" w:space="0"/>
              <w:right w:val="single" w:color="auto" w:sz="4" w:space="0"/>
            </w:tcBorders>
            <w:noWrap w:val="0"/>
            <w:vAlign w:val="center"/>
          </w:tcPr>
          <w:p>
            <w:pPr>
              <w:jc w:val="center"/>
              <w:rPr>
                <w:rFonts w:ascii="宋体" w:hAnsi="宋体" w:eastAsia="方正仿宋_GBK" w:cs="宋体"/>
                <w:snapToGrid w:val="0"/>
                <w:kern w:val="0"/>
                <w:sz w:val="24"/>
              </w:rPr>
            </w:pPr>
            <w:r>
              <w:rPr>
                <w:rFonts w:hint="eastAsia" w:ascii="Times New Roman" w:hAnsi="Times New Roman" w:eastAsia="方正仿宋_GBK" w:cs="宋体"/>
                <w:snapToGrid w:val="0"/>
                <w:kern w:val="0"/>
                <w:sz w:val="24"/>
              </w:rPr>
              <w:t>95</w:t>
            </w:r>
          </w:p>
        </w:tc>
        <w:tc>
          <w:tcPr>
            <w:tcW w:w="492"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100</w:t>
            </w:r>
          </w:p>
        </w:tc>
        <w:tc>
          <w:tcPr>
            <w:tcW w:w="601"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预期性</w:t>
            </w:r>
          </w:p>
        </w:tc>
      </w:tr>
      <w:tr>
        <w:tblPrEx>
          <w:tblCellMar>
            <w:top w:w="0" w:type="dxa"/>
            <w:left w:w="28" w:type="dxa"/>
            <w:bottom w:w="0" w:type="dxa"/>
            <w:right w:w="28" w:type="dxa"/>
          </w:tblCellMar>
        </w:tblPrEx>
        <w:trPr>
          <w:trHeight w:val="420" w:hRule="atLeast"/>
          <w:jc w:val="center"/>
        </w:trPr>
        <w:tc>
          <w:tcPr>
            <w:tcW w:w="333"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2</w:t>
            </w:r>
            <w:r>
              <w:rPr>
                <w:rFonts w:ascii="Times New Roman" w:hAnsi="Times New Roman" w:eastAsia="方正仿宋_GBK" w:cs="宋体"/>
                <w:snapToGrid w:val="0"/>
                <w:kern w:val="0"/>
                <w:sz w:val="24"/>
              </w:rPr>
              <w:t>3</w:t>
            </w:r>
          </w:p>
        </w:tc>
        <w:tc>
          <w:tcPr>
            <w:tcW w:w="410" w:type="pct"/>
            <w:vMerge w:val="continue"/>
            <w:tcBorders>
              <w:top w:val="nil"/>
              <w:left w:val="single" w:color="auto" w:sz="4" w:space="0"/>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p>
        </w:tc>
        <w:tc>
          <w:tcPr>
            <w:tcW w:w="2154" w:type="pct"/>
            <w:tcBorders>
              <w:top w:val="nil"/>
              <w:left w:val="nil"/>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移动宽带用户普及率（</w:t>
            </w:r>
            <w:r>
              <w:rPr>
                <w:rFonts w:hint="eastAsia" w:ascii="Times New Roman" w:hAnsi="Times New Roman" w:eastAsia="方正仿宋_GBK" w:cs="宋体"/>
                <w:snapToGrid w:val="0"/>
                <w:kern w:val="0"/>
                <w:sz w:val="24"/>
              </w:rPr>
              <w:t>%</w:t>
            </w:r>
            <w:r>
              <w:rPr>
                <w:rFonts w:hint="eastAsia" w:ascii="宋体" w:hAnsi="宋体" w:eastAsia="方正仿宋_GBK" w:cs="宋体"/>
                <w:snapToGrid w:val="0"/>
                <w:kern w:val="0"/>
                <w:sz w:val="24"/>
              </w:rPr>
              <w:t>）</w:t>
            </w:r>
          </w:p>
        </w:tc>
        <w:tc>
          <w:tcPr>
            <w:tcW w:w="504"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90</w:t>
            </w:r>
          </w:p>
        </w:tc>
        <w:tc>
          <w:tcPr>
            <w:tcW w:w="504" w:type="pct"/>
            <w:tcBorders>
              <w:top w:val="nil"/>
              <w:left w:val="nil"/>
              <w:bottom w:val="single" w:color="auto" w:sz="4" w:space="0"/>
              <w:right w:val="single" w:color="auto" w:sz="4" w:space="0"/>
            </w:tcBorders>
            <w:noWrap w:val="0"/>
            <w:vAlign w:val="center"/>
          </w:tcPr>
          <w:p>
            <w:pPr>
              <w:jc w:val="center"/>
              <w:rPr>
                <w:rFonts w:ascii="宋体" w:hAnsi="宋体" w:eastAsia="方正仿宋_GBK" w:cs="宋体"/>
                <w:snapToGrid w:val="0"/>
                <w:kern w:val="0"/>
                <w:sz w:val="24"/>
              </w:rPr>
            </w:pPr>
            <w:r>
              <w:rPr>
                <w:rFonts w:hint="eastAsia" w:ascii="Times New Roman" w:hAnsi="Times New Roman" w:eastAsia="方正仿宋_GBK" w:cs="宋体"/>
                <w:snapToGrid w:val="0"/>
                <w:kern w:val="0"/>
                <w:sz w:val="24"/>
              </w:rPr>
              <w:t>95</w:t>
            </w:r>
          </w:p>
        </w:tc>
        <w:tc>
          <w:tcPr>
            <w:tcW w:w="492"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100</w:t>
            </w:r>
          </w:p>
        </w:tc>
        <w:tc>
          <w:tcPr>
            <w:tcW w:w="601"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预期性</w:t>
            </w:r>
          </w:p>
        </w:tc>
      </w:tr>
      <w:tr>
        <w:tblPrEx>
          <w:tblCellMar>
            <w:top w:w="0" w:type="dxa"/>
            <w:left w:w="28" w:type="dxa"/>
            <w:bottom w:w="0" w:type="dxa"/>
            <w:right w:w="28" w:type="dxa"/>
          </w:tblCellMar>
        </w:tblPrEx>
        <w:trPr>
          <w:trHeight w:val="420" w:hRule="atLeast"/>
          <w:jc w:val="center"/>
        </w:trPr>
        <w:tc>
          <w:tcPr>
            <w:tcW w:w="333"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2</w:t>
            </w:r>
            <w:r>
              <w:rPr>
                <w:rFonts w:ascii="Times New Roman" w:hAnsi="Times New Roman" w:eastAsia="方正仿宋_GBK" w:cs="宋体"/>
                <w:snapToGrid w:val="0"/>
                <w:kern w:val="0"/>
                <w:sz w:val="24"/>
              </w:rPr>
              <w:t>4</w:t>
            </w:r>
          </w:p>
        </w:tc>
        <w:tc>
          <w:tcPr>
            <w:tcW w:w="410" w:type="pct"/>
            <w:vMerge w:val="continue"/>
            <w:tcBorders>
              <w:top w:val="nil"/>
              <w:left w:val="single" w:color="auto" w:sz="4" w:space="0"/>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p>
        </w:tc>
        <w:tc>
          <w:tcPr>
            <w:tcW w:w="2154" w:type="pct"/>
            <w:tcBorders>
              <w:top w:val="nil"/>
              <w:left w:val="nil"/>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宽带用户平均接入速率（Mbps）</w:t>
            </w:r>
          </w:p>
        </w:tc>
        <w:tc>
          <w:tcPr>
            <w:tcW w:w="504"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50</w:t>
            </w:r>
          </w:p>
        </w:tc>
        <w:tc>
          <w:tcPr>
            <w:tcW w:w="504" w:type="pct"/>
            <w:tcBorders>
              <w:top w:val="nil"/>
              <w:left w:val="nil"/>
              <w:bottom w:val="single" w:color="auto" w:sz="4" w:space="0"/>
              <w:right w:val="single" w:color="auto" w:sz="4" w:space="0"/>
            </w:tcBorders>
            <w:noWrap w:val="0"/>
            <w:vAlign w:val="center"/>
          </w:tcPr>
          <w:p>
            <w:pPr>
              <w:jc w:val="center"/>
              <w:rPr>
                <w:rFonts w:ascii="宋体" w:hAnsi="宋体" w:eastAsia="方正仿宋_GBK" w:cs="宋体"/>
                <w:snapToGrid w:val="0"/>
                <w:kern w:val="0"/>
                <w:sz w:val="24"/>
              </w:rPr>
            </w:pPr>
            <w:r>
              <w:rPr>
                <w:rFonts w:hint="eastAsia" w:ascii="Times New Roman" w:hAnsi="Times New Roman" w:eastAsia="方正仿宋_GBK" w:cs="宋体"/>
                <w:snapToGrid w:val="0"/>
                <w:kern w:val="0"/>
                <w:sz w:val="24"/>
              </w:rPr>
              <w:t>100</w:t>
            </w:r>
          </w:p>
        </w:tc>
        <w:tc>
          <w:tcPr>
            <w:tcW w:w="492"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200</w:t>
            </w:r>
          </w:p>
        </w:tc>
        <w:tc>
          <w:tcPr>
            <w:tcW w:w="601"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预期性</w:t>
            </w:r>
          </w:p>
        </w:tc>
      </w:tr>
      <w:tr>
        <w:tblPrEx>
          <w:tblCellMar>
            <w:top w:w="0" w:type="dxa"/>
            <w:left w:w="28" w:type="dxa"/>
            <w:bottom w:w="0" w:type="dxa"/>
            <w:right w:w="28" w:type="dxa"/>
          </w:tblCellMar>
        </w:tblPrEx>
        <w:trPr>
          <w:trHeight w:val="420" w:hRule="atLeast"/>
          <w:jc w:val="center"/>
        </w:trPr>
        <w:tc>
          <w:tcPr>
            <w:tcW w:w="333" w:type="pc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2</w:t>
            </w:r>
            <w:r>
              <w:rPr>
                <w:rFonts w:ascii="Times New Roman" w:hAnsi="Times New Roman" w:eastAsia="方正仿宋_GBK" w:cs="宋体"/>
                <w:snapToGrid w:val="0"/>
                <w:kern w:val="0"/>
                <w:sz w:val="24"/>
              </w:rPr>
              <w:t>5</w:t>
            </w:r>
          </w:p>
        </w:tc>
        <w:tc>
          <w:tcPr>
            <w:tcW w:w="410" w:type="pct"/>
            <w:vMerge w:val="continue"/>
            <w:tcBorders>
              <w:top w:val="nil"/>
              <w:left w:val="single" w:color="auto" w:sz="4" w:space="0"/>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p>
        </w:tc>
        <w:tc>
          <w:tcPr>
            <w:tcW w:w="2154" w:type="pct"/>
            <w:tcBorders>
              <w:top w:val="nil"/>
              <w:left w:val="nil"/>
              <w:bottom w:val="single" w:color="auto" w:sz="4" w:space="0"/>
              <w:right w:val="single" w:color="auto" w:sz="4" w:space="0"/>
            </w:tcBorders>
            <w:noWrap w:val="0"/>
            <w:vAlign w:val="center"/>
          </w:tcPr>
          <w:p>
            <w:pP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IPv</w:t>
            </w:r>
            <w:r>
              <w:rPr>
                <w:rFonts w:hint="eastAsia" w:ascii="Times New Roman" w:hAnsi="Times New Roman" w:eastAsia="方正仿宋_GBK" w:cs="宋体"/>
                <w:snapToGrid w:val="0"/>
                <w:kern w:val="0"/>
                <w:sz w:val="24"/>
              </w:rPr>
              <w:t>6</w:t>
            </w:r>
            <w:r>
              <w:rPr>
                <w:rFonts w:hint="eastAsia" w:ascii="宋体" w:hAnsi="宋体" w:eastAsia="方正仿宋_GBK" w:cs="宋体"/>
                <w:snapToGrid w:val="0"/>
                <w:kern w:val="0"/>
                <w:sz w:val="24"/>
              </w:rPr>
              <w:t>用户在互联网用户中的占比（</w:t>
            </w:r>
            <w:r>
              <w:rPr>
                <w:rFonts w:hint="eastAsia" w:ascii="Times New Roman" w:hAnsi="Times New Roman" w:eastAsia="方正仿宋_GBK" w:cs="宋体"/>
                <w:snapToGrid w:val="0"/>
                <w:kern w:val="0"/>
                <w:sz w:val="24"/>
              </w:rPr>
              <w:t>%</w:t>
            </w:r>
            <w:r>
              <w:rPr>
                <w:rFonts w:hint="eastAsia" w:ascii="宋体" w:hAnsi="宋体" w:eastAsia="方正仿宋_GBK" w:cs="宋体"/>
                <w:snapToGrid w:val="0"/>
                <w:kern w:val="0"/>
                <w:sz w:val="24"/>
              </w:rPr>
              <w:t>）</w:t>
            </w:r>
          </w:p>
        </w:tc>
        <w:tc>
          <w:tcPr>
            <w:tcW w:w="504"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50</w:t>
            </w:r>
          </w:p>
        </w:tc>
        <w:tc>
          <w:tcPr>
            <w:tcW w:w="504" w:type="pct"/>
            <w:tcBorders>
              <w:top w:val="nil"/>
              <w:left w:val="nil"/>
              <w:bottom w:val="single" w:color="auto" w:sz="4" w:space="0"/>
              <w:right w:val="single" w:color="auto" w:sz="4" w:space="0"/>
            </w:tcBorders>
            <w:noWrap w:val="0"/>
            <w:vAlign w:val="center"/>
          </w:tcPr>
          <w:p>
            <w:pPr>
              <w:jc w:val="center"/>
              <w:rPr>
                <w:rFonts w:ascii="宋体" w:hAnsi="宋体" w:eastAsia="方正仿宋_GBK" w:cs="宋体"/>
                <w:snapToGrid w:val="0"/>
                <w:kern w:val="0"/>
                <w:sz w:val="24"/>
              </w:rPr>
            </w:pPr>
            <w:r>
              <w:rPr>
                <w:rFonts w:hint="eastAsia" w:ascii="Times New Roman" w:hAnsi="Times New Roman" w:eastAsia="方正仿宋_GBK" w:cs="宋体"/>
                <w:snapToGrid w:val="0"/>
                <w:kern w:val="0"/>
                <w:sz w:val="24"/>
              </w:rPr>
              <w:t>60</w:t>
            </w:r>
          </w:p>
        </w:tc>
        <w:tc>
          <w:tcPr>
            <w:tcW w:w="492"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Times New Roman" w:hAnsi="Times New Roman" w:eastAsia="方正仿宋_GBK" w:cs="宋体"/>
                <w:snapToGrid w:val="0"/>
                <w:kern w:val="0"/>
                <w:sz w:val="24"/>
              </w:rPr>
              <w:t>70</w:t>
            </w:r>
          </w:p>
        </w:tc>
        <w:tc>
          <w:tcPr>
            <w:tcW w:w="601" w:type="pct"/>
            <w:tcBorders>
              <w:top w:val="nil"/>
              <w:left w:val="nil"/>
              <w:bottom w:val="single" w:color="auto" w:sz="4" w:space="0"/>
              <w:right w:val="single" w:color="auto" w:sz="4" w:space="0"/>
            </w:tcBorders>
            <w:noWrap w:val="0"/>
            <w:vAlign w:val="center"/>
          </w:tcPr>
          <w:p>
            <w:pPr>
              <w:jc w:val="center"/>
              <w:rPr>
                <w:rFonts w:hint="eastAsia" w:ascii="宋体" w:hAnsi="宋体" w:eastAsia="方正仿宋_GBK" w:cs="宋体"/>
                <w:snapToGrid w:val="0"/>
                <w:kern w:val="0"/>
                <w:sz w:val="24"/>
              </w:rPr>
            </w:pPr>
            <w:r>
              <w:rPr>
                <w:rFonts w:hint="eastAsia" w:ascii="宋体" w:hAnsi="宋体" w:eastAsia="方正仿宋_GBK" w:cs="宋体"/>
                <w:snapToGrid w:val="0"/>
                <w:kern w:val="0"/>
                <w:sz w:val="24"/>
              </w:rPr>
              <w:t>预期性</w:t>
            </w:r>
          </w:p>
        </w:tc>
      </w:tr>
    </w:tbl>
    <w:p>
      <w:pPr>
        <w:pStyle w:val="3"/>
        <w:keepNext w:val="0"/>
        <w:keepLines w:val="0"/>
        <w:spacing w:before="0" w:after="0" w:line="574" w:lineRule="exact"/>
        <w:ind w:firstLine="640" w:firstLineChars="200"/>
        <w:rPr>
          <w:rFonts w:ascii="宋体" w:hAnsi="宋体" w:eastAsia="方正黑体_GBK"/>
          <w:b w:val="0"/>
          <w:sz w:val="32"/>
          <w:szCs w:val="32"/>
        </w:rPr>
      </w:pPr>
      <w:bookmarkStart w:id="73" w:name="_Toc29906"/>
      <w:bookmarkStart w:id="74" w:name="_Toc26226"/>
      <w:bookmarkStart w:id="75" w:name="_Toc31787"/>
      <w:bookmarkStart w:id="76" w:name="_Toc1017"/>
      <w:bookmarkStart w:id="77" w:name="_Toc17173"/>
      <w:r>
        <w:rPr>
          <w:rFonts w:hint="eastAsia" w:ascii="宋体" w:hAnsi="宋体" w:eastAsia="方正黑体_GBK"/>
          <w:b w:val="0"/>
          <w:sz w:val="32"/>
          <w:szCs w:val="32"/>
        </w:rPr>
        <w:t>四、重点任务</w:t>
      </w:r>
      <w:bookmarkEnd w:id="73"/>
      <w:bookmarkEnd w:id="74"/>
      <w:bookmarkEnd w:id="75"/>
      <w:bookmarkEnd w:id="76"/>
      <w:bookmarkEnd w:id="77"/>
    </w:p>
    <w:p>
      <w:pPr>
        <w:spacing w:line="574" w:lineRule="exact"/>
        <w:ind w:firstLine="640" w:firstLineChars="200"/>
        <w:rPr>
          <w:rFonts w:hint="eastAsia" w:ascii="宋体" w:hAnsi="宋体" w:eastAsia="方正仿宋_GBK" w:cs="宋体"/>
          <w:kern w:val="0"/>
          <w:sz w:val="32"/>
          <w:szCs w:val="32"/>
        </w:rPr>
      </w:pPr>
      <w:r>
        <w:rPr>
          <w:rFonts w:hint="eastAsia" w:ascii="宋体" w:hAnsi="宋体" w:eastAsia="方正仿宋_GBK" w:cs="宋体"/>
          <w:kern w:val="0"/>
          <w:sz w:val="32"/>
          <w:szCs w:val="32"/>
        </w:rPr>
        <w:t>围绕城市基础设施建设、民生服务、政府管理、产业融合、公共安全、社会治理六方面发展需求，建设“技术融合、业务融合、数据融合”和“跨层级、跨地域、跨系统、跨部门、跨业务”的智能化创新应用，全面提升全区经济社会各领域大数据智能化发展水平。</w:t>
      </w:r>
    </w:p>
    <w:p>
      <w:pPr>
        <w:pStyle w:val="4"/>
        <w:keepNext w:val="0"/>
        <w:keepLines w:val="0"/>
        <w:spacing w:before="0" w:after="0" w:line="574" w:lineRule="exact"/>
        <w:ind w:firstLine="640" w:firstLineChars="200"/>
        <w:rPr>
          <w:rFonts w:ascii="宋体" w:hAnsi="宋体" w:eastAsia="方正楷体_GBK"/>
          <w:b w:val="0"/>
        </w:rPr>
      </w:pPr>
      <w:bookmarkStart w:id="78" w:name="_Toc9263127"/>
      <w:bookmarkStart w:id="79" w:name="_Toc14736"/>
      <w:bookmarkStart w:id="80" w:name="_Toc4794"/>
      <w:bookmarkStart w:id="81" w:name="_Toc25299"/>
      <w:bookmarkStart w:id="82" w:name="_Toc5760"/>
      <w:bookmarkStart w:id="83" w:name="_Toc15188"/>
      <w:bookmarkStart w:id="84" w:name="_Toc13072"/>
      <w:bookmarkStart w:id="85" w:name="_Toc28193"/>
      <w:bookmarkStart w:id="86" w:name="_Toc30147"/>
      <w:bookmarkStart w:id="87" w:name="_Toc17849"/>
      <w:r>
        <w:rPr>
          <w:rFonts w:ascii="宋体" w:hAnsi="宋体" w:eastAsia="方正楷体_GBK"/>
          <w:b w:val="0"/>
        </w:rPr>
        <w:t>（</w:t>
      </w:r>
      <w:r>
        <w:rPr>
          <w:rFonts w:hint="eastAsia" w:ascii="宋体" w:hAnsi="宋体" w:eastAsia="方正楷体_GBK"/>
          <w:b w:val="0"/>
        </w:rPr>
        <w:t>一</w:t>
      </w:r>
      <w:r>
        <w:rPr>
          <w:rFonts w:ascii="宋体" w:hAnsi="宋体" w:eastAsia="方正楷体_GBK"/>
          <w:b w:val="0"/>
        </w:rPr>
        <w:t>）</w:t>
      </w:r>
      <w:bookmarkEnd w:id="78"/>
      <w:r>
        <w:rPr>
          <w:rFonts w:hint="eastAsia" w:ascii="宋体" w:hAnsi="宋体" w:eastAsia="方正楷体_GBK"/>
          <w:b w:val="0"/>
        </w:rPr>
        <w:t>完善智慧城市基础设施、夯实智慧城市基石</w:t>
      </w:r>
      <w:bookmarkEnd w:id="79"/>
      <w:bookmarkEnd w:id="80"/>
      <w:bookmarkEnd w:id="81"/>
      <w:bookmarkEnd w:id="82"/>
      <w:bookmarkEnd w:id="83"/>
    </w:p>
    <w:p>
      <w:pPr>
        <w:spacing w:line="574"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 xml:space="preserve">树立“智能+”思维，以构建“全民共治”新格局为导向，聚焦综合治理一体化、城市基础设施智能化等重点，构建城市管理精准感知网，实施交通基础设施智能化升级改造，提供铁公水空无缝衔接的“渝”快出行服务体验，全面推进平安城市建设，依托物联网、人工智能、大数据等技术提高灾害预警、应急指挥调度、公共决策、协同治理水平，确保人民安居乐业、城市安全运行、社会安定有序。 </w:t>
      </w:r>
    </w:p>
    <w:p>
      <w:pPr>
        <w:pStyle w:val="5"/>
        <w:keepNext w:val="0"/>
        <w:keepLines w:val="0"/>
        <w:numPr>
          <w:ilvl w:val="0"/>
          <w:numId w:val="2"/>
        </w:numPr>
        <w:spacing w:before="0" w:after="0" w:line="574" w:lineRule="exact"/>
        <w:ind w:firstLine="642" w:firstLineChars="200"/>
        <w:rPr>
          <w:rFonts w:hint="eastAsia" w:ascii="宋体" w:hAnsi="宋体" w:eastAsia="方正仿宋_GBK"/>
          <w:kern w:val="0"/>
        </w:rPr>
      </w:pPr>
      <w:bookmarkStart w:id="88" w:name="_Toc20301"/>
      <w:bookmarkStart w:id="89" w:name="_Toc1628"/>
      <w:r>
        <w:rPr>
          <w:rFonts w:hint="eastAsia" w:ascii="宋体" w:hAnsi="宋体" w:eastAsia="方正仿宋_GBK"/>
          <w:kern w:val="0"/>
        </w:rPr>
        <w:t>城市数智中枢云平台建设</w:t>
      </w:r>
      <w:bookmarkEnd w:id="88"/>
      <w:bookmarkEnd w:id="89"/>
    </w:p>
    <w:p>
      <w:pPr>
        <w:spacing w:line="574" w:lineRule="exact"/>
        <w:ind w:firstLine="640" w:firstLineChars="200"/>
        <w:rPr>
          <w:rFonts w:ascii="宋体" w:hAnsi="宋体" w:cs="宋体"/>
          <w:color w:val="333333"/>
          <w:kern w:val="0"/>
          <w:sz w:val="24"/>
        </w:rPr>
      </w:pPr>
      <w:r>
        <w:rPr>
          <w:rFonts w:hint="eastAsia" w:ascii="宋体" w:hAnsi="宋体" w:eastAsia="方正仿宋_GBK" w:cs="宋体"/>
          <w:kern w:val="0"/>
          <w:sz w:val="32"/>
          <w:szCs w:val="32"/>
        </w:rPr>
        <w:t>按照集约建设、统筹部署的原则，依托数字重庆云平台，建设黔江区城市数智中枢云平台，实现全区“一朵云”部署。构建开放可拓展的云平台架构，面向未来智慧城市各领域大数据量、高并发、快速响应的业务承载需求，提供弹性扩容、平滑升级能力，</w:t>
      </w:r>
      <w:r>
        <w:rPr>
          <w:rFonts w:hint="eastAsia" w:ascii="宋体" w:hAnsi="宋体" w:eastAsia="方正仿宋_GBK" w:cs="宋体"/>
          <w:spacing w:val="-4"/>
          <w:kern w:val="0"/>
          <w:sz w:val="32"/>
          <w:szCs w:val="32"/>
        </w:rPr>
        <w:t>强化云服务全生命周期管理。各部门已建云平台逐步整合并接入黔江区城市数智中枢云平台。各部门可根据自身业务需求，开发建设面向社会治理、民生服务、产业服务等领域的业务应用，推动全区数据资源汇聚整合和业务协同应用。依托黔江区城市数智中枢云平台，形成全区“一云承载”的共享共用共连的云服务体系。</w:t>
      </w:r>
    </w:p>
    <w:p>
      <w:pPr>
        <w:spacing w:line="574" w:lineRule="exact"/>
        <w:jc w:val="center"/>
        <w:rPr>
          <w:rFonts w:hint="eastAsia" w:ascii="宋体" w:hAnsi="宋体" w:eastAsia="方正黑体_GBK"/>
          <w:kern w:val="0"/>
          <w:sz w:val="32"/>
          <w:szCs w:val="32"/>
        </w:rPr>
      </w:pPr>
      <w:r>
        <w:rPr>
          <w:rFonts w:hint="eastAsia" w:ascii="宋体" w:hAnsi="宋体" w:eastAsia="方正黑体_GBK" w:cs="宋体"/>
          <w:kern w:val="0"/>
          <w:sz w:val="32"/>
          <w:szCs w:val="32"/>
        </w:rPr>
        <w:t>专栏</w:t>
      </w:r>
      <w:r>
        <w:rPr>
          <w:rFonts w:hint="eastAsia" w:ascii="Times New Roman" w:hAnsi="Times New Roman" w:eastAsia="方正黑体_GBK" w:cs="宋体"/>
          <w:kern w:val="0"/>
          <w:sz w:val="32"/>
          <w:szCs w:val="32"/>
        </w:rPr>
        <w:t>1</w:t>
      </w:r>
      <w:r>
        <w:rPr>
          <w:rFonts w:hint="eastAsia" w:ascii="宋体" w:hAnsi="宋体" w:eastAsia="方正黑体_GBK" w:cs="宋体"/>
          <w:kern w:val="0"/>
          <w:sz w:val="32"/>
          <w:szCs w:val="32"/>
        </w:rPr>
        <w:t>：“一云承载”服务体系重点工程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adjustRightInd w:val="0"/>
              <w:snapToGrid w:val="0"/>
              <w:spacing w:line="540" w:lineRule="exact"/>
              <w:ind w:firstLine="562" w:firstLineChars="200"/>
              <w:rPr>
                <w:rFonts w:hint="eastAsia" w:ascii="宋体" w:hAnsi="宋体" w:eastAsia="方正仿宋_GBK" w:cs="宋体"/>
                <w:kern w:val="0"/>
                <w:sz w:val="28"/>
                <w:szCs w:val="28"/>
              </w:rPr>
            </w:pPr>
            <w:r>
              <w:rPr>
                <w:rFonts w:hint="eastAsia" w:ascii="宋体" w:hAnsi="宋体" w:eastAsia="方正仿宋_GBK" w:cs="宋体"/>
                <w:b/>
                <w:bCs/>
                <w:kern w:val="0"/>
                <w:sz w:val="28"/>
                <w:szCs w:val="28"/>
              </w:rPr>
              <w:t>黔江区城市数智中枢云平台建设。</w:t>
            </w:r>
            <w:r>
              <w:rPr>
                <w:rFonts w:hint="eastAsia" w:ascii="宋体" w:hAnsi="宋体" w:eastAsia="方正仿宋_GBK" w:cs="宋体"/>
                <w:kern w:val="0"/>
                <w:sz w:val="28"/>
                <w:szCs w:val="28"/>
              </w:rPr>
              <w:t>对全区各部门业务应用需求进行总评估，对各部门已建云平台进行盘点登记，建立全区统一的黔江区城市数智中枢云平台，实现网络、计算、存储资源动态分配，提供弹性计算、负载均衡、动态迁移、按需供给、自动化部署和网络安全防护等服务。逐步开展各部门已建云平台与黔江区城市数智云中枢平台的整合接入工作，面向各部门上云需求建立统一服务入口。</w:t>
            </w:r>
          </w:p>
        </w:tc>
      </w:tr>
    </w:tbl>
    <w:p>
      <w:pPr>
        <w:pStyle w:val="5"/>
        <w:keepNext w:val="0"/>
        <w:keepLines w:val="0"/>
        <w:numPr>
          <w:ilvl w:val="0"/>
          <w:numId w:val="2"/>
        </w:numPr>
        <w:spacing w:before="0" w:after="0" w:line="574" w:lineRule="exact"/>
        <w:ind w:firstLine="642" w:firstLineChars="200"/>
        <w:rPr>
          <w:rFonts w:hint="eastAsia" w:ascii="宋体" w:hAnsi="宋体" w:eastAsia="方正仿宋_GBK"/>
          <w:kern w:val="0"/>
        </w:rPr>
      </w:pPr>
      <w:bookmarkStart w:id="90" w:name="_Toc18390"/>
      <w:bookmarkStart w:id="91" w:name="_Toc2344"/>
      <w:r>
        <w:rPr>
          <w:rFonts w:hint="eastAsia" w:ascii="宋体" w:hAnsi="宋体" w:eastAsia="方正仿宋_GBK"/>
          <w:kern w:val="0"/>
        </w:rPr>
        <w:t>智慧城市大数据资源云中心建设</w:t>
      </w:r>
      <w:bookmarkEnd w:id="90"/>
      <w:bookmarkEnd w:id="91"/>
    </w:p>
    <w:p>
      <w:pPr>
        <w:spacing w:line="574" w:lineRule="exact"/>
        <w:ind w:firstLine="640" w:firstLineChars="200"/>
        <w:rPr>
          <w:rFonts w:ascii="宋体" w:hAnsi="宋体" w:cs="宋体"/>
          <w:color w:val="333333"/>
          <w:kern w:val="0"/>
          <w:sz w:val="24"/>
        </w:rPr>
      </w:pPr>
      <w:r>
        <w:rPr>
          <w:rFonts w:hint="eastAsia" w:ascii="宋体" w:hAnsi="宋体" w:eastAsia="方正仿宋_GBK" w:cs="宋体"/>
          <w:kern w:val="0"/>
          <w:sz w:val="32"/>
          <w:szCs w:val="32"/>
        </w:rPr>
        <w:t>加快推进黔江区大数据资源中心建设，建立黔江区政务数据资源目录管理体系、黔江区政务数据资源共享交换平台和黔江区公共信息资源共享交换平台，进一步加强全区数据治理，完善全区基础数据库、主题数据库和行业库建设，推动政务数据资源跨部门、跨领域、跨层级共享交换和合理开放利用，激活全区政务数据资源潜力。</w:t>
      </w:r>
    </w:p>
    <w:p>
      <w:pPr>
        <w:spacing w:line="574" w:lineRule="exact"/>
        <w:ind w:firstLine="640" w:firstLineChars="200"/>
        <w:rPr>
          <w:rFonts w:hint="eastAsia" w:ascii="宋体" w:hAnsi="宋体" w:eastAsia="方正仿宋_GBK" w:cs="宋体"/>
          <w:kern w:val="0"/>
          <w:sz w:val="32"/>
          <w:szCs w:val="32"/>
        </w:rPr>
      </w:pPr>
      <w:r>
        <w:rPr>
          <w:rFonts w:hint="eastAsia" w:ascii="宋体" w:hAnsi="宋体" w:eastAsia="方正仿宋_GBK" w:cs="宋体"/>
          <w:kern w:val="0"/>
          <w:sz w:val="32"/>
          <w:szCs w:val="32"/>
        </w:rPr>
        <w:t>——数据共享交换。依托黔江区城市数智中枢云平台和电子政务外网建设成果，建设黔江区政务数据资源共享交换平台和黔江区社会公共信息资源共享交换平台，完善全区信息资源共享交换机制，建立数据共享交换、清洗融合、质量管理、安全管理、接口服务标准，形成全区统一的多层次、跨区域、跨部门、跨领域的信息交换和共享平台，满足各部门不同时限、不同数据量级、不同应用架构下的数据交换需求，满足各部门获取最新的数据内容开展业务协作的需求。</w:t>
      </w:r>
    </w:p>
    <w:p>
      <w:pPr>
        <w:spacing w:line="574" w:lineRule="exact"/>
        <w:jc w:val="center"/>
        <w:rPr>
          <w:rFonts w:hint="eastAsia" w:ascii="宋体" w:hAnsi="宋体" w:eastAsia="方正黑体_GBK"/>
          <w:kern w:val="0"/>
          <w:sz w:val="32"/>
          <w:szCs w:val="32"/>
        </w:rPr>
      </w:pPr>
      <w:r>
        <w:rPr>
          <w:rFonts w:hint="eastAsia" w:ascii="宋体" w:hAnsi="宋体" w:eastAsia="方正黑体_GBK" w:cs="宋体"/>
          <w:kern w:val="0"/>
          <w:sz w:val="32"/>
          <w:szCs w:val="32"/>
        </w:rPr>
        <w:t>专栏</w:t>
      </w:r>
      <w:r>
        <w:rPr>
          <w:rFonts w:hint="eastAsia" w:ascii="Times New Roman" w:hAnsi="Times New Roman" w:eastAsia="方正黑体_GBK" w:cs="宋体"/>
          <w:kern w:val="0"/>
          <w:sz w:val="32"/>
          <w:szCs w:val="32"/>
        </w:rPr>
        <w:t>2</w:t>
      </w:r>
      <w:r>
        <w:rPr>
          <w:rFonts w:hint="eastAsia" w:ascii="宋体" w:hAnsi="宋体" w:eastAsia="方正黑体_GBK" w:cs="宋体"/>
          <w:kern w:val="0"/>
          <w:sz w:val="32"/>
          <w:szCs w:val="32"/>
        </w:rPr>
        <w:t>：数据共享交换重点工程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adjustRightInd w:val="0"/>
              <w:snapToGrid w:val="0"/>
              <w:spacing w:line="540" w:lineRule="exact"/>
              <w:ind w:firstLine="562" w:firstLineChars="200"/>
              <w:rPr>
                <w:rFonts w:ascii="宋体" w:hAnsi="宋体" w:cs="宋体"/>
                <w:color w:val="333333"/>
                <w:kern w:val="0"/>
                <w:sz w:val="28"/>
                <w:szCs w:val="28"/>
              </w:rPr>
            </w:pPr>
            <w:r>
              <w:rPr>
                <w:rFonts w:hint="eastAsia" w:ascii="宋体" w:hAnsi="宋体" w:eastAsia="方正仿宋_GBK" w:cs="宋体"/>
                <w:b/>
                <w:bCs/>
                <w:kern w:val="0"/>
                <w:sz w:val="28"/>
                <w:szCs w:val="28"/>
              </w:rPr>
              <w:t>政务数据资源共享交换平台优化升级。</w:t>
            </w:r>
            <w:r>
              <w:rPr>
                <w:rFonts w:hint="eastAsia" w:ascii="宋体" w:hAnsi="宋体" w:eastAsia="方正仿宋_GBK" w:cs="宋体"/>
                <w:kern w:val="0"/>
                <w:sz w:val="28"/>
                <w:szCs w:val="28"/>
              </w:rPr>
              <w:t>完善黔江区政务数据资源共享交换平台，并与重庆市政务数据资源共享系统对接，实现市、区两级数据互联互通，推进依职能按需共享业务模式，完善数据共享目录管理、数据交换管理功能，增加数据治理功能。</w:t>
            </w:r>
          </w:p>
          <w:p>
            <w:pPr>
              <w:adjustRightInd w:val="0"/>
              <w:snapToGrid w:val="0"/>
              <w:spacing w:line="540" w:lineRule="exact"/>
              <w:ind w:firstLine="562" w:firstLineChars="200"/>
              <w:rPr>
                <w:rFonts w:hint="eastAsia" w:ascii="宋体" w:hAnsi="宋体" w:eastAsia="方正仿宋_GBK" w:cs="宋体"/>
                <w:kern w:val="0"/>
                <w:sz w:val="28"/>
                <w:szCs w:val="28"/>
              </w:rPr>
            </w:pPr>
            <w:r>
              <w:rPr>
                <w:rFonts w:hint="eastAsia" w:ascii="宋体" w:hAnsi="宋体" w:eastAsia="方正仿宋_GBK" w:cs="宋体"/>
                <w:b/>
                <w:bCs/>
                <w:kern w:val="0"/>
                <w:sz w:val="28"/>
                <w:szCs w:val="28"/>
              </w:rPr>
              <w:t>社会公共信息资源共享交换平台。</w:t>
            </w:r>
            <w:r>
              <w:rPr>
                <w:rFonts w:hint="eastAsia" w:ascii="宋体" w:hAnsi="宋体" w:eastAsia="方正仿宋_GBK" w:cs="宋体"/>
                <w:kern w:val="0"/>
                <w:sz w:val="28"/>
                <w:szCs w:val="28"/>
              </w:rPr>
              <w:t>构建区域统一、互联互通的公共信息资源共享交换平台，实现工业企业、商业商贸、文化旅游、智慧小区等社会信息归集和应用。</w:t>
            </w:r>
          </w:p>
        </w:tc>
      </w:tr>
    </w:tbl>
    <w:p>
      <w:pPr>
        <w:spacing w:line="574" w:lineRule="exact"/>
        <w:ind w:firstLine="640" w:firstLineChars="200"/>
        <w:rPr>
          <w:rFonts w:hint="eastAsia" w:ascii="宋体" w:hAnsi="宋体" w:eastAsia="方正仿宋_GBK" w:cs="宋体"/>
          <w:kern w:val="0"/>
          <w:sz w:val="32"/>
          <w:szCs w:val="32"/>
          <w:highlight w:val="red"/>
        </w:rPr>
      </w:pPr>
      <w:r>
        <w:rPr>
          <w:rFonts w:hint="eastAsia" w:ascii="宋体" w:hAnsi="宋体" w:eastAsia="方正仿宋_GBK" w:cs="宋体"/>
          <w:kern w:val="0"/>
          <w:sz w:val="32"/>
          <w:szCs w:val="32"/>
        </w:rPr>
        <w:t>——数据资源汇聚。以各部门业务数据和行业应用数据为基础，以提升各部门行业管理服务水平为目标，推动建设全区自然人、法人、自然资源和空间地理、电子证照等基础数据库，分阶段推动重点主题数据库、行业数据库和部门数据资源池建设，探索基于大数据的跨部门、跨领域融合创新业务，不断提升智慧应用发展成效。根据各部门业务发展需求，推动公共服务机构、互联网、运营商等社会数据资源汇聚整合，对基础数据库和主题数据库形成有效补充。积极争取重庆大数据中心渝东南存储分中心、重庆水土数据中心异地灾备中心等一批新基建项目落户黔江，促进重庆市黔江高新技术产业开发区的全面建成与发展，进一步延伸发展云计算、大数据、人工智能、区块链等数字经济新业态，逐步实现数字产业化。</w:t>
      </w:r>
    </w:p>
    <w:p>
      <w:pPr>
        <w:spacing w:line="574" w:lineRule="exact"/>
        <w:jc w:val="center"/>
        <w:rPr>
          <w:rFonts w:hint="eastAsia" w:ascii="宋体" w:hAnsi="宋体" w:eastAsia="方正黑体_GBK"/>
          <w:kern w:val="0"/>
          <w:sz w:val="32"/>
          <w:szCs w:val="32"/>
        </w:rPr>
      </w:pPr>
      <w:r>
        <w:rPr>
          <w:rFonts w:hint="eastAsia" w:ascii="宋体" w:hAnsi="宋体" w:eastAsia="方正黑体_GBK" w:cs="宋体"/>
          <w:kern w:val="0"/>
          <w:sz w:val="32"/>
          <w:szCs w:val="32"/>
        </w:rPr>
        <w:t>专栏</w:t>
      </w:r>
      <w:r>
        <w:rPr>
          <w:rFonts w:hint="eastAsia" w:ascii="Times New Roman" w:hAnsi="Times New Roman" w:eastAsia="方正黑体_GBK" w:cs="宋体"/>
          <w:kern w:val="0"/>
          <w:sz w:val="32"/>
          <w:szCs w:val="32"/>
        </w:rPr>
        <w:t>3</w:t>
      </w:r>
      <w:r>
        <w:rPr>
          <w:rFonts w:hint="eastAsia" w:ascii="宋体" w:hAnsi="宋体" w:eastAsia="方正黑体_GBK" w:cs="宋体"/>
          <w:kern w:val="0"/>
          <w:sz w:val="32"/>
          <w:szCs w:val="32"/>
        </w:rPr>
        <w:t>：数据资源汇聚重点工程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noWrap w:val="0"/>
            <w:vAlign w:val="center"/>
          </w:tcPr>
          <w:p>
            <w:pPr>
              <w:adjustRightInd w:val="0"/>
              <w:snapToGrid w:val="0"/>
              <w:spacing w:line="540" w:lineRule="exact"/>
              <w:ind w:firstLine="562" w:firstLineChars="200"/>
              <w:rPr>
                <w:rFonts w:hint="eastAsia" w:ascii="宋体" w:hAnsi="宋体" w:eastAsia="方正仿宋_GBK" w:cs="宋体"/>
                <w:kern w:val="0"/>
                <w:sz w:val="28"/>
                <w:szCs w:val="28"/>
              </w:rPr>
            </w:pPr>
            <w:r>
              <w:rPr>
                <w:rFonts w:hint="eastAsia" w:ascii="宋体" w:hAnsi="宋体" w:eastAsia="方正仿宋_GBK" w:cs="宋体"/>
                <w:b/>
                <w:bCs/>
                <w:kern w:val="0"/>
                <w:sz w:val="28"/>
                <w:szCs w:val="28"/>
              </w:rPr>
              <w:t>主题数据库建设。</w:t>
            </w:r>
            <w:r>
              <w:rPr>
                <w:rFonts w:hint="eastAsia" w:ascii="宋体" w:hAnsi="宋体" w:eastAsia="方正仿宋_GBK" w:cs="宋体"/>
                <w:kern w:val="0"/>
                <w:sz w:val="28"/>
                <w:szCs w:val="28"/>
              </w:rPr>
              <w:t>基于基础数据库，面向行政审批、社会治理、城市管理、交通管理、脱贫攻坚、经济管理、信用信息、涉税信息、生态环境、卫生健康、社会保障、科技创新、公共安全、招商引资、企业融合等领域，明确业务牵头部门，依托黔江区政务信息资源共享交换平台汇聚整合其他业务部门关联数据，逐步建设若干个主题数据库，各数源部门按照“一数一源”的原则开展多元校对和数据更新，确保数据的准确性和实效性。</w:t>
            </w:r>
          </w:p>
          <w:p>
            <w:pPr>
              <w:adjustRightInd w:val="0"/>
              <w:snapToGrid w:val="0"/>
              <w:spacing w:line="540" w:lineRule="exact"/>
              <w:ind w:firstLine="562" w:firstLineChars="200"/>
              <w:rPr>
                <w:rFonts w:hint="eastAsia" w:ascii="宋体" w:hAnsi="宋体" w:eastAsia="方正仿宋_GBK" w:cs="宋体"/>
                <w:sz w:val="28"/>
                <w:szCs w:val="28"/>
              </w:rPr>
            </w:pPr>
            <w:r>
              <w:rPr>
                <w:rFonts w:hint="eastAsia" w:ascii="宋体" w:hAnsi="宋体" w:eastAsia="方正仿宋_GBK" w:cs="宋体"/>
                <w:b/>
                <w:bCs/>
                <w:sz w:val="28"/>
                <w:szCs w:val="28"/>
              </w:rPr>
              <w:t>行业数据库建设。</w:t>
            </w:r>
            <w:r>
              <w:rPr>
                <w:rFonts w:ascii="宋体" w:hAnsi="宋体" w:eastAsia="方正仿宋_GBK" w:cs="宋体"/>
                <w:sz w:val="28"/>
                <w:szCs w:val="28"/>
              </w:rPr>
              <w:t>城市大数据资源中心后续将不断整合社会行业数据资源，使数据更丰富，发挥更大价值。在此次新冠肺炎疫情中，基于行业数据的大数据分析对疫情防控发挥了巨大作用，例如电信运营商基于手机用户位置数据形成的轨迹分析，实现了宏观上监测人口迁徙动态，微观上为个人健康码提供依据数据的功能，如果结合铁路、民航、互联网公司数据，将发挥更显著作用</w:t>
            </w:r>
            <w:r>
              <w:rPr>
                <w:rFonts w:hint="eastAsia" w:ascii="宋体" w:hAnsi="宋体" w:eastAsia="方正仿宋_GBK" w:cs="宋体"/>
                <w:sz w:val="28"/>
                <w:szCs w:val="28"/>
              </w:rPr>
              <w:t>。</w:t>
            </w:r>
          </w:p>
          <w:p>
            <w:pPr>
              <w:adjustRightInd w:val="0"/>
              <w:snapToGrid w:val="0"/>
              <w:spacing w:line="540" w:lineRule="exact"/>
              <w:ind w:firstLine="562" w:firstLineChars="200"/>
              <w:rPr>
                <w:rFonts w:hint="eastAsia" w:ascii="宋体" w:hAnsi="宋体" w:eastAsia="方正仿宋_GBK" w:cs="宋体"/>
                <w:sz w:val="28"/>
                <w:szCs w:val="28"/>
              </w:rPr>
            </w:pPr>
            <w:r>
              <w:rPr>
                <w:rFonts w:hint="eastAsia" w:ascii="宋体" w:hAnsi="宋体" w:eastAsia="方正仿宋_GBK" w:cs="宋体"/>
                <w:b/>
                <w:bCs/>
                <w:sz w:val="28"/>
                <w:szCs w:val="28"/>
              </w:rPr>
              <w:t>重庆数据中心渝东南存储分中心建设。</w:t>
            </w:r>
            <w:r>
              <w:rPr>
                <w:rFonts w:hint="eastAsia" w:ascii="宋体" w:hAnsi="宋体" w:eastAsia="方正仿宋_GBK" w:cs="宋体"/>
                <w:sz w:val="28"/>
                <w:szCs w:val="28"/>
              </w:rPr>
              <w:t>利用中国华录（重庆黔江）城市数据湖，建设区域数据存储分中心，为渝东南地区经济社会发展提供数据支撑作用。</w:t>
            </w:r>
          </w:p>
          <w:p>
            <w:pPr>
              <w:adjustRightInd w:val="0"/>
              <w:snapToGrid w:val="0"/>
              <w:spacing w:line="540" w:lineRule="exact"/>
              <w:ind w:firstLine="562" w:firstLineChars="200"/>
              <w:rPr>
                <w:rFonts w:hint="eastAsia" w:ascii="宋体" w:hAnsi="宋体" w:eastAsia="方正仿宋_GBK" w:cs="宋体"/>
                <w:kern w:val="0"/>
                <w:sz w:val="28"/>
                <w:szCs w:val="28"/>
              </w:rPr>
            </w:pPr>
            <w:r>
              <w:rPr>
                <w:rFonts w:hint="eastAsia" w:ascii="宋体" w:hAnsi="宋体" w:eastAsia="方正仿宋_GBK" w:cs="宋体"/>
                <w:b/>
                <w:bCs/>
                <w:sz w:val="28"/>
                <w:szCs w:val="28"/>
              </w:rPr>
              <w:t>重庆水土数据中心异地灾备中心建设。</w:t>
            </w:r>
            <w:r>
              <w:rPr>
                <w:rFonts w:hint="eastAsia" w:ascii="宋体" w:hAnsi="宋体" w:eastAsia="方正仿宋_GBK" w:cs="宋体"/>
                <w:sz w:val="28"/>
                <w:szCs w:val="28"/>
              </w:rPr>
              <w:t>建设承接重庆水土数据中心异地灾备功能的中枢光磁一体存储工程，利用黔江电力、气候、汉渝光缆一级节点等优势，建设重庆大数据灾备中心。</w:t>
            </w:r>
          </w:p>
        </w:tc>
      </w:tr>
    </w:tbl>
    <w:p>
      <w:pPr>
        <w:pStyle w:val="5"/>
        <w:keepNext w:val="0"/>
        <w:keepLines w:val="0"/>
        <w:numPr>
          <w:ilvl w:val="0"/>
          <w:numId w:val="2"/>
        </w:numPr>
        <w:spacing w:before="0" w:after="0" w:line="574" w:lineRule="exact"/>
        <w:ind w:firstLine="642" w:firstLineChars="200"/>
        <w:rPr>
          <w:rFonts w:ascii="宋体" w:hAnsi="宋体" w:eastAsia="方正仿宋_GBK"/>
          <w:kern w:val="0"/>
        </w:rPr>
      </w:pPr>
      <w:bookmarkStart w:id="92" w:name="_Toc9805"/>
      <w:bookmarkStart w:id="93" w:name="_Toc8987"/>
      <w:r>
        <w:rPr>
          <w:rFonts w:hint="eastAsia" w:ascii="宋体" w:hAnsi="宋体" w:eastAsia="方正仿宋_GBK"/>
          <w:kern w:val="0"/>
        </w:rPr>
        <w:t>智慧城市综合服务平台建设</w:t>
      </w:r>
      <w:bookmarkEnd w:id="92"/>
      <w:bookmarkEnd w:id="93"/>
    </w:p>
    <w:p>
      <w:pPr>
        <w:spacing w:line="574" w:lineRule="exact"/>
        <w:ind w:firstLine="640" w:firstLineChars="200"/>
        <w:rPr>
          <w:rFonts w:ascii="宋体" w:hAnsi="宋体" w:cs="宋体"/>
          <w:color w:val="333333"/>
          <w:kern w:val="0"/>
          <w:sz w:val="24"/>
        </w:rPr>
      </w:pPr>
      <w:r>
        <w:rPr>
          <w:rFonts w:hint="eastAsia" w:ascii="宋体" w:hAnsi="宋体" w:eastAsia="方正仿宋_GBK" w:cs="宋体"/>
          <w:kern w:val="0"/>
          <w:sz w:val="32"/>
          <w:szCs w:val="32"/>
        </w:rPr>
        <w:t>强化大数据、人工智能、物联网等共性技术支撑，集约建设各类业务协同支撑系统，基于数字孪生理念打造城市运行指挥中心，统筹市民生活服务门户，形成服务政府、市民和企业各类主体，支撑各领域业务应用的智慧城市综合服务平台。</w:t>
      </w:r>
    </w:p>
    <w:p>
      <w:pPr>
        <w:spacing w:line="574" w:lineRule="exact"/>
        <w:ind w:firstLine="640" w:firstLineChars="200"/>
        <w:rPr>
          <w:rFonts w:hint="eastAsia" w:ascii="宋体" w:hAnsi="宋体" w:eastAsia="方正仿宋_GBK" w:cs="宋体"/>
          <w:kern w:val="0"/>
          <w:sz w:val="32"/>
          <w:szCs w:val="32"/>
        </w:rPr>
      </w:pPr>
      <w:r>
        <w:rPr>
          <w:rFonts w:hint="eastAsia" w:ascii="宋体" w:hAnsi="宋体" w:eastAsia="方正仿宋_GBK" w:cs="宋体"/>
          <w:kern w:val="0"/>
          <w:sz w:val="32"/>
          <w:szCs w:val="32"/>
        </w:rPr>
        <w:t>——黔江区智慧城市运行指挥中心。基于数字孪生理念，以城市规划、建设、管理、服务数据为基本要素，运用城市信息模型技术，在数字空间构建与物理世界一一映射、同步运行的黔江区智慧城市运行指挥中心，全面实时监测全区运行状态，对接各部门业务应用，实现城市运行全景展示、仿真预测、指挥调度和决策优化。建立城市运行关键指标体系，利用大数据可视化技术，全面呈现城市运行综合态势，感知城市运行风险和发展趋势，并对经济、民生、安全、交通、公用、事业等重点领域实现分模块展示，形成经济“城市仪表盘”。推进各类政务服务信息汇总统计分析，展示总体态势、运行情况、办公提醒和领域专题信息，打造“管理驾驶舱”。</w:t>
      </w:r>
    </w:p>
    <w:p>
      <w:pPr>
        <w:spacing w:line="574" w:lineRule="exact"/>
        <w:jc w:val="center"/>
        <w:rPr>
          <w:rFonts w:hint="eastAsia" w:ascii="宋体" w:hAnsi="宋体" w:eastAsia="方正黑体_GBK"/>
          <w:kern w:val="0"/>
          <w:sz w:val="32"/>
          <w:szCs w:val="32"/>
        </w:rPr>
      </w:pPr>
      <w:r>
        <w:rPr>
          <w:rFonts w:hint="eastAsia" w:ascii="宋体" w:hAnsi="宋体" w:eastAsia="方正黑体_GBK" w:cs="宋体"/>
          <w:kern w:val="0"/>
          <w:sz w:val="32"/>
          <w:szCs w:val="32"/>
        </w:rPr>
        <w:t>专栏</w:t>
      </w:r>
      <w:r>
        <w:rPr>
          <w:rFonts w:hint="eastAsia" w:ascii="Times New Roman" w:hAnsi="Times New Roman" w:eastAsia="方正黑体_GBK" w:cs="宋体"/>
          <w:kern w:val="0"/>
          <w:sz w:val="32"/>
          <w:szCs w:val="32"/>
        </w:rPr>
        <w:t>4</w:t>
      </w:r>
      <w:r>
        <w:rPr>
          <w:rFonts w:hint="eastAsia" w:ascii="宋体" w:hAnsi="宋体" w:eastAsia="方正黑体_GBK" w:cs="宋体"/>
          <w:kern w:val="0"/>
          <w:sz w:val="32"/>
          <w:szCs w:val="32"/>
        </w:rPr>
        <w:t>：城市运行指挥中心重点工程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adjustRightInd w:val="0"/>
              <w:snapToGrid w:val="0"/>
              <w:spacing w:line="540" w:lineRule="exact"/>
              <w:ind w:firstLine="562" w:firstLineChars="200"/>
              <w:rPr>
                <w:rFonts w:ascii="宋体" w:hAnsi="宋体" w:cs="宋体"/>
                <w:color w:val="333333"/>
                <w:kern w:val="0"/>
                <w:sz w:val="28"/>
                <w:szCs w:val="28"/>
              </w:rPr>
            </w:pPr>
            <w:r>
              <w:rPr>
                <w:rFonts w:hint="eastAsia" w:ascii="宋体" w:hAnsi="宋体" w:eastAsia="方正仿宋_GBK" w:cs="宋体"/>
                <w:b/>
                <w:bCs/>
                <w:kern w:val="0"/>
                <w:sz w:val="28"/>
                <w:szCs w:val="28"/>
              </w:rPr>
              <w:t>城市运行指挥中心实体大厅。</w:t>
            </w:r>
            <w:r>
              <w:rPr>
                <w:rFonts w:hint="eastAsia" w:ascii="宋体" w:hAnsi="宋体" w:eastAsia="方正仿宋_GBK" w:cs="宋体"/>
                <w:kern w:val="0"/>
                <w:sz w:val="28"/>
                <w:szCs w:val="28"/>
              </w:rPr>
              <w:t>规划建设黔江区智慧城市运行指挥中心实体大厅，集约部署和共享使用展示大屏、专席坐席、视频系统、会商系统、呼叫中心等软硬件设备。</w:t>
            </w:r>
          </w:p>
          <w:p>
            <w:pPr>
              <w:adjustRightInd w:val="0"/>
              <w:snapToGrid w:val="0"/>
              <w:spacing w:line="520" w:lineRule="exact"/>
              <w:ind w:firstLine="562" w:firstLineChars="200"/>
              <w:rPr>
                <w:rFonts w:hint="eastAsia" w:ascii="宋体" w:hAnsi="宋体" w:eastAsia="方正仿宋_GBK" w:cs="宋体"/>
                <w:kern w:val="0"/>
                <w:sz w:val="24"/>
                <w:szCs w:val="32"/>
              </w:rPr>
            </w:pPr>
            <w:r>
              <w:rPr>
                <w:rFonts w:hint="eastAsia" w:ascii="宋体" w:hAnsi="宋体" w:eastAsia="方正仿宋_GBK" w:cs="宋体"/>
                <w:b/>
                <w:bCs/>
                <w:kern w:val="0"/>
                <w:sz w:val="28"/>
                <w:szCs w:val="28"/>
              </w:rPr>
              <w:t>城市运行管理平台。</w:t>
            </w:r>
            <w:r>
              <w:rPr>
                <w:rFonts w:hint="eastAsia" w:ascii="宋体" w:hAnsi="宋体" w:eastAsia="方正仿宋_GBK" w:cs="宋体"/>
                <w:kern w:val="0"/>
                <w:sz w:val="28"/>
                <w:szCs w:val="28"/>
              </w:rPr>
              <w:t>对接各类业务应用系统，实现对经济、环境、城建、交通、社会等领域运行态势实时量化分析、预判预警和直观呈现，持续加载城市交通、建筑物、基础设施、人等全要素的全量运行数据，建设城市信息模型（CIM），构建现实空间与虚拟空间的映射关系，形成从城市规划到城建、从地下到地上、从时间到空间虚实交互的数字孪生城市，推动现实城市、数字城市紧密协同，形成集全景展现、仿真预测、指挥调度、决策优化等于一体的大平台。</w:t>
            </w:r>
          </w:p>
        </w:tc>
      </w:tr>
    </w:tbl>
    <w:p>
      <w:pPr>
        <w:spacing w:line="574" w:lineRule="exact"/>
        <w:ind w:firstLine="640" w:firstLineChars="200"/>
        <w:rPr>
          <w:rFonts w:hint="eastAsia" w:ascii="宋体" w:hAnsi="宋体" w:eastAsia="方正仿宋_GBK" w:cs="宋体"/>
          <w:kern w:val="0"/>
          <w:sz w:val="32"/>
          <w:szCs w:val="32"/>
        </w:rPr>
      </w:pPr>
      <w:r>
        <w:rPr>
          <w:rFonts w:hint="eastAsia" w:ascii="宋体" w:hAnsi="宋体" w:eastAsia="方正仿宋_GBK" w:cs="宋体"/>
          <w:kern w:val="0"/>
          <w:sz w:val="32"/>
          <w:szCs w:val="32"/>
        </w:rPr>
        <w:t>——市民生活服务门户。聚合与市民生活息息相关的各类政务服务信息和便民公共服务信息，依托</w:t>
      </w:r>
      <w:r>
        <w:rPr>
          <w:rFonts w:hint="eastAsia" w:ascii="Times New Roman" w:hAnsi="Times New Roman" w:eastAsia="方正仿宋_GBK" w:cs="宋体"/>
          <w:kern w:val="0"/>
          <w:sz w:val="32"/>
          <w:szCs w:val="32"/>
        </w:rPr>
        <w:t>PC</w:t>
      </w:r>
      <w:r>
        <w:rPr>
          <w:rFonts w:hint="eastAsia" w:ascii="宋体" w:hAnsi="宋体" w:eastAsia="方正仿宋_GBK" w:cs="宋体"/>
          <w:kern w:val="0"/>
          <w:sz w:val="32"/>
          <w:szCs w:val="32"/>
        </w:rPr>
        <w:t>端、移动端、家庭固定端（机顶盒）等各类渠道，形成民生服务的统一窗口。推进区政府门户网站、微信公众号、官方微博等建设和管理，丰富各类服务模块，加大重大信息发布和宣传力度。整合全区服务信息，按照统一技术标准和发布规范，统一接入到城市门户网和城市</w:t>
      </w:r>
      <w:r>
        <w:rPr>
          <w:rFonts w:hint="eastAsia" w:ascii="Times New Roman" w:hAnsi="Times New Roman" w:eastAsia="方正仿宋_GBK" w:cs="宋体"/>
          <w:kern w:val="0"/>
          <w:sz w:val="32"/>
          <w:szCs w:val="32"/>
        </w:rPr>
        <w:t>APP</w:t>
      </w:r>
      <w:r>
        <w:rPr>
          <w:rFonts w:hint="eastAsia" w:ascii="宋体" w:hAnsi="宋体" w:eastAsia="方正仿宋_GBK" w:cs="宋体"/>
          <w:kern w:val="0"/>
          <w:sz w:val="32"/>
          <w:szCs w:val="32"/>
        </w:rPr>
        <w:t>平台，让市民从</w:t>
      </w:r>
      <w:r>
        <w:rPr>
          <w:rFonts w:hint="eastAsia" w:ascii="Times New Roman" w:hAnsi="Times New Roman" w:eastAsia="方正仿宋_GBK" w:cs="宋体"/>
          <w:kern w:val="0"/>
          <w:sz w:val="32"/>
          <w:szCs w:val="32"/>
        </w:rPr>
        <w:t>PC</w:t>
      </w:r>
      <w:r>
        <w:rPr>
          <w:rFonts w:hint="eastAsia" w:ascii="宋体" w:hAnsi="宋体" w:eastAsia="方正仿宋_GBK" w:cs="宋体"/>
          <w:kern w:val="0"/>
          <w:sz w:val="32"/>
          <w:szCs w:val="32"/>
        </w:rPr>
        <w:t>端和移动端享受个性化和便捷化信息服务。</w:t>
      </w:r>
    </w:p>
    <w:p>
      <w:pPr>
        <w:spacing w:line="574" w:lineRule="exact"/>
        <w:jc w:val="center"/>
        <w:rPr>
          <w:rFonts w:hint="eastAsia" w:ascii="宋体" w:hAnsi="宋体" w:eastAsia="方正黑体_GBK" w:cs="宋体"/>
          <w:kern w:val="0"/>
          <w:sz w:val="32"/>
          <w:szCs w:val="32"/>
        </w:rPr>
      </w:pPr>
      <w:r>
        <w:rPr>
          <w:rFonts w:hint="eastAsia" w:ascii="宋体" w:hAnsi="宋体" w:eastAsia="方正黑体_GBK" w:cs="宋体"/>
          <w:kern w:val="0"/>
          <w:sz w:val="32"/>
          <w:szCs w:val="32"/>
        </w:rPr>
        <w:t>专栏</w:t>
      </w:r>
      <w:r>
        <w:rPr>
          <w:rFonts w:hint="eastAsia" w:ascii="Times New Roman" w:hAnsi="Times New Roman" w:eastAsia="方正黑体_GBK" w:cs="宋体"/>
          <w:kern w:val="0"/>
          <w:sz w:val="32"/>
          <w:szCs w:val="32"/>
        </w:rPr>
        <w:t>5</w:t>
      </w:r>
      <w:r>
        <w:rPr>
          <w:rFonts w:hint="eastAsia" w:ascii="宋体" w:hAnsi="宋体" w:eastAsia="方正黑体_GBK" w:cs="宋体"/>
          <w:kern w:val="0"/>
          <w:sz w:val="32"/>
          <w:szCs w:val="32"/>
        </w:rPr>
        <w:t>：市民生活服务门户重点工程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3" w:hRule="atLeast"/>
          <w:jc w:val="center"/>
        </w:trPr>
        <w:tc>
          <w:tcPr>
            <w:tcW w:w="5000" w:type="pct"/>
            <w:tcBorders>
              <w:top w:val="single" w:color="auto" w:sz="4" w:space="0"/>
              <w:left w:val="single" w:color="auto" w:sz="4" w:space="0"/>
              <w:right w:val="single" w:color="auto" w:sz="4" w:space="0"/>
            </w:tcBorders>
            <w:noWrap w:val="0"/>
            <w:vAlign w:val="center"/>
          </w:tcPr>
          <w:p>
            <w:pPr>
              <w:adjustRightInd w:val="0"/>
              <w:snapToGrid w:val="0"/>
              <w:spacing w:line="540" w:lineRule="exact"/>
              <w:ind w:firstLine="562" w:firstLineChars="200"/>
              <w:rPr>
                <w:rFonts w:hint="eastAsia" w:ascii="宋体" w:hAnsi="宋体" w:eastAsia="方正仿宋_GBK" w:cs="宋体"/>
                <w:bCs/>
                <w:kern w:val="0"/>
                <w:sz w:val="28"/>
                <w:szCs w:val="28"/>
              </w:rPr>
            </w:pPr>
            <w:r>
              <w:rPr>
                <w:rFonts w:hint="eastAsia" w:ascii="宋体" w:hAnsi="宋体" w:eastAsia="方正仿宋_GBK" w:cs="宋体"/>
                <w:b/>
                <w:bCs/>
                <w:kern w:val="0"/>
                <w:sz w:val="28"/>
                <w:szCs w:val="28"/>
              </w:rPr>
              <w:t>一站式门户网站。</w:t>
            </w:r>
            <w:r>
              <w:rPr>
                <w:rFonts w:hint="eastAsia" w:ascii="宋体" w:hAnsi="宋体" w:eastAsia="方正仿宋_GBK" w:cs="宋体"/>
                <w:bCs/>
                <w:kern w:val="0"/>
                <w:sz w:val="28"/>
                <w:szCs w:val="28"/>
              </w:rPr>
              <w:t>按照国家统一规范，推进政府网站建设升级。基于统一身份认证体系和信息资源库，建立面向企业、群众的服务门户网站和个性化主页，提供政务公开、政策解读、办事服务和问政咨询等功能，打造整体联动、惠民高效的网上政府。</w:t>
            </w:r>
          </w:p>
          <w:p>
            <w:pPr>
              <w:adjustRightInd w:val="0"/>
              <w:snapToGrid w:val="0"/>
              <w:spacing w:line="540" w:lineRule="exact"/>
              <w:ind w:firstLine="562" w:firstLineChars="200"/>
              <w:rPr>
                <w:rFonts w:hint="eastAsia" w:ascii="宋体" w:hAnsi="宋体" w:eastAsia="方正仿宋_GBK" w:cs="宋体"/>
                <w:b/>
                <w:bCs/>
                <w:kern w:val="0"/>
                <w:sz w:val="28"/>
                <w:szCs w:val="28"/>
              </w:rPr>
            </w:pPr>
            <w:r>
              <w:rPr>
                <w:rFonts w:hint="eastAsia" w:ascii="宋体" w:hAnsi="宋体" w:eastAsia="方正仿宋_GBK" w:cs="宋体"/>
                <w:b/>
                <w:bCs/>
                <w:kern w:val="0"/>
                <w:sz w:val="28"/>
                <w:szCs w:val="28"/>
              </w:rPr>
              <w:t>城市</w:t>
            </w:r>
            <w:r>
              <w:rPr>
                <w:rFonts w:hint="eastAsia" w:ascii="Times New Roman" w:hAnsi="Times New Roman" w:eastAsia="方正仿宋_GBK" w:cs="宋体"/>
                <w:b/>
                <w:bCs/>
                <w:kern w:val="0"/>
                <w:sz w:val="28"/>
                <w:szCs w:val="28"/>
              </w:rPr>
              <w:t>APP</w:t>
            </w:r>
            <w:r>
              <w:rPr>
                <w:rFonts w:hint="eastAsia" w:ascii="宋体" w:hAnsi="宋体" w:eastAsia="方正仿宋_GBK" w:cs="宋体"/>
                <w:b/>
                <w:bCs/>
                <w:kern w:val="0"/>
                <w:sz w:val="28"/>
                <w:szCs w:val="28"/>
              </w:rPr>
              <w:t>。</w:t>
            </w:r>
            <w:r>
              <w:rPr>
                <w:rFonts w:hint="eastAsia" w:ascii="宋体" w:hAnsi="宋体" w:eastAsia="方正仿宋_GBK" w:cs="宋体"/>
                <w:kern w:val="0"/>
                <w:sz w:val="28"/>
                <w:szCs w:val="28"/>
              </w:rPr>
              <w:t>以城市</w:t>
            </w:r>
            <w:r>
              <w:rPr>
                <w:rFonts w:hint="eastAsia" w:ascii="Times New Roman" w:hAnsi="Times New Roman" w:eastAsia="方正仿宋_GBK" w:cs="宋体"/>
                <w:kern w:val="0"/>
                <w:sz w:val="28"/>
                <w:szCs w:val="28"/>
              </w:rPr>
              <w:t>APP</w:t>
            </w:r>
            <w:r>
              <w:rPr>
                <w:rFonts w:hint="eastAsia" w:ascii="宋体" w:hAnsi="宋体" w:eastAsia="方正仿宋_GBK" w:cs="宋体"/>
                <w:kern w:val="0"/>
                <w:sz w:val="28"/>
                <w:szCs w:val="28"/>
              </w:rPr>
              <w:t>为基础，整合区政府各部门建设的</w:t>
            </w:r>
            <w:r>
              <w:rPr>
                <w:rFonts w:hint="eastAsia" w:ascii="Times New Roman" w:hAnsi="Times New Roman" w:eastAsia="方正仿宋_GBK" w:cs="宋体"/>
                <w:kern w:val="0"/>
                <w:sz w:val="28"/>
                <w:szCs w:val="28"/>
              </w:rPr>
              <w:t>APP</w:t>
            </w:r>
            <w:r>
              <w:rPr>
                <w:rFonts w:hint="eastAsia" w:ascii="宋体" w:hAnsi="宋体" w:eastAsia="方正仿宋_GBK" w:cs="宋体"/>
                <w:kern w:val="0"/>
                <w:sz w:val="28"/>
                <w:szCs w:val="28"/>
              </w:rPr>
              <w:t>，加快对接各类政务服务系统，持续引入市场化的便民公共服务，新增“善政、兴业、惠民”等智慧城市功能板块，构建涵盖政务公开、政民互动、掌上服务等功能的全区统一</w:t>
            </w:r>
            <w:r>
              <w:rPr>
                <w:rFonts w:hint="eastAsia" w:ascii="Times New Roman" w:hAnsi="Times New Roman" w:eastAsia="方正仿宋_GBK" w:cs="宋体"/>
                <w:kern w:val="0"/>
                <w:sz w:val="28"/>
                <w:szCs w:val="28"/>
              </w:rPr>
              <w:t>APP</w:t>
            </w:r>
            <w:r>
              <w:rPr>
                <w:rFonts w:hint="eastAsia" w:ascii="宋体" w:hAnsi="宋体" w:eastAsia="方正仿宋_GBK" w:cs="宋体"/>
                <w:kern w:val="0"/>
                <w:sz w:val="28"/>
                <w:szCs w:val="28"/>
              </w:rPr>
              <w:t>平台。</w:t>
            </w:r>
          </w:p>
        </w:tc>
      </w:tr>
    </w:tbl>
    <w:p>
      <w:pPr>
        <w:spacing w:line="574" w:lineRule="exact"/>
        <w:ind w:firstLine="640" w:firstLineChars="200"/>
        <w:rPr>
          <w:rFonts w:ascii="宋体" w:hAnsi="宋体" w:cs="宋体"/>
          <w:color w:val="333333"/>
          <w:kern w:val="0"/>
          <w:sz w:val="24"/>
        </w:rPr>
      </w:pPr>
      <w:r>
        <w:rPr>
          <w:rFonts w:hint="eastAsia" w:ascii="宋体" w:hAnsi="宋体" w:eastAsia="方正仿宋_GBK" w:cs="宋体"/>
          <w:kern w:val="0"/>
          <w:sz w:val="32"/>
          <w:szCs w:val="32"/>
        </w:rPr>
        <w:t>——共性技术支撑平台。围绕新型智慧城市各领域对新一代信息技术应用需求，统筹推进共性技术支撑平台建设，避免各部门重复投入，形成面向全区的大数据、人工智能、区块链、物联网等基础服务体系，以应用促进全区智能产业发展。建设数据智能平台，面向城市数据挖掘、分析和应用提供各类大数据基础组件、共性应用、基础工具和模型算法，开放人工智能应用服务接口，拓展定制化、个性化的区块链服务，提升各领域业务应用智能化水平。打造城市物联网平台，提供城市级的物联网设备管理、数据汇聚、应用开发和业务分析等服务，形成黔江区物联网设备集中管理入口和数据汇聚枢纽，支撑各部门和跨领域的物联网应用部署。推进应用开发环境建设，依托数据智能平台和城市物联网平台，制定统一的数据接口规范、技术规范和流程规范，建立开发工具集和微服务框架，形成标准高效的应用开发模式。</w:t>
      </w:r>
    </w:p>
    <w:p>
      <w:pPr>
        <w:spacing w:line="574" w:lineRule="exact"/>
        <w:jc w:val="center"/>
        <w:rPr>
          <w:rFonts w:hint="eastAsia" w:ascii="宋体" w:hAnsi="宋体" w:eastAsia="方正黑体_GBK"/>
          <w:kern w:val="0"/>
          <w:sz w:val="32"/>
          <w:szCs w:val="32"/>
        </w:rPr>
      </w:pPr>
      <w:r>
        <w:rPr>
          <w:rFonts w:hint="eastAsia" w:ascii="宋体" w:hAnsi="宋体" w:eastAsia="方正黑体_GBK" w:cs="宋体"/>
          <w:kern w:val="0"/>
          <w:sz w:val="32"/>
          <w:szCs w:val="32"/>
        </w:rPr>
        <w:t>专栏</w:t>
      </w:r>
      <w:r>
        <w:rPr>
          <w:rFonts w:hint="eastAsia" w:ascii="Times New Roman" w:hAnsi="Times New Roman" w:eastAsia="方正黑体_GBK" w:cs="宋体"/>
          <w:kern w:val="0"/>
          <w:sz w:val="32"/>
          <w:szCs w:val="32"/>
        </w:rPr>
        <w:t>6</w:t>
      </w:r>
      <w:r>
        <w:rPr>
          <w:rFonts w:hint="eastAsia" w:ascii="宋体" w:hAnsi="宋体" w:eastAsia="方正黑体_GBK" w:cs="宋体"/>
          <w:kern w:val="0"/>
          <w:sz w:val="32"/>
          <w:szCs w:val="32"/>
        </w:rPr>
        <w:t>：共性技术支撑平台重点工程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7" w:hRule="atLeast"/>
          <w:jc w:val="center"/>
        </w:trPr>
        <w:tc>
          <w:tcPr>
            <w:tcW w:w="5000" w:type="pct"/>
            <w:noWrap w:val="0"/>
            <w:vAlign w:val="center"/>
          </w:tcPr>
          <w:p>
            <w:pPr>
              <w:adjustRightInd w:val="0"/>
              <w:snapToGrid w:val="0"/>
              <w:spacing w:line="540" w:lineRule="exact"/>
              <w:ind w:firstLine="562" w:firstLineChars="200"/>
              <w:rPr>
                <w:rFonts w:hint="eastAsia" w:ascii="宋体" w:hAnsi="宋体" w:eastAsia="方正仿宋_GBK" w:cs="宋体"/>
                <w:kern w:val="0"/>
                <w:sz w:val="28"/>
                <w:szCs w:val="28"/>
              </w:rPr>
            </w:pPr>
            <w:r>
              <w:rPr>
                <w:rFonts w:hint="eastAsia" w:ascii="宋体" w:hAnsi="宋体" w:eastAsia="方正仿宋_GBK" w:cs="宋体"/>
                <w:b/>
                <w:bCs/>
                <w:sz w:val="28"/>
                <w:szCs w:val="28"/>
              </w:rPr>
              <w:t>城市物联网平台。</w:t>
            </w:r>
            <w:r>
              <w:rPr>
                <w:rFonts w:hint="eastAsia" w:ascii="宋体" w:hAnsi="宋体" w:eastAsia="方正仿宋_GBK" w:cs="宋体"/>
                <w:sz w:val="28"/>
                <w:szCs w:val="28"/>
              </w:rPr>
              <w:t>城市物联网平台包括视频共享交换平台、传感物联平台两部分。视频共享交换平台实现全区所有视频资源的汇聚共享，传感物联平台实现与全区所有要素类传感设备的对接。视频共享交换平台基于视频专网，以“雪亮工程”为基础，汇聚全区可接入的视频资源，按照“统一标准、分级分类、安全可控、理清机制”原则，实现合理的平台架构。传感物联平台作为要素传感类物联网设备的连接平台，面向全区各领域、各类型感知传感设备，实现集中接入、管理、智能控制、设备互联、远程监控与诊断等功能，实时掌控城市感知体系运行状况，形成传感类物联网设备集中管理入口和数据汇集枢纽，支撑各部门和跨领域的物联网应用部署。</w:t>
            </w:r>
          </w:p>
        </w:tc>
      </w:tr>
    </w:tbl>
    <w:p>
      <w:pPr>
        <w:pStyle w:val="5"/>
        <w:keepNext w:val="0"/>
        <w:keepLines w:val="0"/>
        <w:numPr>
          <w:ilvl w:val="0"/>
          <w:numId w:val="2"/>
        </w:numPr>
        <w:spacing w:before="0" w:after="0" w:line="574" w:lineRule="exact"/>
        <w:ind w:firstLine="642" w:firstLineChars="200"/>
        <w:rPr>
          <w:rFonts w:hint="eastAsia" w:ascii="宋体" w:hAnsi="宋体" w:eastAsia="方正仿宋_GBK"/>
          <w:kern w:val="0"/>
        </w:rPr>
      </w:pPr>
      <w:bookmarkStart w:id="94" w:name="_Toc10932"/>
      <w:bookmarkStart w:id="95" w:name="_Toc31130"/>
      <w:r>
        <w:rPr>
          <w:rFonts w:hint="eastAsia" w:ascii="宋体" w:hAnsi="宋体" w:eastAsia="方正仿宋_GBK"/>
          <w:kern w:val="0"/>
        </w:rPr>
        <w:t>智能应急</w:t>
      </w:r>
      <w:bookmarkEnd w:id="94"/>
      <w:bookmarkEnd w:id="95"/>
      <w:r>
        <w:rPr>
          <w:rFonts w:hint="eastAsia" w:ascii="宋体" w:hAnsi="宋体" w:eastAsia="方正仿宋_GBK"/>
          <w:kern w:val="0"/>
        </w:rPr>
        <w:t xml:space="preserve"> </w:t>
      </w:r>
    </w:p>
    <w:p>
      <w:pPr>
        <w:spacing w:line="574" w:lineRule="exact"/>
        <w:ind w:firstLine="640" w:firstLineChars="200"/>
        <w:rPr>
          <w:rFonts w:hint="eastAsia" w:ascii="宋体" w:hAnsi="宋体" w:eastAsia="方正仿宋_GBK" w:cs="宋体"/>
          <w:kern w:val="0"/>
          <w:sz w:val="32"/>
          <w:szCs w:val="32"/>
        </w:rPr>
      </w:pPr>
      <w:r>
        <w:rPr>
          <w:rFonts w:hint="eastAsia" w:ascii="宋体" w:hAnsi="宋体" w:eastAsia="方正仿宋_GBK"/>
          <w:snapToGrid w:val="0"/>
          <w:kern w:val="0"/>
          <w:sz w:val="32"/>
          <w:szCs w:val="32"/>
        </w:rPr>
        <w:t>升</w:t>
      </w:r>
      <w:r>
        <w:rPr>
          <w:rFonts w:ascii="宋体" w:hAnsi="宋体" w:eastAsia="方正仿宋_GBK"/>
          <w:snapToGrid w:val="0"/>
          <w:kern w:val="0"/>
          <w:sz w:val="32"/>
          <w:szCs w:val="32"/>
        </w:rPr>
        <w:t>级</w:t>
      </w:r>
      <w:r>
        <w:rPr>
          <w:rFonts w:hint="eastAsia" w:ascii="宋体" w:hAnsi="宋体" w:eastAsia="方正仿宋_GBK"/>
          <w:sz w:val="32"/>
          <w:szCs w:val="32"/>
        </w:rPr>
        <w:t>自然灾害</w:t>
      </w:r>
      <w:r>
        <w:rPr>
          <w:rFonts w:hint="eastAsia" w:ascii="宋体" w:hAnsi="宋体" w:eastAsia="方正仿宋_GBK" w:cs="宋体"/>
          <w:kern w:val="0"/>
          <w:sz w:val="32"/>
          <w:szCs w:val="32"/>
        </w:rPr>
        <w:t>和安全生产应急指挥平台，完善自然灾害和安全生产基础数据库、视频数据库、隐患排查治理数据库。充分运用物联网技术，在自然灾害和安全生产重点领域、重点企业的重点部位，推广运用智能感知系统，实现监测对象数据实时回传、智能分析、及时预警。充分运用</w:t>
      </w:r>
      <w:r>
        <w:rPr>
          <w:rFonts w:hint="eastAsia" w:ascii="Times New Roman" w:hAnsi="Times New Roman" w:eastAsia="方正仿宋_GBK" w:cs="宋体"/>
          <w:kern w:val="0"/>
          <w:sz w:val="32"/>
          <w:szCs w:val="32"/>
        </w:rPr>
        <w:t>5</w:t>
      </w:r>
      <w:r>
        <w:rPr>
          <w:rFonts w:hint="eastAsia" w:ascii="宋体" w:hAnsi="宋体" w:eastAsia="方正仿宋_GBK" w:cs="宋体"/>
          <w:kern w:val="0"/>
          <w:sz w:val="32"/>
          <w:szCs w:val="32"/>
        </w:rPr>
        <w:t>G无线技术，建设移动可视系统，实现抢险现场视频实时回传至指挥中心，达到远程指挥的目的。依托区气象局“防灾救灾一张图”、智慧生态宜居及防灾减灾大数据平台等信息技术手段，构建大应急体系，实现应急协同调度、远程指挥，确保抢险救灾工作顺利进行。搭建应急新技术实验室，与国内科技公司深度合作，试点国内先进的前端感知采集设备，优化大数据分析模型，精准的预警各类事故的发生，支撑应急管理工作。</w:t>
      </w:r>
    </w:p>
    <w:p>
      <w:pPr>
        <w:adjustRightInd w:val="0"/>
        <w:snapToGrid w:val="0"/>
        <w:spacing w:line="574" w:lineRule="exact"/>
        <w:jc w:val="center"/>
        <w:rPr>
          <w:rFonts w:ascii="宋体" w:hAnsi="宋体" w:eastAsia="方正黑体_GBK" w:cs="宋体"/>
          <w:kern w:val="0"/>
          <w:sz w:val="32"/>
          <w:szCs w:val="32"/>
        </w:rPr>
      </w:pPr>
      <w:r>
        <w:rPr>
          <w:rFonts w:ascii="宋体" w:hAnsi="宋体" w:eastAsia="方正黑体_GBK" w:cs="宋体"/>
          <w:kern w:val="0"/>
          <w:sz w:val="32"/>
          <w:szCs w:val="32"/>
        </w:rPr>
        <w:t>专栏</w:t>
      </w:r>
      <w:r>
        <w:rPr>
          <w:rFonts w:hint="eastAsia" w:ascii="Times New Roman" w:hAnsi="Times New Roman" w:eastAsia="方正黑体_GBK" w:cs="宋体"/>
          <w:kern w:val="0"/>
          <w:sz w:val="32"/>
          <w:szCs w:val="32"/>
        </w:rPr>
        <w:t>7</w:t>
      </w:r>
      <w:r>
        <w:rPr>
          <w:rFonts w:ascii="宋体" w:hAnsi="宋体" w:eastAsia="方正黑体_GBK" w:cs="宋体"/>
          <w:kern w:val="0"/>
          <w:sz w:val="32"/>
          <w:szCs w:val="32"/>
        </w:rPr>
        <w:t>：智慧应急重点工程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adjustRightInd w:val="0"/>
              <w:snapToGrid w:val="0"/>
              <w:spacing w:line="540" w:lineRule="exact"/>
              <w:ind w:firstLine="562" w:firstLineChars="200"/>
              <w:rPr>
                <w:rFonts w:hint="eastAsia" w:ascii="宋体" w:hAnsi="宋体" w:eastAsia="方正仿宋_GBK"/>
                <w:sz w:val="28"/>
                <w:szCs w:val="28"/>
              </w:rPr>
            </w:pPr>
            <w:r>
              <w:rPr>
                <w:rFonts w:hint="eastAsia" w:ascii="宋体" w:hAnsi="宋体" w:eastAsia="方正仿宋_GBK"/>
                <w:b/>
                <w:sz w:val="28"/>
                <w:szCs w:val="28"/>
              </w:rPr>
              <w:t>自然灾害和安全生产应急指挥平台升级工程。</w:t>
            </w:r>
            <w:r>
              <w:rPr>
                <w:rFonts w:hint="eastAsia" w:ascii="宋体" w:hAnsi="宋体" w:eastAsia="方正仿宋_GBK"/>
                <w:sz w:val="28"/>
                <w:szCs w:val="28"/>
              </w:rPr>
              <w:t>完善自然灾害和安全生产基础数据库，完善工业、商贸、交通、建设等安全生产基础数据，接入森林防灭火、防汛抗旱、地质灾害等自然灾害基础数据，接入消防救援支队、民兵应急综合救援队、区级部门救援队伍、镇街救援队伍、企业救援队伍、社会救援队伍等应急救援力量基础数据，接入救灾物资、救援装备、区级救灾物资、镇街救灾物资、应急救援装备等救灾物资基础数据。完善自然灾害和安全生产视频数据库，接入森林、河流、水库、地灾点、涉尘企业、涉爆企业、涉氨企业、大型商场、城市综合体、大型酒店、等重点单位视频监控数据。完善自然灾害和安全生产风险隐患治理数据库，及时掌握隐患排查治理情况，进一步加强安全隐患管理。建设移动可视系统，运用</w:t>
            </w:r>
            <w:r>
              <w:rPr>
                <w:rFonts w:hint="eastAsia" w:ascii="Times New Roman" w:hAnsi="Times New Roman" w:eastAsia="方正仿宋_GBK"/>
                <w:sz w:val="28"/>
                <w:szCs w:val="28"/>
              </w:rPr>
              <w:t>5</w:t>
            </w:r>
            <w:r>
              <w:rPr>
                <w:rFonts w:hint="eastAsia" w:ascii="宋体" w:hAnsi="宋体" w:eastAsia="方正仿宋_GBK"/>
                <w:sz w:val="28"/>
                <w:szCs w:val="28"/>
              </w:rPr>
              <w:t>G无线技术，通过无人机、地面站等设备，实现抢险现场视频实时回传至指挥中心，达到远程指挥的目的。建设自然灾害和安全生产智能感知系统，采集汇聚森林防火监测数据，危化企业相关系统的温度、压力、液位、可燃有毒、生产报警等实时数据，重点企业视频监控数据。通过大数据分析，预警各类事故的发生。</w:t>
            </w:r>
          </w:p>
          <w:p>
            <w:pPr>
              <w:adjustRightInd w:val="0"/>
              <w:snapToGrid w:val="0"/>
              <w:spacing w:line="540" w:lineRule="exact"/>
              <w:ind w:firstLine="562" w:firstLineChars="200"/>
              <w:rPr>
                <w:rFonts w:hint="eastAsia" w:ascii="宋体" w:hAnsi="宋体" w:eastAsia="方正仿宋_GBK"/>
                <w:sz w:val="28"/>
                <w:szCs w:val="28"/>
              </w:rPr>
            </w:pPr>
            <w:r>
              <w:rPr>
                <w:rFonts w:hint="eastAsia" w:ascii="宋体" w:hAnsi="宋体" w:eastAsia="方正仿宋_GBK"/>
                <w:b/>
                <w:sz w:val="28"/>
                <w:szCs w:val="28"/>
              </w:rPr>
              <w:t>应急新技术实验室。</w:t>
            </w:r>
            <w:r>
              <w:rPr>
                <w:rFonts w:hint="eastAsia" w:ascii="宋体" w:hAnsi="宋体" w:eastAsia="方正仿宋_GBK"/>
                <w:sz w:val="28"/>
                <w:szCs w:val="28"/>
              </w:rPr>
              <w:t>与国内科技公司深度合作，搭建应急新技术研发实验室，组建研发团队。完善应急大数据平台，更新前端感知设备，通过采集汇聚的各项监控、生产数据，优化大数据分析模型，精准预警各类事故的发生，正确率达到</w:t>
            </w:r>
            <w:r>
              <w:rPr>
                <w:rFonts w:hint="eastAsia" w:ascii="Times New Roman" w:hAnsi="Times New Roman" w:eastAsia="方正仿宋_GBK"/>
                <w:sz w:val="28"/>
                <w:szCs w:val="28"/>
              </w:rPr>
              <w:t>95%</w:t>
            </w:r>
            <w:r>
              <w:rPr>
                <w:rFonts w:hint="eastAsia" w:ascii="宋体" w:hAnsi="宋体" w:eastAsia="方正仿宋_GBK"/>
                <w:sz w:val="28"/>
                <w:szCs w:val="28"/>
              </w:rPr>
              <w:t>以上。</w:t>
            </w:r>
          </w:p>
        </w:tc>
      </w:tr>
    </w:tbl>
    <w:p>
      <w:pPr>
        <w:pStyle w:val="5"/>
        <w:keepNext w:val="0"/>
        <w:keepLines w:val="0"/>
        <w:numPr>
          <w:ilvl w:val="0"/>
          <w:numId w:val="2"/>
        </w:numPr>
        <w:spacing w:before="0" w:after="0" w:line="574" w:lineRule="exact"/>
        <w:ind w:firstLine="642" w:firstLineChars="200"/>
        <w:rPr>
          <w:rFonts w:hint="eastAsia" w:ascii="宋体" w:hAnsi="宋体" w:eastAsia="方正仿宋_GBK"/>
          <w:kern w:val="0"/>
        </w:rPr>
      </w:pPr>
      <w:r>
        <w:rPr>
          <w:rFonts w:hint="eastAsia" w:ascii="宋体" w:hAnsi="宋体" w:eastAsia="方正仿宋_GBK"/>
          <w:kern w:val="0"/>
        </w:rPr>
        <w:t>网络安全体系</w:t>
      </w:r>
    </w:p>
    <w:p>
      <w:pPr>
        <w:spacing w:line="560" w:lineRule="exact"/>
        <w:ind w:firstLine="640" w:firstLineChars="200"/>
        <w:rPr>
          <w:rFonts w:hint="eastAsia"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在推进新一代信息技术与经济社会各领域融合发展的同时，同步推进网络安全体系规划、建设和运行，加强网络安全技术防护、增强网络安全态势感知、做好数据资源安全防护，保障智慧城市建设安全可靠、平滑演进。</w:t>
      </w:r>
    </w:p>
    <w:p>
      <w:pPr>
        <w:spacing w:line="560" w:lineRule="exact"/>
        <w:ind w:firstLine="640" w:firstLineChars="200"/>
        <w:rPr>
          <w:rFonts w:hint="eastAsia" w:ascii="宋体" w:hAnsi="宋体" w:eastAsia="方正仿宋_GBK" w:cs="方正仿宋_GBK"/>
          <w:snapToGrid w:val="0"/>
          <w:kern w:val="0"/>
          <w:sz w:val="32"/>
          <w:szCs w:val="32"/>
        </w:rPr>
      </w:pPr>
      <w:bookmarkStart w:id="96" w:name="_Toc6489"/>
      <w:bookmarkStart w:id="97" w:name="_Toc19830"/>
      <w:r>
        <w:rPr>
          <w:rFonts w:hint="eastAsia" w:ascii="宋体" w:hAnsi="宋体" w:eastAsia="方正仿宋_GBK" w:cs="宋体"/>
          <w:kern w:val="0"/>
          <w:sz w:val="32"/>
          <w:szCs w:val="32"/>
        </w:rPr>
        <w:t>——</w:t>
      </w:r>
      <w:r>
        <w:rPr>
          <w:rFonts w:hint="eastAsia" w:ascii="宋体" w:hAnsi="宋体" w:eastAsia="方正仿宋_GBK" w:cs="方正仿宋_GBK"/>
          <w:snapToGrid w:val="0"/>
          <w:kern w:val="0"/>
          <w:sz w:val="32"/>
          <w:szCs w:val="32"/>
        </w:rPr>
        <w:t>网络安全技术防护</w:t>
      </w:r>
      <w:bookmarkEnd w:id="96"/>
      <w:bookmarkEnd w:id="97"/>
      <w:r>
        <w:rPr>
          <w:rFonts w:hint="eastAsia" w:ascii="宋体" w:hAnsi="宋体" w:eastAsia="方正仿宋_GBK" w:cs="方正仿宋_GBK"/>
          <w:snapToGrid w:val="0"/>
          <w:kern w:val="0"/>
          <w:sz w:val="32"/>
          <w:szCs w:val="32"/>
        </w:rPr>
        <w:t>。落实网络安全等级保护制度，强化关键信息基础设施安全保障，推进感知网络安全认证与接入、数据容灾备份、上网行为管理、安全防御等技术应用，构建安全的网络服务环境、夯实主机系统的安全能力、构筑可控的运行安全服务体系、搭建多维的数据安全体系，保障网络空间物理和环境安全、网络和通信安全、计算和设备安全、应用和数据安全。加强网络安全移动办公执法、网络安全服务等应用建设，升级完善现有的网站防御、上网行为管理、安全加固、渗透测试等系统，为智慧城市各类业务应用提供安全保障。</w:t>
      </w:r>
    </w:p>
    <w:p>
      <w:pPr>
        <w:adjustRightInd w:val="0"/>
        <w:snapToGrid w:val="0"/>
        <w:spacing w:line="560" w:lineRule="exact"/>
        <w:jc w:val="center"/>
        <w:rPr>
          <w:rFonts w:hint="eastAsia" w:ascii="宋体" w:hAnsi="宋体" w:eastAsia="方正黑体_GBK"/>
          <w:bCs/>
          <w:snapToGrid w:val="0"/>
          <w:kern w:val="0"/>
          <w:sz w:val="32"/>
          <w:szCs w:val="32"/>
        </w:rPr>
      </w:pPr>
      <w:r>
        <w:rPr>
          <w:rFonts w:hint="eastAsia" w:ascii="宋体" w:hAnsi="宋体" w:eastAsia="方正黑体_GBK"/>
          <w:bCs/>
          <w:snapToGrid w:val="0"/>
          <w:kern w:val="0"/>
          <w:sz w:val="32"/>
          <w:szCs w:val="32"/>
        </w:rPr>
        <w:t>专栏</w:t>
      </w:r>
      <w:r>
        <w:rPr>
          <w:rFonts w:hint="eastAsia" w:ascii="Times New Roman" w:hAnsi="Times New Roman" w:eastAsia="方正黑体_GBK"/>
          <w:bCs/>
          <w:snapToGrid w:val="0"/>
          <w:kern w:val="0"/>
          <w:sz w:val="32"/>
          <w:szCs w:val="32"/>
        </w:rPr>
        <w:t>8</w:t>
      </w:r>
      <w:r>
        <w:rPr>
          <w:rFonts w:hint="eastAsia" w:ascii="宋体" w:hAnsi="宋体" w:eastAsia="方正黑体_GBK"/>
          <w:bCs/>
          <w:snapToGrid w:val="0"/>
          <w:kern w:val="0"/>
          <w:sz w:val="32"/>
          <w:szCs w:val="32"/>
        </w:rPr>
        <w:t>：网络安全技术防护重点工程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adjustRightInd w:val="0"/>
              <w:snapToGrid w:val="0"/>
              <w:spacing w:line="540" w:lineRule="exact"/>
              <w:ind w:firstLine="562" w:firstLineChars="200"/>
              <w:rPr>
                <w:rFonts w:hint="eastAsia" w:ascii="宋体" w:hAnsi="宋体" w:eastAsia="方正仿宋_GBK" w:cs="宋体"/>
                <w:kern w:val="0"/>
                <w:sz w:val="28"/>
                <w:szCs w:val="28"/>
              </w:rPr>
            </w:pPr>
            <w:r>
              <w:rPr>
                <w:rFonts w:hint="eastAsia" w:ascii="宋体" w:hAnsi="宋体" w:eastAsia="方正仿宋_GBK" w:cs="宋体"/>
                <w:b/>
                <w:bCs/>
                <w:kern w:val="0"/>
                <w:sz w:val="28"/>
                <w:szCs w:val="28"/>
              </w:rPr>
              <w:t>党政机关互联网安全接入工程。</w:t>
            </w:r>
            <w:r>
              <w:rPr>
                <w:rFonts w:hint="eastAsia" w:ascii="宋体" w:hAnsi="宋体" w:eastAsia="方正仿宋_GBK" w:cs="宋体"/>
                <w:kern w:val="0"/>
                <w:sz w:val="28"/>
                <w:szCs w:val="28"/>
              </w:rPr>
              <w:t>建立党政机关互联网信息汇聚平台，对全区党政机关互联网流量、大型关键信息基础设施运营单位互联网流量、电子政务外网流量进行汇聚，搭建全区网络安全态势感知平台，持续捕捉网络病毒、安全漏洞、恶意代码、网络攻击、高级持续性威胁（</w:t>
            </w:r>
            <w:r>
              <w:rPr>
                <w:rFonts w:hint="eastAsia" w:ascii="Times New Roman" w:hAnsi="Times New Roman" w:eastAsia="方正仿宋_GBK" w:cs="宋体"/>
                <w:kern w:val="0"/>
                <w:sz w:val="28"/>
                <w:szCs w:val="28"/>
              </w:rPr>
              <w:t>APT</w:t>
            </w:r>
            <w:r>
              <w:rPr>
                <w:rFonts w:hint="eastAsia" w:ascii="宋体" w:hAnsi="宋体" w:eastAsia="方正仿宋_GBK" w:cs="宋体"/>
                <w:kern w:val="0"/>
                <w:sz w:val="28"/>
                <w:szCs w:val="28"/>
              </w:rPr>
              <w:t>攻击）、异常行为等高危风险，实施统一数据挖掘、风险分析和研判，及时发现和预警重大网络安全风险。建设风险预警系统，向党政机关、重点行业、重点企业通报重大网络安全风险。</w:t>
            </w:r>
          </w:p>
          <w:p>
            <w:pPr>
              <w:adjustRightInd w:val="0"/>
              <w:snapToGrid w:val="0"/>
              <w:spacing w:line="540" w:lineRule="exact"/>
              <w:ind w:firstLine="562" w:firstLineChars="200"/>
              <w:rPr>
                <w:rFonts w:hint="eastAsia" w:ascii="宋体" w:hAnsi="宋体" w:eastAsia="方正仿宋_GBK" w:cs="宋体"/>
                <w:kern w:val="0"/>
                <w:sz w:val="28"/>
                <w:szCs w:val="28"/>
              </w:rPr>
            </w:pPr>
            <w:r>
              <w:rPr>
                <w:rFonts w:hint="eastAsia" w:ascii="宋体" w:hAnsi="宋体" w:eastAsia="方正仿宋_GBK" w:cs="宋体"/>
                <w:b/>
                <w:bCs/>
                <w:kern w:val="0"/>
                <w:sz w:val="28"/>
                <w:szCs w:val="28"/>
              </w:rPr>
              <w:t>党政机关门户网站和重要信息系统安全监测感知系统。</w:t>
            </w:r>
            <w:r>
              <w:rPr>
                <w:rFonts w:hint="eastAsia" w:ascii="宋体" w:hAnsi="宋体" w:eastAsia="方正仿宋_GBK" w:cs="宋体"/>
                <w:kern w:val="0"/>
                <w:sz w:val="28"/>
                <w:szCs w:val="28"/>
              </w:rPr>
              <w:t>对我区党政机关的门户网站、互联网业务平台和互联网出口流量开展主动安全监测、感知网络安全风险，发现预警网络安全威胁和漏洞隐患。</w:t>
            </w:r>
          </w:p>
          <w:p>
            <w:pPr>
              <w:adjustRightInd w:val="0"/>
              <w:snapToGrid w:val="0"/>
              <w:spacing w:line="540" w:lineRule="exact"/>
              <w:ind w:firstLine="562" w:firstLineChars="200"/>
              <w:rPr>
                <w:rFonts w:hint="eastAsia" w:ascii="宋体" w:hAnsi="宋体" w:eastAsia="方正仿宋_GBK" w:cs="宋体"/>
                <w:kern w:val="0"/>
                <w:sz w:val="28"/>
                <w:szCs w:val="28"/>
              </w:rPr>
            </w:pPr>
            <w:r>
              <w:rPr>
                <w:rFonts w:hint="eastAsia" w:ascii="宋体" w:hAnsi="宋体" w:eastAsia="方正仿宋_GBK" w:cs="宋体"/>
                <w:b/>
                <w:bCs/>
                <w:kern w:val="0"/>
                <w:sz w:val="28"/>
                <w:szCs w:val="28"/>
              </w:rPr>
              <w:t>关键信息基础设施安全保卫系统</w:t>
            </w:r>
            <w:r>
              <w:rPr>
                <w:rFonts w:hint="eastAsia" w:ascii="宋体" w:hAnsi="宋体" w:eastAsia="方正仿宋_GBK" w:cs="宋体"/>
                <w:kern w:val="0"/>
                <w:sz w:val="28"/>
                <w:szCs w:val="28"/>
              </w:rPr>
              <w:t>。对交通、金融、医疗、环保、能源等重点行业部门、重要企事业单位的关键信息基础开展安全检测和流量监测，汇聚各单位网络安全设备运行数据、承载的内容信息，及时发现问题隐患、安全线索。</w:t>
            </w:r>
          </w:p>
          <w:p>
            <w:pPr>
              <w:adjustRightInd w:val="0"/>
              <w:snapToGrid w:val="0"/>
              <w:spacing w:line="540" w:lineRule="exact"/>
              <w:ind w:firstLine="562" w:firstLineChars="200"/>
              <w:rPr>
                <w:rFonts w:hint="eastAsia" w:ascii="宋体" w:hAnsi="宋体" w:eastAsia="方正仿宋_GBK" w:cs="宋体"/>
                <w:kern w:val="0"/>
                <w:sz w:val="28"/>
                <w:szCs w:val="28"/>
              </w:rPr>
            </w:pPr>
            <w:r>
              <w:rPr>
                <w:rFonts w:hint="eastAsia" w:ascii="宋体" w:hAnsi="宋体" w:eastAsia="方正仿宋_GBK" w:cs="宋体"/>
                <w:b/>
                <w:bCs/>
                <w:kern w:val="0"/>
                <w:sz w:val="28"/>
                <w:szCs w:val="28"/>
              </w:rPr>
              <w:t>公共网络安全防护系统。</w:t>
            </w:r>
            <w:r>
              <w:rPr>
                <w:rFonts w:hint="eastAsia" w:ascii="宋体" w:hAnsi="宋体" w:eastAsia="方正仿宋_GBK" w:cs="宋体"/>
                <w:kern w:val="0"/>
                <w:sz w:val="28"/>
                <w:szCs w:val="28"/>
              </w:rPr>
              <w:t>对群众生产生活密切相关的水、电、气等重要领域信息系统、大型互联网企业、物联网和工业互联网等开展网络安全监测预警，并督促整改，提升整体安全防护能力。</w:t>
            </w:r>
          </w:p>
          <w:p>
            <w:pPr>
              <w:adjustRightInd w:val="0"/>
              <w:snapToGrid w:val="0"/>
              <w:spacing w:line="540" w:lineRule="exact"/>
              <w:ind w:firstLine="562" w:firstLineChars="200"/>
              <w:rPr>
                <w:rFonts w:hint="eastAsia" w:ascii="宋体" w:hAnsi="宋体" w:eastAsia="方正仿宋_GBK" w:cs="宋体"/>
                <w:b/>
                <w:bCs/>
                <w:kern w:val="0"/>
                <w:sz w:val="28"/>
                <w:szCs w:val="28"/>
              </w:rPr>
            </w:pPr>
            <w:r>
              <w:rPr>
                <w:rFonts w:hint="eastAsia" w:ascii="宋体" w:hAnsi="宋体" w:eastAsia="方正仿宋_GBK" w:cs="宋体"/>
                <w:b/>
                <w:bCs/>
                <w:kern w:val="0"/>
                <w:sz w:val="28"/>
                <w:szCs w:val="28"/>
              </w:rPr>
              <w:t>通报预警和调查处置系统。</w:t>
            </w:r>
            <w:r>
              <w:rPr>
                <w:rFonts w:hint="eastAsia" w:ascii="宋体" w:hAnsi="宋体" w:eastAsia="方正仿宋_GBK" w:cs="宋体"/>
                <w:kern w:val="0"/>
                <w:sz w:val="28"/>
                <w:szCs w:val="28"/>
              </w:rPr>
              <w:t>构建网络安全漏洞风险通报预警工作体系，针对发现的各类安全问题及时开展通报预警、核查处置、追踪溯源、情报挖掘等工作，为侦查打击网络违法犯罪提供强有力支持。</w:t>
            </w:r>
          </w:p>
        </w:tc>
      </w:tr>
    </w:tbl>
    <w:p>
      <w:pPr>
        <w:spacing w:line="560" w:lineRule="exact"/>
        <w:ind w:firstLine="640" w:firstLineChars="200"/>
        <w:rPr>
          <w:rFonts w:hint="eastAsia" w:ascii="宋体" w:hAnsi="宋体" w:eastAsia="方正仿宋_GBK" w:cs="方正仿宋_GBK"/>
          <w:snapToGrid w:val="0"/>
          <w:kern w:val="0"/>
          <w:sz w:val="32"/>
          <w:szCs w:val="32"/>
        </w:rPr>
      </w:pPr>
      <w:bookmarkStart w:id="98" w:name="_Toc4533"/>
      <w:bookmarkStart w:id="99" w:name="_Toc9028"/>
      <w:r>
        <w:rPr>
          <w:rFonts w:hint="eastAsia" w:ascii="宋体" w:hAnsi="宋体" w:eastAsia="方正仿宋_GBK" w:cs="宋体"/>
          <w:kern w:val="0"/>
          <w:sz w:val="32"/>
          <w:szCs w:val="32"/>
        </w:rPr>
        <w:t>——</w:t>
      </w:r>
      <w:r>
        <w:rPr>
          <w:rFonts w:hint="eastAsia" w:ascii="宋体" w:hAnsi="宋体" w:eastAsia="方正仿宋_GBK" w:cs="方正仿宋_GBK"/>
          <w:snapToGrid w:val="0"/>
          <w:kern w:val="0"/>
          <w:sz w:val="32"/>
          <w:szCs w:val="32"/>
        </w:rPr>
        <w:t>网络安全态势感知</w:t>
      </w:r>
      <w:bookmarkEnd w:id="98"/>
      <w:bookmarkEnd w:id="99"/>
      <w:r>
        <w:rPr>
          <w:rFonts w:hint="eastAsia" w:ascii="宋体" w:hAnsi="宋体" w:eastAsia="方正仿宋_GBK" w:cs="方正仿宋_GBK"/>
          <w:snapToGrid w:val="0"/>
          <w:kern w:val="0"/>
          <w:sz w:val="32"/>
          <w:szCs w:val="32"/>
        </w:rPr>
        <w:t>。构建城市网络安全综合治理体系，建设完善黔江区网络安全态势感知和监测预警平台，对针对电子政务网、互联网、物联网、工控网等各类网络及党政机关网站、数据中心、云服务平台、大数据平台、物联网平台等关键信息基础设施进行安全评测、防护、实时监测、预警和评估，主动采集设备运行数据、承载的内容信息，构建全天候全方位网络安全态势感知和预警体系。建设重大网络安全事件应急指挥平台，推进一体化网络安全应急指挥，运用大数据、人工智能等前沿技术，组织开展跨部门跨行业应急演练，提高网络安全态势感知、事件分析、追踪溯源以及遭受网络攻击后的快速恢复能力。加强网络空间攻防能力建设，提升网络安全技术人员实战水平，从攻防两端集中发力，切实提高网络空间防御能力。</w:t>
      </w:r>
    </w:p>
    <w:p>
      <w:pPr>
        <w:spacing w:line="560" w:lineRule="exact"/>
        <w:ind w:firstLine="640" w:firstLineChars="200"/>
        <w:rPr>
          <w:rFonts w:ascii="宋体" w:hAnsi="宋体" w:eastAsia="方正楷体_GBK"/>
        </w:rPr>
      </w:pPr>
      <w:bookmarkStart w:id="100" w:name="_Toc6518"/>
      <w:bookmarkStart w:id="101" w:name="_Toc22761"/>
      <w:r>
        <w:rPr>
          <w:rFonts w:hint="eastAsia" w:ascii="宋体" w:hAnsi="宋体" w:eastAsia="方正仿宋_GBK" w:cs="宋体"/>
          <w:kern w:val="0"/>
          <w:sz w:val="32"/>
          <w:szCs w:val="32"/>
        </w:rPr>
        <w:t>——</w:t>
      </w:r>
      <w:r>
        <w:rPr>
          <w:rFonts w:hint="eastAsia" w:ascii="宋体" w:hAnsi="宋体" w:eastAsia="方正仿宋_GBK" w:cs="方正仿宋_GBK"/>
          <w:snapToGrid w:val="0"/>
          <w:kern w:val="0"/>
          <w:sz w:val="32"/>
          <w:szCs w:val="32"/>
        </w:rPr>
        <w:t>数据资源安全防护</w:t>
      </w:r>
      <w:bookmarkEnd w:id="100"/>
      <w:bookmarkEnd w:id="101"/>
      <w:r>
        <w:rPr>
          <w:rFonts w:hint="eastAsia" w:ascii="宋体" w:hAnsi="宋体" w:eastAsia="方正仿宋_GBK" w:cs="方正仿宋_GBK"/>
          <w:snapToGrid w:val="0"/>
          <w:kern w:val="0"/>
          <w:sz w:val="32"/>
          <w:szCs w:val="32"/>
        </w:rPr>
        <w:t>。构建大数据安全防护技术体系。参照国家相关标准规范，按照“谁拥有、谁定级”和“谁使用、谁管理”的原则，开展数据安全定级和管理，采用身份认证、访问控制、数据库安全审计、异常行为监测预警、数据加密、数据脱敏、数据防泄漏等数据安全技术手段，实现数据在“产生和采集、传输、存储、使用和共享、销毁”完整生命周期内的保密性、完整性、可用性。提供跨层级、跨部门、跨业务的协同数据安全管理和服务，实现数据汇聚、数据整合与处理、数据挖掘分析、数据共享以及数据管理与治理全过程的安全防护。推进安全可靠软硬件产品在政务信息系统建设中的应用，推广国产密码在智慧城市建设领域应用，创新密码应用模式，强化关键数据资源安全防护。贯彻数据安全相关管理办法和条例，严格落实等级保护制度，强化数据安全保障、监测预警、应急处置、监督检查等方面管理，加大对数据滥用、侵犯个人隐私等行为的管理和惩戒力度。委托第三方专业监督机构，开展智慧城市重点领域的数据应用合规性监督检查。推进大数据安全技术研发与推广应用，提升数据安全防护能力。</w:t>
      </w:r>
    </w:p>
    <w:p>
      <w:pPr>
        <w:pStyle w:val="4"/>
        <w:keepNext w:val="0"/>
        <w:keepLines w:val="0"/>
        <w:spacing w:before="0" w:after="0" w:line="574" w:lineRule="exact"/>
        <w:ind w:firstLine="640" w:firstLineChars="200"/>
        <w:rPr>
          <w:rFonts w:ascii="宋体" w:hAnsi="宋体" w:eastAsia="方正楷体_GBK"/>
          <w:b w:val="0"/>
        </w:rPr>
      </w:pPr>
      <w:bookmarkStart w:id="102" w:name="_Toc12022"/>
      <w:r>
        <w:rPr>
          <w:rFonts w:ascii="宋体" w:hAnsi="宋体" w:eastAsia="方正楷体_GBK"/>
          <w:b w:val="0"/>
        </w:rPr>
        <w:t>（</w:t>
      </w:r>
      <w:r>
        <w:rPr>
          <w:rFonts w:hint="eastAsia" w:ascii="宋体" w:hAnsi="宋体" w:eastAsia="方正楷体_GBK"/>
          <w:b w:val="0"/>
        </w:rPr>
        <w:t>二</w:t>
      </w:r>
      <w:r>
        <w:rPr>
          <w:rFonts w:ascii="宋体" w:hAnsi="宋体" w:eastAsia="方正楷体_GBK"/>
          <w:b w:val="0"/>
        </w:rPr>
        <w:t>）</w:t>
      </w:r>
      <w:r>
        <w:rPr>
          <w:rFonts w:hint="eastAsia" w:ascii="宋体" w:hAnsi="宋体" w:eastAsia="方正楷体_GBK"/>
          <w:b w:val="0"/>
        </w:rPr>
        <w:t>强化民生服务、建设生态宜居城市</w:t>
      </w:r>
      <w:bookmarkEnd w:id="84"/>
      <w:bookmarkEnd w:id="85"/>
      <w:bookmarkEnd w:id="86"/>
      <w:bookmarkEnd w:id="87"/>
      <w:bookmarkEnd w:id="102"/>
    </w:p>
    <w:p>
      <w:pPr>
        <w:spacing w:line="574" w:lineRule="exact"/>
        <w:ind w:firstLine="640" w:firstLineChars="200"/>
        <w:rPr>
          <w:rFonts w:ascii="宋体" w:hAnsi="宋体" w:eastAsia="方正仿宋_GBK" w:cs="宋体"/>
          <w:kern w:val="0"/>
          <w:sz w:val="32"/>
          <w:szCs w:val="32"/>
        </w:rPr>
      </w:pPr>
      <w:r>
        <w:rPr>
          <w:rFonts w:ascii="宋体" w:hAnsi="宋体" w:eastAsia="方正仿宋_GBK" w:cs="宋体"/>
          <w:kern w:val="0"/>
          <w:sz w:val="32"/>
          <w:szCs w:val="32"/>
        </w:rPr>
        <w:t>通过智慧民生信息服务体系的建设，引导全社会积极应用云计算、大数据、物联网等先进信息技术，建设网络化、智慧化、精准化、定制化、规范化的民生服务体系，提升民生幸福水平，建设生态宜居城市。</w:t>
      </w:r>
    </w:p>
    <w:p>
      <w:pPr>
        <w:pStyle w:val="5"/>
        <w:keepNext w:val="0"/>
        <w:keepLines w:val="0"/>
        <w:spacing w:before="0" w:after="0" w:line="574" w:lineRule="exact"/>
        <w:ind w:firstLine="642" w:firstLineChars="200"/>
        <w:rPr>
          <w:rFonts w:ascii="宋体" w:hAnsi="宋体" w:eastAsia="方正仿宋_GBK"/>
          <w:kern w:val="0"/>
        </w:rPr>
      </w:pPr>
      <w:bookmarkStart w:id="103" w:name="_Toc128"/>
      <w:bookmarkStart w:id="104" w:name="_Toc28172"/>
      <w:r>
        <w:rPr>
          <w:rFonts w:hint="eastAsia" w:ascii="Times New Roman" w:hAnsi="Times New Roman" w:eastAsia="方正仿宋_GBK"/>
          <w:kern w:val="0"/>
        </w:rPr>
        <w:t>1</w:t>
      </w:r>
      <w:r>
        <w:rPr>
          <w:rFonts w:hint="eastAsia" w:ascii="宋体" w:hAnsi="宋体" w:eastAsia="方正仿宋_GBK"/>
          <w:kern w:val="0"/>
        </w:rPr>
        <w:t>．</w:t>
      </w:r>
      <w:r>
        <w:rPr>
          <w:rFonts w:ascii="宋体" w:hAnsi="宋体" w:eastAsia="方正仿宋_GBK"/>
          <w:kern w:val="0"/>
        </w:rPr>
        <w:t>智慧教育</w:t>
      </w:r>
      <w:bookmarkEnd w:id="103"/>
      <w:bookmarkEnd w:id="104"/>
    </w:p>
    <w:p>
      <w:pPr>
        <w:spacing w:line="574" w:lineRule="exact"/>
        <w:ind w:firstLine="640" w:firstLineChars="200"/>
        <w:rPr>
          <w:rFonts w:ascii="宋体" w:hAnsi="宋体" w:eastAsia="方正仿宋_GBK" w:cs="宋体"/>
          <w:kern w:val="0"/>
          <w:sz w:val="32"/>
          <w:szCs w:val="32"/>
        </w:rPr>
      </w:pPr>
      <w:r>
        <w:rPr>
          <w:rFonts w:ascii="宋体" w:hAnsi="宋体" w:eastAsia="方正仿宋_GBK" w:cs="宋体"/>
          <w:kern w:val="0"/>
          <w:sz w:val="32"/>
          <w:szCs w:val="32"/>
        </w:rPr>
        <w:t>推动人才培养模式和教育服务体系改革，构建与教育现代化目标相适应的“人人皆学、处处能学、时时可学”的智慧教育服务体系，实现教育服务网络化、数字化、智能化、个性化、终身化。按照教育信息化“云-管-端”架构的建设模式，建设“</w:t>
      </w:r>
      <w:r>
        <w:rPr>
          <w:rFonts w:hint="eastAsia" w:ascii="宋体" w:hAnsi="宋体" w:eastAsia="方正仿宋_GBK" w:cs="宋体"/>
          <w:kern w:val="0"/>
          <w:sz w:val="32"/>
          <w:szCs w:val="32"/>
        </w:rPr>
        <w:t>黔江</w:t>
      </w:r>
      <w:r>
        <w:rPr>
          <w:rFonts w:ascii="宋体" w:hAnsi="宋体" w:eastAsia="方正仿宋_GBK" w:cs="宋体"/>
          <w:kern w:val="0"/>
          <w:sz w:val="32"/>
          <w:szCs w:val="32"/>
        </w:rPr>
        <w:t>云”智慧教育云平台，实现一级建设两级应用。完善</w:t>
      </w:r>
      <w:r>
        <w:rPr>
          <w:rFonts w:hint="eastAsia" w:ascii="宋体" w:hAnsi="宋体" w:eastAsia="方正仿宋_GBK" w:cs="宋体"/>
          <w:kern w:val="0"/>
          <w:sz w:val="32"/>
          <w:szCs w:val="32"/>
        </w:rPr>
        <w:t>黔江</w:t>
      </w:r>
      <w:r>
        <w:rPr>
          <w:rFonts w:ascii="宋体" w:hAnsi="宋体" w:eastAsia="方正仿宋_GBK" w:cs="宋体"/>
          <w:kern w:val="0"/>
          <w:sz w:val="32"/>
          <w:szCs w:val="32"/>
        </w:rPr>
        <w:t>区教育城域网、校园网络和智慧教育基础设施，实现提速增效。大力推进智慧校园和云课堂试点建设，促进示范效应和教育智能化水平。到</w:t>
      </w:r>
      <w:r>
        <w:rPr>
          <w:rFonts w:ascii="Times New Roman" w:hAnsi="Times New Roman" w:eastAsia="方正仿宋_GBK" w:cs="宋体"/>
          <w:kern w:val="0"/>
          <w:sz w:val="32"/>
          <w:szCs w:val="32"/>
        </w:rPr>
        <w:t>2022</w:t>
      </w:r>
      <w:r>
        <w:rPr>
          <w:rFonts w:ascii="宋体" w:hAnsi="宋体" w:eastAsia="方正仿宋_GBK" w:cs="宋体"/>
          <w:kern w:val="0"/>
          <w:sz w:val="32"/>
          <w:szCs w:val="32"/>
        </w:rPr>
        <w:t>年，基本实现“三全两高”目标，即教学应用覆盖全体教师、学习应用覆盖全体适龄学生、数字校园建设覆盖全体学校，信息化应用水平和师生信息素养普遍提高，智慧教育总体水平跻身重庆市区县前列。</w:t>
      </w:r>
    </w:p>
    <w:p>
      <w:pPr>
        <w:spacing w:line="574" w:lineRule="exact"/>
        <w:jc w:val="center"/>
        <w:rPr>
          <w:rFonts w:hint="eastAsia" w:ascii="宋体" w:hAnsi="宋体" w:eastAsia="方正黑体_GBK" w:cs="宋体"/>
          <w:kern w:val="0"/>
          <w:sz w:val="32"/>
          <w:szCs w:val="32"/>
        </w:rPr>
      </w:pPr>
      <w:r>
        <w:rPr>
          <w:rFonts w:hint="eastAsia" w:ascii="宋体" w:hAnsi="宋体" w:eastAsia="方正黑体_GBK" w:cs="宋体"/>
          <w:kern w:val="0"/>
          <w:sz w:val="32"/>
          <w:szCs w:val="32"/>
        </w:rPr>
        <w:t>专栏</w:t>
      </w:r>
      <w:r>
        <w:rPr>
          <w:rFonts w:hint="eastAsia" w:ascii="Times New Roman" w:hAnsi="Times New Roman" w:eastAsia="方正黑体_GBK" w:cs="宋体"/>
          <w:kern w:val="0"/>
          <w:sz w:val="32"/>
          <w:szCs w:val="32"/>
        </w:rPr>
        <w:t>9</w:t>
      </w:r>
      <w:r>
        <w:rPr>
          <w:rFonts w:hint="eastAsia" w:ascii="宋体" w:hAnsi="宋体" w:eastAsia="方正黑体_GBK" w:cs="宋体"/>
          <w:kern w:val="0"/>
          <w:sz w:val="32"/>
          <w:szCs w:val="32"/>
        </w:rPr>
        <w:t>：智慧教育重点工程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adjustRightInd w:val="0"/>
              <w:snapToGrid w:val="0"/>
              <w:spacing w:line="540" w:lineRule="exact"/>
              <w:ind w:firstLine="562" w:firstLineChars="200"/>
              <w:rPr>
                <w:rFonts w:hint="eastAsia" w:ascii="宋体" w:hAnsi="宋体" w:eastAsia="方正仿宋_GBK"/>
                <w:sz w:val="28"/>
                <w:szCs w:val="28"/>
              </w:rPr>
            </w:pPr>
            <w:r>
              <w:rPr>
                <w:rFonts w:hint="eastAsia" w:ascii="宋体" w:hAnsi="宋体" w:eastAsia="方正仿宋_GBK"/>
                <w:b/>
                <w:sz w:val="28"/>
                <w:szCs w:val="28"/>
              </w:rPr>
              <w:t>“黔教云”</w:t>
            </w:r>
            <w:r>
              <w:rPr>
                <w:rFonts w:hint="eastAsia" w:ascii="宋体" w:hAnsi="宋体" w:eastAsia="方正仿宋_GBK" w:cs="宋体"/>
                <w:b/>
                <w:kern w:val="0"/>
                <w:sz w:val="28"/>
                <w:szCs w:val="28"/>
              </w:rPr>
              <w:t>智慧教育云平台建设。</w:t>
            </w:r>
            <w:r>
              <w:rPr>
                <w:rFonts w:hint="eastAsia" w:ascii="宋体" w:hAnsi="宋体" w:eastAsia="方正仿宋_GBK"/>
                <w:sz w:val="28"/>
                <w:szCs w:val="28"/>
              </w:rPr>
              <w:t>结合黔江区新型智慧城市建设，搭建“黔教云”智慧教育云平台，无缝对接区级数据资源共享系统，整合现有资源平台、录播互动教学系统等，推动全区教育信息系统数据跨部门共享。建设可随时随地通过（</w:t>
            </w:r>
            <w:r>
              <w:rPr>
                <w:rFonts w:hint="eastAsia" w:ascii="Times New Roman" w:hAnsi="Times New Roman" w:eastAsia="方正仿宋_GBK"/>
                <w:sz w:val="28"/>
                <w:szCs w:val="28"/>
              </w:rPr>
              <w:t>PC</w:t>
            </w:r>
            <w:r>
              <w:rPr>
                <w:rFonts w:hint="eastAsia" w:ascii="宋体" w:hAnsi="宋体" w:eastAsia="方正仿宋_GBK"/>
                <w:sz w:val="28"/>
                <w:szCs w:val="28"/>
              </w:rPr>
              <w:t>、PAD、手机、互动电视等方式）全方位提供云服务的智慧教育云平台，实现用户业务数据和行为数据的采集，构建校园大数据基础平台，提供精准教学、精准学习和精准管理的教育大数据服务，提升教学质量，促进家校共育，重构教学评价体系。</w:t>
            </w:r>
          </w:p>
          <w:p>
            <w:pPr>
              <w:adjustRightInd w:val="0"/>
              <w:snapToGrid w:val="0"/>
              <w:spacing w:line="540" w:lineRule="exact"/>
              <w:ind w:firstLine="562" w:firstLineChars="200"/>
              <w:rPr>
                <w:rFonts w:hint="eastAsia" w:ascii="宋体" w:hAnsi="宋体" w:eastAsia="方正仿宋_GBK" w:cs="宋体"/>
                <w:kern w:val="0"/>
                <w:sz w:val="28"/>
                <w:szCs w:val="28"/>
              </w:rPr>
            </w:pPr>
            <w:r>
              <w:rPr>
                <w:rFonts w:hint="eastAsia" w:ascii="宋体" w:hAnsi="宋体" w:eastAsia="方正仿宋_GBK" w:cs="宋体"/>
                <w:b/>
                <w:kern w:val="0"/>
                <w:sz w:val="28"/>
                <w:szCs w:val="28"/>
              </w:rPr>
              <w:t>区教育城域网优化升级工程。</w:t>
            </w:r>
            <w:r>
              <w:rPr>
                <w:rFonts w:hint="eastAsia" w:ascii="宋体" w:hAnsi="宋体" w:eastAsia="方正仿宋_GBK" w:cs="宋体"/>
                <w:kern w:val="0"/>
                <w:sz w:val="28"/>
                <w:szCs w:val="28"/>
              </w:rPr>
              <w:t>升级现有教育城域网，改造学校校园网络，实现提速增效。所有学校完成光纤化接入，出口带宽不低于</w:t>
            </w:r>
            <w:r>
              <w:rPr>
                <w:rFonts w:hint="eastAsia" w:ascii="Times New Roman" w:hAnsi="Times New Roman" w:eastAsia="方正仿宋_GBK" w:cs="宋体"/>
                <w:kern w:val="0"/>
                <w:sz w:val="28"/>
                <w:szCs w:val="28"/>
              </w:rPr>
              <w:t>200</w:t>
            </w:r>
            <w:r>
              <w:rPr>
                <w:rFonts w:hint="eastAsia" w:ascii="宋体" w:hAnsi="宋体" w:eastAsia="方正仿宋_GBK" w:cs="宋体"/>
                <w:kern w:val="0"/>
                <w:sz w:val="28"/>
                <w:szCs w:val="28"/>
              </w:rPr>
              <w:t>Mbps，云中心与运营商机房、重庆市教育宽带网万兆连接、千兆到校，真正实现宽带网络校校通。</w:t>
            </w:r>
          </w:p>
          <w:p>
            <w:pPr>
              <w:adjustRightInd w:val="0"/>
              <w:snapToGrid w:val="0"/>
              <w:spacing w:line="540" w:lineRule="exact"/>
              <w:ind w:firstLine="562" w:firstLineChars="200"/>
              <w:rPr>
                <w:rFonts w:hint="eastAsia" w:ascii="宋体" w:hAnsi="宋体" w:eastAsia="方正仿宋_GBK" w:cs="宋体"/>
                <w:kern w:val="0"/>
                <w:sz w:val="28"/>
                <w:szCs w:val="28"/>
              </w:rPr>
            </w:pPr>
            <w:r>
              <w:rPr>
                <w:rFonts w:hint="eastAsia" w:ascii="宋体" w:hAnsi="宋体" w:eastAsia="方正仿宋_GBK" w:cs="宋体"/>
                <w:b/>
                <w:kern w:val="0"/>
                <w:sz w:val="28"/>
                <w:szCs w:val="28"/>
              </w:rPr>
              <w:t>智慧校园试点建设。</w:t>
            </w:r>
            <w:r>
              <w:rPr>
                <w:rFonts w:hint="eastAsia" w:ascii="宋体" w:hAnsi="宋体" w:eastAsia="方正仿宋_GBK"/>
                <w:sz w:val="28"/>
                <w:szCs w:val="28"/>
              </w:rPr>
              <w:t>实施智慧校园示范校建设和云课堂试点工作。综合运用智能感知、物联网、移动互联、云计算、大数据、社交网络、虚拟现实等新一代信息技术，建设感知校园物理环境，识别师生群体的学习、工作情景和个体特征的智慧校园；将学校物理空间和信息空间有机衔接，为师生建立智能开放的教育教学环境和便利舒适的工作生活环境，提供以人为本的个性化创新服务；通过“黔教云”平台，开展云课堂教学模式。</w:t>
            </w:r>
          </w:p>
        </w:tc>
      </w:tr>
    </w:tbl>
    <w:p>
      <w:pPr>
        <w:pStyle w:val="5"/>
        <w:keepNext w:val="0"/>
        <w:keepLines w:val="0"/>
        <w:spacing w:before="0" w:after="0" w:line="574" w:lineRule="exact"/>
        <w:ind w:firstLine="642" w:firstLineChars="200"/>
        <w:rPr>
          <w:rFonts w:ascii="宋体" w:hAnsi="宋体" w:eastAsia="方正仿宋_GBK"/>
          <w:kern w:val="0"/>
        </w:rPr>
      </w:pPr>
      <w:bookmarkStart w:id="105" w:name="_Toc24396"/>
      <w:bookmarkStart w:id="106" w:name="_Toc11493"/>
      <w:r>
        <w:rPr>
          <w:rFonts w:hint="eastAsia" w:ascii="Times New Roman" w:hAnsi="Times New Roman" w:eastAsia="方正仿宋_GBK"/>
          <w:kern w:val="0"/>
        </w:rPr>
        <w:t>2</w:t>
      </w:r>
      <w:r>
        <w:rPr>
          <w:rFonts w:hint="eastAsia" w:ascii="宋体" w:hAnsi="宋体" w:eastAsia="方正仿宋_GBK"/>
          <w:kern w:val="0"/>
        </w:rPr>
        <w:t>．</w:t>
      </w:r>
      <w:r>
        <w:rPr>
          <w:rFonts w:ascii="宋体" w:hAnsi="宋体" w:eastAsia="方正仿宋_GBK"/>
          <w:kern w:val="0"/>
        </w:rPr>
        <w:t>智慧医疗</w:t>
      </w:r>
      <w:bookmarkEnd w:id="105"/>
      <w:bookmarkEnd w:id="106"/>
    </w:p>
    <w:p>
      <w:pPr>
        <w:spacing w:line="574" w:lineRule="exact"/>
        <w:ind w:firstLine="640" w:firstLineChars="200"/>
        <w:rPr>
          <w:rFonts w:ascii="宋体" w:hAnsi="宋体" w:eastAsia="方正仿宋_GBK" w:cs="宋体"/>
          <w:kern w:val="0"/>
          <w:sz w:val="32"/>
          <w:szCs w:val="32"/>
        </w:rPr>
      </w:pPr>
      <w:r>
        <w:rPr>
          <w:rFonts w:hint="eastAsia" w:ascii="宋体" w:hAnsi="宋体" w:eastAsia="方正仿宋_GBK"/>
          <w:sz w:val="32"/>
          <w:szCs w:val="32"/>
        </w:rPr>
        <w:t>构建以人为中心，横跨医疗、人口、健康体系，覆盖医疗服务、公共卫生、药品保障、综合管理等多个方面的全生命周期医疗健康服务管理新体系。完善全民健康信息平台数据库，以“人口家庭、电子健康档案、电子病历”数据资源库为基础，以居民全生命周期健康管理和医疗卫生全流程智能服务为指引，强化业务驱动的医疗健康数据整合，实现基于人口家庭基础数据的出生信息、死亡信息、公共卫生服务等业务应用交互，形成健康智能服务大数据资源体系。在全区范围内实施“互联网+”健康医疗便民惠民服务，推行电子健康档案，推进健康医疗大数据应用，建立健康数据与智慧城市平台共享交换机制。积极推进中心医院、区中医院等医疗卫生机构信息基础设施提档升级，实现“智慧医院”示范建设；以新型信息基础设施为支撑，建设基于健康医疗大数据的临床辅助诊断、跟踪监测、健康管理、科研支撑和决策支持等服务功能的智慧医院。逐步构建标准规范、智能精准、开放共享、公平高效的智慧医疗和健康信息服务体系。</w:t>
      </w:r>
    </w:p>
    <w:p>
      <w:pPr>
        <w:spacing w:line="574" w:lineRule="exact"/>
        <w:jc w:val="center"/>
        <w:rPr>
          <w:rFonts w:hint="eastAsia" w:ascii="宋体" w:hAnsi="宋体" w:eastAsia="方正黑体_GBK"/>
          <w:kern w:val="0"/>
          <w:sz w:val="32"/>
          <w:szCs w:val="32"/>
        </w:rPr>
      </w:pPr>
      <w:r>
        <w:rPr>
          <w:rFonts w:hint="eastAsia" w:ascii="宋体" w:hAnsi="宋体" w:eastAsia="方正黑体_GBK"/>
          <w:kern w:val="0"/>
          <w:sz w:val="32"/>
          <w:szCs w:val="32"/>
        </w:rPr>
        <w:t>专栏</w:t>
      </w:r>
      <w:r>
        <w:rPr>
          <w:rFonts w:hint="eastAsia" w:ascii="Times New Roman" w:hAnsi="Times New Roman" w:eastAsia="方正黑体_GBK"/>
          <w:kern w:val="0"/>
          <w:sz w:val="32"/>
          <w:szCs w:val="32"/>
        </w:rPr>
        <w:t>10</w:t>
      </w:r>
      <w:r>
        <w:rPr>
          <w:rFonts w:hint="eastAsia" w:ascii="宋体" w:hAnsi="宋体" w:eastAsia="方正黑体_GBK"/>
          <w:kern w:val="0"/>
          <w:sz w:val="32"/>
          <w:szCs w:val="32"/>
        </w:rPr>
        <w:t>：新型智慧医疗工程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adjustRightInd w:val="0"/>
              <w:snapToGrid w:val="0"/>
              <w:spacing w:line="540" w:lineRule="exact"/>
              <w:ind w:firstLine="562" w:firstLineChars="200"/>
              <w:rPr>
                <w:rFonts w:ascii="宋体" w:hAnsi="宋体" w:eastAsia="方正仿宋_GBK" w:cs="宋体"/>
                <w:kern w:val="0"/>
                <w:sz w:val="28"/>
                <w:szCs w:val="28"/>
              </w:rPr>
            </w:pPr>
            <w:r>
              <w:rPr>
                <w:rFonts w:ascii="宋体" w:hAnsi="宋体" w:eastAsia="方正仿宋_GBK" w:cs="宋体"/>
                <w:b/>
                <w:kern w:val="0"/>
                <w:sz w:val="28"/>
                <w:szCs w:val="28"/>
              </w:rPr>
              <w:t>全民健康信息平台。</w:t>
            </w:r>
            <w:r>
              <w:rPr>
                <w:rFonts w:ascii="宋体" w:hAnsi="宋体" w:eastAsia="方正仿宋_GBK" w:cs="宋体"/>
                <w:kern w:val="0"/>
                <w:sz w:val="28"/>
                <w:szCs w:val="28"/>
              </w:rPr>
              <w:t>依托</w:t>
            </w:r>
            <w:r>
              <w:rPr>
                <w:rFonts w:hint="eastAsia" w:ascii="宋体" w:hAnsi="宋体" w:eastAsia="方正仿宋_GBK" w:cs="宋体"/>
                <w:kern w:val="0"/>
                <w:sz w:val="28"/>
                <w:szCs w:val="28"/>
              </w:rPr>
              <w:t>黔江</w:t>
            </w:r>
            <w:r>
              <w:rPr>
                <w:rFonts w:ascii="宋体" w:hAnsi="宋体" w:eastAsia="方正仿宋_GBK" w:cs="宋体"/>
                <w:kern w:val="0"/>
                <w:sz w:val="28"/>
                <w:szCs w:val="28"/>
              </w:rPr>
              <w:t>区新型智慧城市建设，建立一个开放的、标准的、统一的全民健康信息平台。实现智能设备对慢性病和个人健康状况的试点监测应用，智能监测设备采集数据通过全民健康信息平台实现共享应用。</w:t>
            </w:r>
          </w:p>
          <w:p>
            <w:pPr>
              <w:adjustRightInd w:val="0"/>
              <w:snapToGrid w:val="0"/>
              <w:spacing w:line="540" w:lineRule="exact"/>
              <w:ind w:firstLine="562" w:firstLineChars="200"/>
              <w:rPr>
                <w:rFonts w:hint="eastAsia" w:ascii="宋体" w:hAnsi="宋体" w:eastAsia="方正仿宋_GBK" w:cs="宋体"/>
                <w:kern w:val="0"/>
                <w:sz w:val="28"/>
                <w:szCs w:val="28"/>
              </w:rPr>
            </w:pPr>
            <w:r>
              <w:rPr>
                <w:rFonts w:ascii="宋体" w:hAnsi="宋体" w:eastAsia="方正仿宋_GBK" w:cs="宋体"/>
                <w:b/>
                <w:kern w:val="0"/>
                <w:sz w:val="28"/>
                <w:szCs w:val="28"/>
              </w:rPr>
              <w:t>智慧医院建设。</w:t>
            </w:r>
            <w:r>
              <w:rPr>
                <w:rFonts w:ascii="宋体" w:hAnsi="宋体" w:eastAsia="方正仿宋_GBK" w:cs="宋体"/>
                <w:kern w:val="0"/>
                <w:sz w:val="28"/>
                <w:szCs w:val="28"/>
              </w:rPr>
              <w:t>通过建设丰富的前端感知体系，搭建医院物联网，升级改造区</w:t>
            </w:r>
            <w:r>
              <w:rPr>
                <w:rFonts w:hint="eastAsia" w:ascii="宋体" w:hAnsi="宋体" w:eastAsia="方正仿宋_GBK" w:cs="宋体"/>
                <w:kern w:val="0"/>
                <w:sz w:val="28"/>
                <w:szCs w:val="28"/>
              </w:rPr>
              <w:t>中心</w:t>
            </w:r>
            <w:r>
              <w:rPr>
                <w:rFonts w:ascii="宋体" w:hAnsi="宋体" w:eastAsia="方正仿宋_GBK" w:cs="宋体"/>
                <w:kern w:val="0"/>
                <w:sz w:val="28"/>
                <w:szCs w:val="28"/>
              </w:rPr>
              <w:t>医院、区中医院信息基础设施，建设</w:t>
            </w:r>
            <w:r>
              <w:rPr>
                <w:rFonts w:hint="eastAsia" w:ascii="宋体" w:hAnsi="宋体" w:eastAsia="方正仿宋_GBK" w:cs="宋体"/>
                <w:kern w:val="0"/>
                <w:sz w:val="28"/>
                <w:szCs w:val="28"/>
              </w:rPr>
              <w:t>黔江</w:t>
            </w:r>
            <w:r>
              <w:rPr>
                <w:rFonts w:ascii="宋体" w:hAnsi="宋体" w:eastAsia="方正仿宋_GBK" w:cs="宋体"/>
                <w:kern w:val="0"/>
                <w:sz w:val="28"/>
                <w:szCs w:val="28"/>
              </w:rPr>
              <w:t>区特色智慧医院，实现病人诊疗信息和行政管理信息的收集、存储、处理、提取及数据交换。</w:t>
            </w:r>
          </w:p>
        </w:tc>
      </w:tr>
    </w:tbl>
    <w:p>
      <w:pPr>
        <w:pStyle w:val="5"/>
        <w:keepNext w:val="0"/>
        <w:keepLines w:val="0"/>
        <w:spacing w:before="0" w:after="0" w:line="574" w:lineRule="exact"/>
        <w:ind w:firstLine="642" w:firstLineChars="200"/>
        <w:rPr>
          <w:rFonts w:hint="eastAsia" w:ascii="宋体" w:hAnsi="宋体" w:eastAsia="方正仿宋_GBK"/>
          <w:kern w:val="0"/>
        </w:rPr>
      </w:pPr>
      <w:bookmarkStart w:id="107" w:name="_Toc22224"/>
      <w:bookmarkStart w:id="108" w:name="_Toc8716"/>
      <w:r>
        <w:rPr>
          <w:rFonts w:hint="eastAsia" w:ascii="Times New Roman" w:hAnsi="Times New Roman" w:eastAsia="方正仿宋_GBK"/>
          <w:kern w:val="0"/>
        </w:rPr>
        <w:t>3</w:t>
      </w:r>
      <w:r>
        <w:rPr>
          <w:rFonts w:hint="eastAsia" w:ascii="宋体" w:hAnsi="宋体" w:eastAsia="方正仿宋_GBK"/>
          <w:kern w:val="0"/>
        </w:rPr>
        <w:t>．智慧社保</w:t>
      </w:r>
      <w:bookmarkEnd w:id="107"/>
      <w:bookmarkEnd w:id="108"/>
    </w:p>
    <w:p>
      <w:pPr>
        <w:spacing w:line="574" w:lineRule="exact"/>
        <w:ind w:firstLine="640" w:firstLineChars="200"/>
        <w:rPr>
          <w:rFonts w:ascii="宋体" w:hAnsi="宋体" w:eastAsia="方正仿宋_GBK" w:cs="宋体"/>
          <w:kern w:val="0"/>
          <w:sz w:val="32"/>
          <w:szCs w:val="32"/>
        </w:rPr>
      </w:pPr>
      <w:r>
        <w:rPr>
          <w:rFonts w:ascii="宋体" w:hAnsi="宋体" w:eastAsia="方正仿宋_GBK" w:cs="宋体"/>
          <w:kern w:val="0"/>
          <w:sz w:val="32"/>
          <w:szCs w:val="32"/>
        </w:rPr>
        <w:t>加快形成标准规范统一、城乡网络覆盖、信息互通共享，业务应用融合、公共服务创新、安全稳妥的智慧就业和智慧社保服务体系。通过数据平台和BI（商务智能）应用建设，搭建智慧社保综合管理平台，对各类业务进行前瞻性预测及分析，如低保人群智能识别，中级、高级职称等级人才储备智能统计分析，为</w:t>
      </w:r>
      <w:r>
        <w:rPr>
          <w:rFonts w:hint="eastAsia" w:ascii="宋体" w:hAnsi="宋体" w:eastAsia="方正仿宋_GBK" w:cs="宋体"/>
          <w:kern w:val="0"/>
          <w:sz w:val="32"/>
          <w:szCs w:val="32"/>
        </w:rPr>
        <w:t>黔江</w:t>
      </w:r>
      <w:r>
        <w:rPr>
          <w:rFonts w:ascii="宋体" w:hAnsi="宋体" w:eastAsia="方正仿宋_GBK" w:cs="宋体"/>
          <w:kern w:val="0"/>
          <w:sz w:val="32"/>
          <w:szCs w:val="32"/>
        </w:rPr>
        <w:t>区人社局所服务的各层次用户提供统一的决策分析支持，提升数据共享与流转能力；同时为求职人员量身定制、精准匹配工作岗位。</w:t>
      </w:r>
    </w:p>
    <w:p>
      <w:pPr>
        <w:spacing w:line="574" w:lineRule="exact"/>
        <w:jc w:val="center"/>
        <w:rPr>
          <w:rFonts w:ascii="宋体" w:hAnsi="宋体" w:eastAsia="方正黑体_GBK" w:cs="宋体"/>
          <w:kern w:val="0"/>
          <w:sz w:val="32"/>
          <w:szCs w:val="32"/>
        </w:rPr>
      </w:pPr>
      <w:r>
        <w:rPr>
          <w:rFonts w:ascii="宋体" w:hAnsi="宋体" w:eastAsia="方正黑体_GBK" w:cs="宋体"/>
          <w:kern w:val="0"/>
          <w:sz w:val="32"/>
          <w:szCs w:val="32"/>
        </w:rPr>
        <w:t>专栏</w:t>
      </w:r>
      <w:r>
        <w:rPr>
          <w:rFonts w:hint="eastAsia" w:ascii="Times New Roman" w:hAnsi="Times New Roman" w:eastAsia="方正黑体_GBK" w:cs="宋体"/>
          <w:kern w:val="0"/>
          <w:sz w:val="32"/>
          <w:szCs w:val="32"/>
        </w:rPr>
        <w:t>11</w:t>
      </w:r>
      <w:r>
        <w:rPr>
          <w:rFonts w:ascii="宋体" w:hAnsi="宋体" w:eastAsia="方正黑体_GBK" w:cs="宋体"/>
          <w:kern w:val="0"/>
          <w:sz w:val="32"/>
          <w:szCs w:val="32"/>
        </w:rPr>
        <w:t>：智慧社保综合管理平台</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center"/>
          </w:tcPr>
          <w:p>
            <w:pPr>
              <w:adjustRightInd w:val="0"/>
              <w:snapToGrid w:val="0"/>
              <w:spacing w:line="540" w:lineRule="exact"/>
              <w:ind w:firstLine="562" w:firstLineChars="200"/>
              <w:rPr>
                <w:rFonts w:hint="eastAsia" w:ascii="宋体" w:hAnsi="宋体" w:eastAsia="方正仿宋_GBK"/>
                <w:snapToGrid w:val="0"/>
                <w:sz w:val="28"/>
                <w:szCs w:val="28"/>
              </w:rPr>
            </w:pPr>
            <w:r>
              <w:rPr>
                <w:rFonts w:hint="eastAsia" w:ascii="宋体" w:hAnsi="宋体" w:eastAsia="方正仿宋_GBK"/>
                <w:b/>
                <w:sz w:val="28"/>
                <w:szCs w:val="28"/>
              </w:rPr>
              <w:t>智慧社保应用。</w:t>
            </w:r>
            <w:r>
              <w:rPr>
                <w:rFonts w:hint="eastAsia" w:ascii="宋体" w:hAnsi="宋体" w:eastAsia="方正仿宋_GBK"/>
                <w:sz w:val="28"/>
                <w:szCs w:val="28"/>
              </w:rPr>
              <w:t>建立资源管理清单，提供统一认证、标准开放的数据接口，采用所有数据资源集中在云端的总体架构方式建设黔江区智慧社保综合管理平台。</w:t>
            </w:r>
          </w:p>
        </w:tc>
      </w:tr>
    </w:tbl>
    <w:p>
      <w:pPr>
        <w:pStyle w:val="5"/>
        <w:keepNext w:val="0"/>
        <w:keepLines w:val="0"/>
        <w:spacing w:before="0" w:after="0" w:line="574" w:lineRule="exact"/>
        <w:ind w:firstLine="642" w:firstLineChars="200"/>
        <w:rPr>
          <w:rFonts w:hint="eastAsia" w:ascii="宋体" w:hAnsi="宋体" w:eastAsia="方正仿宋_GBK"/>
          <w:kern w:val="0"/>
        </w:rPr>
      </w:pPr>
      <w:bookmarkStart w:id="109" w:name="_Toc12459"/>
      <w:bookmarkStart w:id="110" w:name="_Toc27205"/>
      <w:r>
        <w:rPr>
          <w:rFonts w:hint="eastAsia" w:ascii="Times New Roman" w:hAnsi="Times New Roman" w:eastAsia="方正仿宋_GBK"/>
          <w:kern w:val="0"/>
        </w:rPr>
        <w:t>4</w:t>
      </w:r>
      <w:r>
        <w:rPr>
          <w:rFonts w:ascii="宋体" w:hAnsi="宋体" w:eastAsia="方正仿宋_GBK"/>
          <w:kern w:val="0"/>
        </w:rPr>
        <w:t>．智慧</w:t>
      </w:r>
      <w:r>
        <w:rPr>
          <w:rFonts w:hint="eastAsia" w:ascii="宋体" w:hAnsi="宋体" w:eastAsia="方正仿宋_GBK"/>
          <w:kern w:val="0"/>
        </w:rPr>
        <w:t>民政</w:t>
      </w:r>
      <w:bookmarkEnd w:id="109"/>
      <w:bookmarkEnd w:id="110"/>
    </w:p>
    <w:p>
      <w:pPr>
        <w:spacing w:line="574" w:lineRule="exact"/>
        <w:ind w:firstLine="640" w:firstLineChars="200"/>
        <w:rPr>
          <w:rFonts w:ascii="宋体" w:hAnsi="宋体" w:eastAsia="方正仿宋_GBK" w:cs="宋体"/>
          <w:kern w:val="0"/>
          <w:sz w:val="32"/>
          <w:szCs w:val="32"/>
        </w:rPr>
      </w:pPr>
      <w:r>
        <w:rPr>
          <w:rFonts w:hint="eastAsia" w:ascii="宋体" w:hAnsi="宋体" w:eastAsia="方正仿宋_GBK" w:cs="方正仿宋_GBK"/>
          <w:snapToGrid w:val="0"/>
          <w:kern w:val="0"/>
          <w:sz w:val="32"/>
          <w:szCs w:val="32"/>
        </w:rPr>
        <w:t>加快线上线下相结合的智慧社区服务体系建设，为市民提供政务服务、公共服务、便民服务、物业服务、养老服务等多种服务，提升社区民生幸福感，提高社区治理能力，增强社区信息化水平。</w:t>
      </w:r>
      <w:r>
        <w:rPr>
          <w:rFonts w:ascii="宋体" w:hAnsi="宋体" w:eastAsia="方正仿宋_GBK" w:cs="宋体"/>
          <w:kern w:val="0"/>
          <w:sz w:val="32"/>
          <w:szCs w:val="32"/>
        </w:rPr>
        <w:t>以信息为基础，通过对数据的整合与挖掘，提升民政社会管理的服务水平，加强民政社会管理的科学决策。以社区为依托，老年人群为服务对象，企事业服务机构为网点，信息化平台为支撑，建立全方位的养老服务体系，推动家庭和谐、社会和谐，构建</w:t>
      </w:r>
      <w:r>
        <w:rPr>
          <w:rFonts w:hint="eastAsia" w:ascii="宋体" w:hAnsi="宋体" w:eastAsia="方正仿宋_GBK" w:cs="宋体"/>
          <w:kern w:val="0"/>
          <w:sz w:val="32"/>
          <w:szCs w:val="32"/>
        </w:rPr>
        <w:t>黔江</w:t>
      </w:r>
      <w:r>
        <w:rPr>
          <w:rFonts w:ascii="宋体" w:hAnsi="宋体" w:eastAsia="方正仿宋_GBK" w:cs="宋体"/>
          <w:kern w:val="0"/>
          <w:sz w:val="32"/>
          <w:szCs w:val="32"/>
        </w:rPr>
        <w:t>区特色民政体系。养老信息平台的建设，为老人建立一套准确详实的数据库及健康档案，以老人数据库、呼叫中心及智能终端产品为基础，构建一个符合国家养老服务的基本要求与技术标准的</w:t>
      </w:r>
      <w:r>
        <w:rPr>
          <w:rFonts w:hint="eastAsia" w:ascii="宋体" w:hAnsi="宋体" w:eastAsia="方正仿宋_GBK" w:cs="宋体"/>
          <w:kern w:val="0"/>
          <w:sz w:val="32"/>
          <w:szCs w:val="32"/>
        </w:rPr>
        <w:t>“没有围墙的养老院”；</w:t>
      </w:r>
      <w:r>
        <w:rPr>
          <w:rFonts w:ascii="宋体" w:hAnsi="宋体" w:eastAsia="方正仿宋_GBK" w:cs="宋体"/>
          <w:kern w:val="0"/>
          <w:sz w:val="32"/>
          <w:szCs w:val="32"/>
        </w:rPr>
        <w:t>快速与政府政策对接，为政府决策提供详实的数据依据。建立统一受理社会救助申请的窗口，扩大区级社会救助家庭经济状况核查平台比对数据来源范围，不断提高救助对象精准度；推进社会救助制度体系定型、完善和优化，逐步实现基本生活有保障、救助内容分类别、对象标准多层次、事业发展可持续的目标。</w:t>
      </w:r>
    </w:p>
    <w:p>
      <w:pPr>
        <w:adjustRightInd w:val="0"/>
        <w:snapToGrid w:val="0"/>
        <w:spacing w:line="574" w:lineRule="exact"/>
        <w:jc w:val="center"/>
        <w:rPr>
          <w:rFonts w:ascii="宋体" w:hAnsi="宋体" w:eastAsia="方正黑体_GBK" w:cs="宋体"/>
          <w:kern w:val="0"/>
          <w:sz w:val="32"/>
          <w:szCs w:val="32"/>
        </w:rPr>
      </w:pPr>
      <w:r>
        <w:rPr>
          <w:rFonts w:ascii="宋体" w:hAnsi="宋体" w:eastAsia="方正黑体_GBK" w:cs="宋体"/>
          <w:kern w:val="0"/>
          <w:sz w:val="32"/>
          <w:szCs w:val="32"/>
        </w:rPr>
        <w:t>专栏</w:t>
      </w:r>
      <w:r>
        <w:rPr>
          <w:rFonts w:hint="eastAsia" w:ascii="Times New Roman" w:hAnsi="Times New Roman" w:eastAsia="方正黑体_GBK" w:cs="宋体"/>
          <w:kern w:val="0"/>
          <w:sz w:val="32"/>
          <w:szCs w:val="32"/>
        </w:rPr>
        <w:t>12</w:t>
      </w:r>
      <w:r>
        <w:rPr>
          <w:rFonts w:ascii="宋体" w:hAnsi="宋体" w:eastAsia="方正黑体_GBK" w:cs="宋体"/>
          <w:kern w:val="0"/>
          <w:sz w:val="32"/>
          <w:szCs w:val="32"/>
        </w:rPr>
        <w:t>：智慧民政重点工程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adjustRightInd w:val="0"/>
              <w:snapToGrid w:val="0"/>
              <w:spacing w:line="520" w:lineRule="exact"/>
              <w:ind w:firstLine="562" w:firstLineChars="200"/>
              <w:rPr>
                <w:rFonts w:ascii="宋体" w:hAnsi="宋体" w:eastAsia="方正仿宋_GBK"/>
                <w:b/>
                <w:sz w:val="28"/>
                <w:szCs w:val="28"/>
              </w:rPr>
            </w:pPr>
            <w:r>
              <w:rPr>
                <w:rFonts w:ascii="宋体" w:hAnsi="宋体" w:eastAsia="方正仿宋_GBK"/>
                <w:b/>
                <w:snapToGrid w:val="0"/>
                <w:kern w:val="0"/>
                <w:sz w:val="28"/>
                <w:szCs w:val="28"/>
              </w:rPr>
              <w:t>智慧社区一体化管理服务平台</w:t>
            </w:r>
            <w:r>
              <w:rPr>
                <w:rFonts w:ascii="宋体" w:hAnsi="宋体" w:eastAsia="方正仿宋_GBK"/>
                <w:snapToGrid w:val="0"/>
                <w:kern w:val="0"/>
                <w:sz w:val="28"/>
                <w:szCs w:val="28"/>
              </w:rPr>
              <w:t>。</w:t>
            </w:r>
            <w:r>
              <w:rPr>
                <w:rFonts w:hint="eastAsia" w:ascii="宋体" w:hAnsi="宋体" w:eastAsia="方正仿宋_GBK"/>
                <w:snapToGrid w:val="0"/>
                <w:kern w:val="0"/>
                <w:sz w:val="28"/>
                <w:szCs w:val="28"/>
              </w:rPr>
              <w:t>落实市级智慧一体化管理服务平台的推广和使用，整合人、房、物、地、事、组织等涉区信息资源，推进互联网、大数据、云计算、物联网技术与社区服务深度融合，实现社区服务智能化、精细化、人文化、社会化及全人群覆盖、全天候受理、一站式办理</w:t>
            </w:r>
            <w:r>
              <w:rPr>
                <w:rFonts w:ascii="宋体" w:hAnsi="宋体" w:eastAsia="方正仿宋_GBK"/>
                <w:snapToGrid w:val="0"/>
                <w:kern w:val="0"/>
                <w:sz w:val="28"/>
                <w:szCs w:val="28"/>
              </w:rPr>
              <w:t>。</w:t>
            </w:r>
          </w:p>
          <w:p>
            <w:pPr>
              <w:adjustRightInd w:val="0"/>
              <w:snapToGrid w:val="0"/>
              <w:spacing w:line="520" w:lineRule="exact"/>
              <w:ind w:firstLine="562" w:firstLineChars="200"/>
              <w:rPr>
                <w:rFonts w:hint="eastAsia" w:ascii="宋体" w:hAnsi="宋体" w:eastAsia="方正仿宋_GBK"/>
                <w:sz w:val="28"/>
                <w:szCs w:val="28"/>
              </w:rPr>
            </w:pPr>
            <w:r>
              <w:rPr>
                <w:rFonts w:hint="eastAsia" w:ascii="宋体" w:hAnsi="宋体" w:eastAsia="方正仿宋_GBK"/>
                <w:b/>
                <w:sz w:val="28"/>
                <w:szCs w:val="28"/>
              </w:rPr>
              <w:t>智慧养老信息应用。</w:t>
            </w:r>
            <w:r>
              <w:rPr>
                <w:rFonts w:hint="eastAsia" w:ascii="宋体" w:hAnsi="宋体" w:eastAsia="方正仿宋_GBK"/>
                <w:sz w:val="28"/>
                <w:szCs w:val="28"/>
              </w:rPr>
              <w:t>依托高速互联网，建立黔江区智慧养老信息平台，在满足民政自身部门业务需求的基础上，连接劳动和社会保障部门、财政、医保等部门，实现数据信息实时共享与业务协同。</w:t>
            </w:r>
          </w:p>
          <w:p>
            <w:pPr>
              <w:adjustRightInd w:val="0"/>
              <w:snapToGrid w:val="0"/>
              <w:spacing w:line="520" w:lineRule="exact"/>
              <w:ind w:firstLine="562" w:firstLineChars="200"/>
              <w:rPr>
                <w:rFonts w:hint="eastAsia" w:ascii="宋体" w:hAnsi="宋体" w:eastAsia="方正仿宋_GBK"/>
                <w:sz w:val="28"/>
                <w:szCs w:val="28"/>
              </w:rPr>
            </w:pPr>
            <w:r>
              <w:rPr>
                <w:rFonts w:hint="eastAsia" w:ascii="宋体" w:hAnsi="宋体" w:eastAsia="方正仿宋_GBK"/>
                <w:b/>
                <w:sz w:val="28"/>
                <w:szCs w:val="28"/>
              </w:rPr>
              <w:t>智慧救助建设。</w:t>
            </w:r>
            <w:r>
              <w:rPr>
                <w:rFonts w:hint="eastAsia" w:ascii="宋体" w:hAnsi="宋体" w:eastAsia="方正仿宋_GBK"/>
                <w:sz w:val="28"/>
                <w:szCs w:val="28"/>
              </w:rPr>
              <w:t>运用指纹识别、人脸识别、电子签名、二维码等技术开展社会救助对象身份认证和行为识别，使用执法记录仪开展入户核实，实时回传社会救助对象GPS坐标和现场证据，直观展示社会救助对象地理分布和热点分布，为社会提供线上线下一体化的社会救助服务。</w:t>
            </w:r>
          </w:p>
        </w:tc>
      </w:tr>
    </w:tbl>
    <w:p>
      <w:pPr>
        <w:pStyle w:val="4"/>
        <w:keepNext w:val="0"/>
        <w:keepLines w:val="0"/>
        <w:spacing w:before="0" w:after="0" w:line="574" w:lineRule="exact"/>
        <w:ind w:firstLine="640" w:firstLineChars="200"/>
        <w:rPr>
          <w:rFonts w:ascii="宋体" w:hAnsi="宋体" w:eastAsia="方正楷体_GBK"/>
          <w:b w:val="0"/>
        </w:rPr>
      </w:pPr>
      <w:bookmarkStart w:id="111" w:name="_Toc26662"/>
      <w:bookmarkStart w:id="112" w:name="_Toc16127"/>
      <w:bookmarkStart w:id="113" w:name="_Toc25770"/>
      <w:bookmarkStart w:id="114" w:name="_Toc22630"/>
      <w:bookmarkStart w:id="115" w:name="_Toc27198"/>
      <w:r>
        <w:rPr>
          <w:rFonts w:ascii="宋体" w:hAnsi="宋体" w:eastAsia="方正楷体_GBK"/>
          <w:b w:val="0"/>
        </w:rPr>
        <w:t>（三）</w:t>
      </w:r>
      <w:r>
        <w:rPr>
          <w:rFonts w:hint="eastAsia" w:ascii="宋体" w:hAnsi="宋体" w:eastAsia="方正楷体_GBK"/>
          <w:b w:val="0"/>
        </w:rPr>
        <w:t>优化政府管理、提升政府服务效能</w:t>
      </w:r>
      <w:bookmarkEnd w:id="111"/>
      <w:bookmarkEnd w:id="112"/>
      <w:bookmarkEnd w:id="113"/>
      <w:bookmarkEnd w:id="114"/>
      <w:bookmarkEnd w:id="115"/>
    </w:p>
    <w:p>
      <w:pPr>
        <w:spacing w:line="574" w:lineRule="exact"/>
        <w:ind w:firstLine="640" w:firstLineChars="200"/>
        <w:rPr>
          <w:rFonts w:hint="eastAsia" w:ascii="宋体" w:hAnsi="宋体" w:eastAsia="方正仿宋_GBK"/>
          <w:sz w:val="32"/>
          <w:szCs w:val="32"/>
        </w:rPr>
      </w:pPr>
      <w:r>
        <w:rPr>
          <w:rFonts w:hint="eastAsia" w:ascii="宋体" w:hAnsi="宋体" w:eastAsia="方正仿宋_GBK"/>
          <w:sz w:val="32"/>
          <w:szCs w:val="32"/>
        </w:rPr>
        <w:t xml:space="preserve">围绕智能政务、智慧规划、智能机关、互联网+监管、智慧市场监管等领域，纵深推进“放管服”改革，打造服务型、民主型、透明型智慧政府，着力提升政务服务供给能力，构建多规合一的国土空间规划体系，扎实推进集约化、规范化的智能机关建设，提高机关行政效能和服务水平，推进跨领域、跨部门的“互联网+监管”体系建设，建立公平开放、透明规范的智慧市场监管体系，为企业提供国际化、法制化、便利化的营商环境。 </w:t>
      </w:r>
    </w:p>
    <w:p>
      <w:pPr>
        <w:pStyle w:val="5"/>
        <w:keepNext w:val="0"/>
        <w:keepLines w:val="0"/>
        <w:spacing w:before="0" w:after="0" w:line="574" w:lineRule="exact"/>
        <w:ind w:firstLine="642" w:firstLineChars="200"/>
        <w:rPr>
          <w:rFonts w:hint="eastAsia" w:ascii="宋体" w:hAnsi="宋体" w:eastAsia="方正仿宋_GBK"/>
          <w:kern w:val="0"/>
        </w:rPr>
      </w:pPr>
      <w:bookmarkStart w:id="116" w:name="_Toc919"/>
      <w:bookmarkStart w:id="117" w:name="_Toc4406"/>
      <w:r>
        <w:rPr>
          <w:rFonts w:hint="eastAsia" w:ascii="Times New Roman" w:hAnsi="Times New Roman" w:eastAsia="方正仿宋_GBK"/>
          <w:kern w:val="0"/>
        </w:rPr>
        <w:t>1</w:t>
      </w:r>
      <w:r>
        <w:rPr>
          <w:rFonts w:hint="eastAsia" w:ascii="宋体" w:hAnsi="宋体" w:eastAsia="方正仿宋_GBK"/>
          <w:kern w:val="0"/>
        </w:rPr>
        <w:t>．智能政务</w:t>
      </w:r>
      <w:bookmarkEnd w:id="116"/>
      <w:bookmarkEnd w:id="117"/>
      <w:r>
        <w:rPr>
          <w:rFonts w:hint="eastAsia" w:ascii="宋体" w:hAnsi="宋体" w:eastAsia="方正仿宋_GBK"/>
          <w:kern w:val="0"/>
        </w:rPr>
        <w:t xml:space="preserve"> </w:t>
      </w:r>
    </w:p>
    <w:p>
      <w:pPr>
        <w:spacing w:line="574" w:lineRule="exact"/>
        <w:ind w:firstLine="640" w:firstLineChars="200"/>
        <w:rPr>
          <w:rFonts w:ascii="宋体" w:hAnsi="宋体" w:eastAsia="方正仿宋_GBK" w:cs="微软雅黑"/>
          <w:kern w:val="0"/>
          <w:sz w:val="32"/>
          <w:szCs w:val="32"/>
        </w:rPr>
      </w:pPr>
      <w:r>
        <w:rPr>
          <w:rFonts w:hint="eastAsia" w:ascii="宋体" w:hAnsi="宋体" w:eastAsia="方正仿宋_GBK" w:cs="微软雅黑"/>
          <w:kern w:val="0"/>
          <w:sz w:val="32"/>
          <w:szCs w:val="32"/>
        </w:rPr>
        <w:t>深入推进基层服务型政府建设，进一步优化提升政府公共服务水平和行政效能，围绕解决企业和群众办事需求，建立科学规范的互联网+政务服务体系，有效解决服务群众的“最后一公里”的问题，让信息多跑路，群众少跑腿。优化整合群工系统已经构建运行的三级服务网络体系，对区内各职能部门开通的其他公共服务平台（系统）进行整合集成和数据对接，打通连接各职能部门、乡镇（街道）和村（社区）网上路径，为全区企业和群众进行信息查询、诉求反映、网上办事等提供服务渠道，实现一网受理、一网通办、一网监管。深入开展大数据挖掘分析，将平台可用数据汇入“城市大脑”，实现数据资源整合，为区委区政府科学决策提供数据支撑。</w:t>
      </w:r>
    </w:p>
    <w:p>
      <w:pPr>
        <w:spacing w:line="574" w:lineRule="exact"/>
        <w:jc w:val="center"/>
        <w:rPr>
          <w:rFonts w:hint="eastAsia" w:ascii="宋体" w:hAnsi="宋体" w:eastAsia="方正黑体_GBK"/>
          <w:kern w:val="0"/>
          <w:sz w:val="32"/>
          <w:szCs w:val="32"/>
        </w:rPr>
      </w:pPr>
      <w:r>
        <w:rPr>
          <w:rFonts w:hint="eastAsia" w:ascii="宋体" w:hAnsi="宋体" w:eastAsia="方正黑体_GBK" w:cs="宋体"/>
          <w:kern w:val="0"/>
          <w:sz w:val="32"/>
          <w:szCs w:val="32"/>
        </w:rPr>
        <w:t>专栏</w:t>
      </w:r>
      <w:r>
        <w:rPr>
          <w:rFonts w:hint="eastAsia" w:ascii="Times New Roman" w:hAnsi="Times New Roman" w:eastAsia="方正黑体_GBK" w:cs="宋体"/>
          <w:kern w:val="0"/>
          <w:sz w:val="32"/>
          <w:szCs w:val="32"/>
        </w:rPr>
        <w:t>13</w:t>
      </w:r>
      <w:r>
        <w:rPr>
          <w:rFonts w:hint="eastAsia" w:ascii="宋体" w:hAnsi="宋体" w:eastAsia="方正黑体_GBK" w:cs="宋体"/>
          <w:kern w:val="0"/>
          <w:sz w:val="32"/>
          <w:szCs w:val="32"/>
        </w:rPr>
        <w:t>：智能政务重点工程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adjustRightInd w:val="0"/>
              <w:snapToGrid w:val="0"/>
              <w:spacing w:line="540" w:lineRule="exact"/>
              <w:ind w:firstLine="562" w:firstLineChars="200"/>
              <w:textAlignment w:val="baseline"/>
              <w:rPr>
                <w:rFonts w:hint="eastAsia" w:ascii="宋体" w:hAnsi="宋体" w:eastAsia="方正仿宋_GBK" w:cs="宋体"/>
                <w:color w:val="333333"/>
                <w:kern w:val="0"/>
                <w:sz w:val="28"/>
                <w:szCs w:val="28"/>
              </w:rPr>
            </w:pPr>
            <w:r>
              <w:rPr>
                <w:rFonts w:hint="eastAsia" w:ascii="宋体" w:hAnsi="宋体" w:eastAsia="方正仿宋_GBK" w:cs="宋体"/>
                <w:b/>
                <w:bCs/>
                <w:kern w:val="0"/>
                <w:sz w:val="28"/>
                <w:szCs w:val="28"/>
              </w:rPr>
              <w:t>政务服务大厅升级改造。</w:t>
            </w:r>
            <w:r>
              <w:rPr>
                <w:rFonts w:hint="eastAsia" w:ascii="宋体" w:hAnsi="宋体" w:eastAsia="方正仿宋_GBK" w:cs="宋体"/>
                <w:kern w:val="0"/>
                <w:sz w:val="28"/>
                <w:szCs w:val="28"/>
              </w:rPr>
              <w:t>（一）建设</w:t>
            </w:r>
            <w:r>
              <w:rPr>
                <w:rFonts w:hint="eastAsia" w:ascii="Times New Roman" w:hAnsi="Times New Roman" w:eastAsia="方正仿宋_GBK" w:cs="宋体"/>
                <w:kern w:val="0"/>
                <w:sz w:val="28"/>
                <w:szCs w:val="28"/>
              </w:rPr>
              <w:t>7</w:t>
            </w:r>
            <w:r>
              <w:rPr>
                <w:rFonts w:hint="eastAsia" w:ascii="宋体" w:hAnsi="宋体" w:eastAsia="方正仿宋_GBK" w:cs="宋体"/>
                <w:kern w:val="0"/>
                <w:sz w:val="28"/>
                <w:szCs w:val="28"/>
              </w:rPr>
              <w:t>×</w:t>
            </w:r>
            <w:r>
              <w:rPr>
                <w:rFonts w:hint="eastAsia" w:ascii="Times New Roman" w:hAnsi="Times New Roman" w:eastAsia="方正仿宋_GBK" w:cs="宋体"/>
                <w:kern w:val="0"/>
                <w:sz w:val="28"/>
                <w:szCs w:val="28"/>
              </w:rPr>
              <w:t>24</w:t>
            </w:r>
            <w:r>
              <w:rPr>
                <w:rFonts w:hint="eastAsia" w:ascii="宋体" w:hAnsi="宋体" w:eastAsia="方正仿宋_GBK" w:cs="宋体"/>
                <w:kern w:val="0"/>
                <w:sz w:val="28"/>
                <w:szCs w:val="28"/>
              </w:rPr>
              <w:t>小时自助服务区。</w:t>
            </w:r>
            <w:r>
              <w:rPr>
                <w:rFonts w:ascii="宋体" w:hAnsi="宋体" w:eastAsia="方正仿宋_GBK" w:cs="宋体"/>
                <w:kern w:val="0"/>
                <w:sz w:val="28"/>
                <w:szCs w:val="28"/>
              </w:rPr>
              <w:t>在政务服务大厅建立自助服务区，部署税务、公安、社保、征信等常用自主设备终端和“渝快办”重庆市网上办事大厅自助服务设备，配置智能文件柜并与重庆市一体化政务服务平台对接，新增必要的打印机、扫描仪等设施，提升政务服务智能化、自助化水平，确保政务服务全天候“不打烊”。</w:t>
            </w:r>
            <w:r>
              <w:rPr>
                <w:rFonts w:hint="eastAsia" w:ascii="宋体" w:hAnsi="宋体" w:eastAsia="方正仿宋_GBK" w:cs="宋体"/>
                <w:kern w:val="0"/>
                <w:sz w:val="28"/>
                <w:szCs w:val="28"/>
              </w:rPr>
              <w:t>（二）</w:t>
            </w:r>
            <w:r>
              <w:rPr>
                <w:rFonts w:ascii="宋体" w:hAnsi="宋体" w:eastAsia="方正仿宋_GBK" w:cs="宋体"/>
                <w:kern w:val="0"/>
                <w:sz w:val="28"/>
                <w:szCs w:val="28"/>
              </w:rPr>
              <w:t>部署政务服务“好差评”系统。建立“非常满意”“满意”“基本满意”“不满意”“非常不满意”五个评价等级。开发现场评价功能，政务服务大厅窗口平板接入全市“好差评”系统，评价数据实时汇聚到市级平台。完善线上评价渠道，实现评价二维码手机扫码评价、短信主动推送邀请评价、网上办事大厅电脑端评价等多种线上评价方式。确保评价主体、评价对象全覆盖，持续提升服务质量和效率。</w:t>
            </w:r>
          </w:p>
          <w:p>
            <w:pPr>
              <w:adjustRightInd w:val="0"/>
              <w:snapToGrid w:val="0"/>
              <w:spacing w:line="540" w:lineRule="exact"/>
              <w:ind w:firstLine="562" w:firstLineChars="200"/>
              <w:rPr>
                <w:rFonts w:hint="eastAsia" w:ascii="宋体" w:hAnsi="宋体" w:eastAsia="方正仿宋_GBK" w:cs="宋体"/>
                <w:color w:val="333333"/>
                <w:kern w:val="0"/>
                <w:sz w:val="28"/>
                <w:szCs w:val="28"/>
              </w:rPr>
            </w:pPr>
            <w:r>
              <w:rPr>
                <w:rFonts w:hint="eastAsia" w:ascii="宋体" w:hAnsi="宋体" w:eastAsia="方正仿宋_GBK" w:cs="宋体"/>
                <w:b/>
                <w:bCs/>
                <w:kern w:val="0"/>
                <w:sz w:val="28"/>
                <w:szCs w:val="28"/>
              </w:rPr>
              <w:t>电子政务外网全覆盖和改造升级。</w:t>
            </w:r>
            <w:r>
              <w:rPr>
                <w:rFonts w:hint="eastAsia" w:ascii="宋体" w:hAnsi="宋体" w:eastAsia="方正仿宋_GBK" w:cs="宋体"/>
                <w:kern w:val="0"/>
                <w:sz w:val="28"/>
                <w:szCs w:val="28"/>
              </w:rPr>
              <w:t>以现有电子政务外网为主体，推动非涉密业务专网与电子政务外网对接整合，网络将延伸至全区各镇（街）、各村（社区）、各部门、各部门所属二级单位以及直属事业单位、国有企业、重点企业，实现电子政务外网全覆盖。建设安全接入平台，提供给移动办公用户和不能实现专线覆盖的村(社区)用户访问电子政务外网。</w:t>
            </w:r>
          </w:p>
          <w:p>
            <w:pPr>
              <w:adjustRightInd w:val="0"/>
              <w:snapToGrid w:val="0"/>
              <w:spacing w:line="540" w:lineRule="exact"/>
              <w:ind w:firstLine="562" w:firstLineChars="200"/>
              <w:rPr>
                <w:rFonts w:hint="eastAsia" w:ascii="宋体" w:hAnsi="宋体" w:eastAsia="方正仿宋_GBK" w:cs="宋体"/>
                <w:kern w:val="0"/>
                <w:sz w:val="28"/>
                <w:szCs w:val="28"/>
              </w:rPr>
            </w:pPr>
            <w:r>
              <w:rPr>
                <w:rFonts w:hint="eastAsia" w:ascii="宋体" w:hAnsi="宋体" w:eastAsia="方正仿宋_GBK"/>
                <w:b/>
                <w:sz w:val="28"/>
                <w:szCs w:val="28"/>
              </w:rPr>
              <w:t>建设行业业务平台。</w:t>
            </w:r>
            <w:r>
              <w:rPr>
                <w:rFonts w:hint="eastAsia" w:ascii="宋体" w:hAnsi="宋体" w:eastAsia="方正仿宋_GBK"/>
                <w:sz w:val="28"/>
                <w:szCs w:val="28"/>
              </w:rPr>
              <w:t>对接现有群众工作信息平台与新型智慧城市数据资源共享系统，整合政务信息集成创新系统、政府资源共享平台数据，优化完善信息平台功能，提高系统响应速度。</w:t>
            </w:r>
          </w:p>
        </w:tc>
      </w:tr>
    </w:tbl>
    <w:p>
      <w:pPr>
        <w:pStyle w:val="5"/>
        <w:keepNext w:val="0"/>
        <w:keepLines w:val="0"/>
        <w:spacing w:before="0" w:after="0" w:line="574" w:lineRule="exact"/>
        <w:ind w:firstLine="642" w:firstLineChars="200"/>
        <w:rPr>
          <w:rFonts w:hint="eastAsia" w:ascii="宋体" w:hAnsi="宋体" w:eastAsia="方正仿宋_GBK"/>
          <w:kern w:val="0"/>
        </w:rPr>
      </w:pPr>
      <w:bookmarkStart w:id="118" w:name="_Toc11385"/>
      <w:bookmarkStart w:id="119" w:name="_Toc8180"/>
      <w:r>
        <w:rPr>
          <w:rFonts w:hint="eastAsia" w:ascii="Times New Roman" w:hAnsi="Times New Roman" w:eastAsia="方正仿宋_GBK"/>
          <w:kern w:val="0"/>
        </w:rPr>
        <w:t>2</w:t>
      </w:r>
      <w:r>
        <w:rPr>
          <w:rFonts w:hint="eastAsia" w:ascii="宋体" w:hAnsi="宋体" w:eastAsia="方正仿宋_GBK"/>
          <w:kern w:val="0"/>
        </w:rPr>
        <w:t>．智慧城管。</w:t>
      </w:r>
      <w:bookmarkEnd w:id="118"/>
      <w:bookmarkEnd w:id="119"/>
      <w:r>
        <w:rPr>
          <w:rFonts w:hint="eastAsia" w:ascii="宋体" w:hAnsi="宋体" w:eastAsia="方正仿宋_GBK"/>
          <w:kern w:val="0"/>
        </w:rPr>
        <w:t xml:space="preserve"> </w:t>
      </w:r>
    </w:p>
    <w:p>
      <w:pPr>
        <w:spacing w:line="574" w:lineRule="exact"/>
        <w:ind w:firstLine="640" w:firstLineChars="200"/>
        <w:rPr>
          <w:rFonts w:ascii="宋体" w:hAnsi="宋体"/>
          <w:snapToGrid w:val="0"/>
          <w:szCs w:val="32"/>
        </w:rPr>
      </w:pPr>
      <w:r>
        <w:rPr>
          <w:rFonts w:hint="eastAsia" w:ascii="宋体" w:hAnsi="宋体" w:eastAsia="方正仿宋_GBK" w:cs="宋体"/>
          <w:kern w:val="0"/>
          <w:sz w:val="32"/>
          <w:szCs w:val="32"/>
        </w:rPr>
        <w:t>通过应用物联网</w:t>
      </w:r>
      <w:r>
        <w:rPr>
          <w:rFonts w:hint="eastAsia" w:ascii="宋体" w:hAnsi="宋体" w:eastAsia="方正仿宋_GBK"/>
          <w:sz w:val="32"/>
          <w:szCs w:val="32"/>
        </w:rPr>
        <w:t>传感</w:t>
      </w:r>
      <w:r>
        <w:rPr>
          <w:rFonts w:hint="eastAsia" w:ascii="宋体" w:hAnsi="宋体" w:eastAsia="方正仿宋_GBK" w:cs="宋体"/>
          <w:kern w:val="0"/>
          <w:sz w:val="32"/>
          <w:szCs w:val="32"/>
        </w:rPr>
        <w:t>技术和智能化设备，对城市管理的人、事、地、物、组织等方面实行立体监测和精准感知，实现河道、作业车辆、大型户外广告设施监控，以及照明设施、重要环卫设施、重要区域下水道危险源监控覆盖。建立健全城管数据资源普查机制和治理体系，实现行业数据资源全要素目录管理，实现行业关键设施运行状态信息自动采集，汇聚行业全领域、全过程时空数据，加强对原始数据的清洗、筛选、校对，形成城管主题数据库，实现智慧城管各分系统内联外畅、协同高效。优化完善数字城管系统，建设智慧城管综合协调监管平台，并整合现有的业务应用系统，建设智慧工程档案管理、智慧市政设施管理、智慧市容环卫管理、智慧城市照明、智慧城管执法、智慧公园、智慧园林绿化管理等业务应用系统，构建智慧城管综合管理平台。加大数据指标关联分析模型研究，逐步建立城管公用设施辅助规划模型、危险源安全预警模型、效能评估模型等，构建智慧城管辅助决策支撑系统，挖掘城市运行内在规律和特征，建立依托数据开展科学决策的机制，推进城管顽疾治理，实现感知、分析、服务、智慧、监察五位一体。</w:t>
      </w:r>
    </w:p>
    <w:p>
      <w:pPr>
        <w:spacing w:line="574" w:lineRule="exact"/>
        <w:jc w:val="center"/>
        <w:rPr>
          <w:rFonts w:ascii="宋体" w:hAnsi="宋体" w:eastAsia="方正黑体_GBK"/>
          <w:kern w:val="0"/>
          <w:sz w:val="32"/>
          <w:szCs w:val="32"/>
        </w:rPr>
      </w:pPr>
      <w:r>
        <w:rPr>
          <w:rFonts w:ascii="宋体" w:hAnsi="宋体" w:eastAsia="方正黑体_GBK"/>
          <w:kern w:val="0"/>
          <w:sz w:val="32"/>
          <w:szCs w:val="32"/>
        </w:rPr>
        <w:t>专栏</w:t>
      </w:r>
      <w:r>
        <w:rPr>
          <w:rFonts w:hint="eastAsia" w:ascii="Times New Roman" w:hAnsi="Times New Roman" w:eastAsia="方正黑体_GBK"/>
          <w:kern w:val="0"/>
          <w:sz w:val="32"/>
          <w:szCs w:val="32"/>
        </w:rPr>
        <w:t>14</w:t>
      </w:r>
      <w:r>
        <w:rPr>
          <w:rFonts w:ascii="宋体" w:hAnsi="宋体" w:eastAsia="方正黑体_GBK"/>
          <w:kern w:val="0"/>
          <w:sz w:val="32"/>
          <w:szCs w:val="32"/>
        </w:rPr>
        <w:t>：智慧城管重点工程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noWrap w:val="0"/>
            <w:vAlign w:val="center"/>
          </w:tcPr>
          <w:p>
            <w:pPr>
              <w:adjustRightInd w:val="0"/>
              <w:snapToGrid w:val="0"/>
              <w:spacing w:line="540" w:lineRule="exact"/>
              <w:ind w:firstLine="562" w:firstLineChars="200"/>
              <w:rPr>
                <w:rFonts w:hint="eastAsia" w:ascii="宋体" w:hAnsi="宋体" w:eastAsia="方正仿宋_GBK"/>
                <w:sz w:val="28"/>
                <w:szCs w:val="28"/>
              </w:rPr>
            </w:pPr>
            <w:r>
              <w:rPr>
                <w:rFonts w:hint="eastAsia" w:ascii="宋体" w:hAnsi="宋体" w:eastAsia="方正仿宋_GBK" w:cs="宋体"/>
                <w:b/>
                <w:kern w:val="0"/>
                <w:sz w:val="28"/>
                <w:szCs w:val="28"/>
              </w:rPr>
              <w:t>智慧城管综合管理平台。</w:t>
            </w:r>
            <w:r>
              <w:rPr>
                <w:rFonts w:hint="eastAsia" w:ascii="宋体" w:hAnsi="宋体" w:eastAsia="方正仿宋_GBK"/>
                <w:sz w:val="28"/>
                <w:szCs w:val="28"/>
              </w:rPr>
              <w:t>基于市级自然人、法人、自然资源和空间地理、电子证照等基础数据库资源，建设智慧城管大数据平台，重点推进城管主题数据库、数据资源共享服务、大数据分析决策支撑系统建设。整合已建的业务应用系统，建设智慧工程档案管理、智慧市政设施管理、智慧市容环卫、智慧城市照明、智慧城管执法、智慧公园、智慧园林绿化管理等业务应用系统，构建智慧城管综合管理平台，加快推进数字化城管智能升级，提升城市管理能力和为民服务水平。</w:t>
            </w:r>
          </w:p>
        </w:tc>
      </w:tr>
    </w:tbl>
    <w:p>
      <w:pPr>
        <w:pStyle w:val="5"/>
        <w:keepNext w:val="0"/>
        <w:keepLines w:val="0"/>
        <w:spacing w:before="0" w:after="0" w:line="574" w:lineRule="exact"/>
        <w:ind w:firstLine="642" w:firstLineChars="200"/>
        <w:rPr>
          <w:rFonts w:hint="eastAsia" w:ascii="宋体" w:hAnsi="宋体" w:eastAsia="方正仿宋_GBK"/>
          <w:kern w:val="0"/>
        </w:rPr>
      </w:pPr>
      <w:bookmarkStart w:id="120" w:name="_Toc10096"/>
      <w:bookmarkStart w:id="121" w:name="_Toc21246"/>
      <w:r>
        <w:rPr>
          <w:rFonts w:hint="eastAsia" w:ascii="Times New Roman" w:hAnsi="Times New Roman" w:eastAsia="方正仿宋_GBK"/>
          <w:kern w:val="0"/>
        </w:rPr>
        <w:t>3</w:t>
      </w:r>
      <w:r>
        <w:rPr>
          <w:rFonts w:hint="eastAsia" w:ascii="宋体" w:hAnsi="宋体" w:eastAsia="方正仿宋_GBK"/>
          <w:kern w:val="0"/>
        </w:rPr>
        <w:t>．智慧规划</w:t>
      </w:r>
      <w:bookmarkEnd w:id="120"/>
      <w:bookmarkEnd w:id="121"/>
    </w:p>
    <w:p>
      <w:pPr>
        <w:spacing w:line="574" w:lineRule="exact"/>
        <w:ind w:firstLine="640" w:firstLineChars="200"/>
        <w:rPr>
          <w:rFonts w:hint="eastAsia" w:ascii="宋体" w:hAnsi="宋体" w:eastAsia="方正仿宋_GBK" w:cs="微软雅黑"/>
          <w:kern w:val="0"/>
          <w:sz w:val="32"/>
          <w:szCs w:val="32"/>
        </w:rPr>
      </w:pPr>
      <w:r>
        <w:rPr>
          <w:rFonts w:hint="eastAsia" w:ascii="宋体" w:hAnsi="宋体" w:eastAsia="方正仿宋_GBK" w:cs="微软雅黑"/>
          <w:kern w:val="0"/>
          <w:sz w:val="32"/>
          <w:szCs w:val="32"/>
        </w:rPr>
        <w:t>贯彻重庆市推进国土空间规划体系和多规合一的改革方向，坚持“一张蓝图干到底”，统筹规划、建设、管理三大环节的建设原则。依托黔江区“城市大脑”和大数据资源中心整合黔江区基础地理空间信息、土地资源、矿产资源、地质环境等全要素自然资源信息、历史人文信息、城乡规划及管理信息等，建设出具有黔江本地特色，方便黔江自身规划的规划和自然资源主题库，承接市级“多规合一空间大数据管理平台”基础上，逐步建设黔江区自己的城市三维互动分析系统、辅助决策三维仿真平台应用，引入多角度建模分析，实现立体化、智能化的城市三维推演与模拟，将城市感知空间从平面向三维立体化扩展，提升城市规划的科学性。</w:t>
      </w:r>
    </w:p>
    <w:p>
      <w:pPr>
        <w:spacing w:line="574" w:lineRule="exact"/>
        <w:jc w:val="center"/>
        <w:rPr>
          <w:rFonts w:ascii="宋体" w:hAnsi="宋体" w:eastAsia="方正黑体_GBK" w:cs="宋体"/>
          <w:kern w:val="0"/>
          <w:sz w:val="32"/>
          <w:szCs w:val="32"/>
        </w:rPr>
      </w:pPr>
      <w:r>
        <w:rPr>
          <w:rFonts w:ascii="宋体" w:hAnsi="宋体" w:eastAsia="方正黑体_GBK" w:cs="宋体"/>
          <w:kern w:val="0"/>
          <w:sz w:val="32"/>
          <w:szCs w:val="32"/>
        </w:rPr>
        <w:t>专栏</w:t>
      </w:r>
      <w:r>
        <w:rPr>
          <w:rFonts w:hint="eastAsia" w:ascii="Times New Roman" w:hAnsi="Times New Roman" w:eastAsia="方正黑体_GBK" w:cs="宋体"/>
          <w:kern w:val="0"/>
          <w:sz w:val="32"/>
          <w:szCs w:val="32"/>
        </w:rPr>
        <w:t>15</w:t>
      </w:r>
      <w:r>
        <w:rPr>
          <w:rFonts w:ascii="宋体" w:hAnsi="宋体" w:eastAsia="方正黑体_GBK" w:cs="宋体"/>
          <w:kern w:val="0"/>
          <w:sz w:val="32"/>
          <w:szCs w:val="32"/>
        </w:rPr>
        <w:t>：智慧规划重点工程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adjustRightInd w:val="0"/>
              <w:snapToGrid w:val="0"/>
              <w:spacing w:line="560" w:lineRule="exact"/>
              <w:ind w:firstLine="562" w:firstLineChars="200"/>
              <w:rPr>
                <w:rFonts w:hint="eastAsia" w:ascii="宋体" w:hAnsi="宋体" w:eastAsia="方正仿宋_GBK"/>
                <w:sz w:val="28"/>
                <w:szCs w:val="28"/>
              </w:rPr>
            </w:pPr>
            <w:r>
              <w:rPr>
                <w:rFonts w:hint="eastAsia" w:ascii="宋体" w:hAnsi="宋体" w:eastAsia="方正仿宋_GBK"/>
                <w:b/>
                <w:sz w:val="28"/>
                <w:szCs w:val="28"/>
              </w:rPr>
              <w:t>规划和自然资源主题数据库。</w:t>
            </w:r>
            <w:r>
              <w:rPr>
                <w:rFonts w:hint="eastAsia" w:ascii="宋体" w:hAnsi="宋体" w:eastAsia="方正仿宋_GBK"/>
                <w:sz w:val="28"/>
                <w:szCs w:val="28"/>
              </w:rPr>
              <w:t>配合市局的“一云、一库、一平台”的全市一体化的建设原则，搭建出具有黔江区自身特色的“规划和自然资源主题数据库”，上承重庆市“多规合一空间大数据管理平台”，下整合黔江区内所有土地、自然、资源、人文数据信息，充分利用黔江区大数据资源中心的主题数据库、部门数据库及数据共享交换平台，构建出涵盖黔江区自然资源、各类规划、社会经济、城市运行大数据的规划和自然资源主题库。</w:t>
            </w:r>
          </w:p>
        </w:tc>
      </w:tr>
    </w:tbl>
    <w:p>
      <w:pPr>
        <w:pStyle w:val="5"/>
        <w:keepNext w:val="0"/>
        <w:keepLines w:val="0"/>
        <w:spacing w:before="0" w:after="0" w:line="574" w:lineRule="exact"/>
        <w:ind w:firstLine="642" w:firstLineChars="200"/>
        <w:rPr>
          <w:rFonts w:hint="eastAsia" w:ascii="宋体" w:hAnsi="宋体" w:eastAsia="方正仿宋_GBK"/>
          <w:kern w:val="0"/>
        </w:rPr>
      </w:pPr>
      <w:bookmarkStart w:id="122" w:name="_Toc15279"/>
      <w:bookmarkStart w:id="123" w:name="_Toc503"/>
      <w:r>
        <w:rPr>
          <w:rFonts w:hint="eastAsia" w:ascii="Times New Roman" w:hAnsi="Times New Roman" w:eastAsia="方正仿宋_GBK"/>
          <w:kern w:val="0"/>
        </w:rPr>
        <w:t>4</w:t>
      </w:r>
      <w:r>
        <w:rPr>
          <w:rFonts w:hint="eastAsia" w:ascii="宋体" w:hAnsi="宋体" w:eastAsia="方正仿宋_GBK"/>
          <w:kern w:val="0"/>
        </w:rPr>
        <w:t>．智能机关</w:t>
      </w:r>
      <w:bookmarkEnd w:id="122"/>
      <w:bookmarkEnd w:id="123"/>
      <w:r>
        <w:rPr>
          <w:rFonts w:hint="eastAsia" w:ascii="宋体" w:hAnsi="宋体" w:eastAsia="方正仿宋_GBK"/>
          <w:kern w:val="0"/>
        </w:rPr>
        <w:t xml:space="preserve"> </w:t>
      </w:r>
    </w:p>
    <w:p>
      <w:pPr>
        <w:spacing w:line="614" w:lineRule="exact"/>
        <w:ind w:firstLine="640" w:firstLineChars="200"/>
        <w:rPr>
          <w:rFonts w:hint="eastAsia" w:ascii="宋体" w:hAnsi="宋体" w:eastAsia="方正仿宋_GBK" w:cs="微软雅黑"/>
          <w:kern w:val="0"/>
          <w:sz w:val="32"/>
          <w:szCs w:val="32"/>
        </w:rPr>
      </w:pPr>
      <w:r>
        <w:rPr>
          <w:rFonts w:hint="eastAsia" w:ascii="宋体" w:hAnsi="宋体" w:eastAsia="方正仿宋_GBK" w:cs="微软雅黑"/>
          <w:kern w:val="0"/>
          <w:sz w:val="32"/>
          <w:szCs w:val="32"/>
        </w:rPr>
        <w:t>根据</w:t>
      </w:r>
      <w:r>
        <w:rPr>
          <w:rFonts w:hint="eastAsia" w:ascii="宋体" w:hAnsi="宋体" w:eastAsia="方正仿宋_GBK"/>
          <w:sz w:val="32"/>
          <w:szCs w:val="32"/>
        </w:rPr>
        <w:t>《重庆市智能机关建设实施方案》</w:t>
      </w:r>
      <w:r>
        <w:rPr>
          <w:rFonts w:hint="eastAsia" w:ascii="宋体" w:hAnsi="宋体" w:eastAsia="方正仿宋_GBK" w:cs="微软雅黑"/>
          <w:kern w:val="0"/>
          <w:sz w:val="32"/>
          <w:szCs w:val="32"/>
        </w:rPr>
        <w:t>《重庆市智能机关建设指南（试行）》总体部署，按照智能化、集约化、高效能、低成本的智能机关建设要求，整合机关内部控制、公共管理和公共服务等信息，统筹机关办公场所人、物、楼宇、组织等资源，围绕楼宇智能化、办公智能化、</w:t>
      </w:r>
      <w:r>
        <w:rPr>
          <w:rFonts w:hint="eastAsia" w:ascii="宋体" w:hAnsi="宋体" w:eastAsia="方正仿宋_GBK" w:cs="微软雅黑"/>
          <w:spacing w:val="4"/>
          <w:kern w:val="0"/>
          <w:sz w:val="32"/>
          <w:szCs w:val="32"/>
        </w:rPr>
        <w:t>内控智能化、服务智能化以及应用智能化五个方面，建设适度领先的信息基础设施和软件系统，推广应用市级统建的“云视频平台”“移动办公平台”，达到提升楼宇、办公、内控、服务、应用智能化水平，促进政府转型、提高行政效能的目的。应用市级统建的数据管理平台，实现黔江区机关数据综合分析和展示、自动考核和评价，为推进智能机关、绿色机关建设提供数据支撑。近期实现楼宇、内控、办公智能化，中期实现服务智能化，最终实现应用智能化的建设目标。</w:t>
      </w:r>
    </w:p>
    <w:p>
      <w:pPr>
        <w:spacing w:line="574" w:lineRule="exact"/>
        <w:jc w:val="center"/>
        <w:rPr>
          <w:rFonts w:ascii="宋体" w:hAnsi="宋体" w:eastAsia="方正黑体_GBK" w:cs="宋体"/>
          <w:kern w:val="0"/>
          <w:sz w:val="32"/>
          <w:szCs w:val="32"/>
        </w:rPr>
      </w:pPr>
      <w:r>
        <w:rPr>
          <w:rFonts w:ascii="宋体" w:hAnsi="宋体" w:eastAsia="方正黑体_GBK" w:cs="宋体"/>
          <w:kern w:val="0"/>
          <w:sz w:val="32"/>
          <w:szCs w:val="32"/>
        </w:rPr>
        <w:t>专栏</w:t>
      </w:r>
      <w:r>
        <w:rPr>
          <w:rFonts w:hint="eastAsia" w:ascii="Times New Roman" w:hAnsi="Times New Roman" w:eastAsia="方正黑体_GBK" w:cs="宋体"/>
          <w:kern w:val="0"/>
          <w:sz w:val="32"/>
          <w:szCs w:val="32"/>
        </w:rPr>
        <w:t>16</w:t>
      </w:r>
      <w:r>
        <w:rPr>
          <w:rFonts w:ascii="宋体" w:hAnsi="宋体" w:eastAsia="方正黑体_GBK" w:cs="宋体"/>
          <w:kern w:val="0"/>
          <w:sz w:val="32"/>
          <w:szCs w:val="32"/>
        </w:rPr>
        <w:t>：智能机关重点工程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pPr>
              <w:adjustRightInd w:val="0"/>
              <w:snapToGrid w:val="0"/>
              <w:spacing w:line="540" w:lineRule="exact"/>
              <w:ind w:firstLine="562" w:firstLineChars="200"/>
              <w:rPr>
                <w:rFonts w:hint="eastAsia" w:ascii="宋体" w:hAnsi="宋体" w:eastAsia="方正仿宋_GBK"/>
                <w:sz w:val="28"/>
                <w:szCs w:val="28"/>
              </w:rPr>
            </w:pPr>
            <w:r>
              <w:rPr>
                <w:rFonts w:hint="eastAsia" w:ascii="宋体" w:hAnsi="宋体" w:eastAsia="方正仿宋_GBK"/>
                <w:b/>
                <w:sz w:val="28"/>
                <w:szCs w:val="28"/>
              </w:rPr>
              <w:t>数据汇集系统。</w:t>
            </w:r>
            <w:r>
              <w:rPr>
                <w:rFonts w:hint="eastAsia" w:ascii="宋体" w:hAnsi="宋体" w:eastAsia="方正仿宋_GBK"/>
                <w:sz w:val="28"/>
                <w:szCs w:val="28"/>
              </w:rPr>
              <w:t>采集汇总全区智能机关内部数据，通过电子政务外网将采集汇总的数据上传至市级数据管理平台，支撑机关智能化应用。</w:t>
            </w:r>
          </w:p>
          <w:p>
            <w:pPr>
              <w:adjustRightInd w:val="0"/>
              <w:snapToGrid w:val="0"/>
              <w:spacing w:line="540" w:lineRule="exact"/>
              <w:ind w:firstLine="562" w:firstLineChars="200"/>
              <w:rPr>
                <w:rFonts w:hint="eastAsia" w:ascii="宋体" w:hAnsi="宋体" w:eastAsia="方正仿宋_GBK"/>
                <w:sz w:val="28"/>
                <w:szCs w:val="28"/>
              </w:rPr>
            </w:pPr>
            <w:r>
              <w:rPr>
                <w:rFonts w:hint="eastAsia" w:ascii="宋体" w:hAnsi="宋体" w:eastAsia="方正仿宋_GBK"/>
                <w:b/>
                <w:sz w:val="28"/>
                <w:szCs w:val="28"/>
              </w:rPr>
              <w:t>智能机关试点工程。</w:t>
            </w:r>
            <w:r>
              <w:rPr>
                <w:rFonts w:hint="eastAsia" w:ascii="宋体" w:hAnsi="宋体" w:eastAsia="方正仿宋_GBK"/>
                <w:sz w:val="28"/>
                <w:szCs w:val="28"/>
              </w:rPr>
              <w:t>围绕楼宇智能化、办公智能化、内控智能化、服务智能化、应用智能化五个方面，建成一批高水平、示范性的智能机关，加快实现数据共享和业务协同，提升全区各机关智能化水平。</w:t>
            </w:r>
          </w:p>
        </w:tc>
      </w:tr>
    </w:tbl>
    <w:p>
      <w:pPr>
        <w:pStyle w:val="4"/>
        <w:keepNext w:val="0"/>
        <w:keepLines w:val="0"/>
        <w:spacing w:before="0" w:after="0" w:line="574" w:lineRule="exact"/>
        <w:ind w:firstLine="640" w:firstLineChars="200"/>
        <w:rPr>
          <w:rFonts w:ascii="宋体" w:hAnsi="宋体" w:eastAsia="方正楷体_GBK"/>
          <w:b w:val="0"/>
        </w:rPr>
      </w:pPr>
      <w:bookmarkStart w:id="124" w:name="_Toc15112"/>
      <w:bookmarkStart w:id="125" w:name="_Toc7354"/>
      <w:bookmarkStart w:id="126" w:name="_Toc31341"/>
      <w:bookmarkStart w:id="127" w:name="_Toc28067"/>
      <w:bookmarkStart w:id="128" w:name="_Toc2600"/>
      <w:r>
        <w:rPr>
          <w:rFonts w:ascii="宋体" w:hAnsi="宋体" w:eastAsia="方正楷体_GBK"/>
          <w:b w:val="0"/>
        </w:rPr>
        <w:t>（四）</w:t>
      </w:r>
      <w:r>
        <w:rPr>
          <w:rFonts w:hint="eastAsia" w:ascii="宋体" w:hAnsi="宋体" w:eastAsia="方正楷体_GBK"/>
          <w:b w:val="0"/>
        </w:rPr>
        <w:t>促进</w:t>
      </w:r>
      <w:r>
        <w:rPr>
          <w:rFonts w:ascii="宋体" w:hAnsi="宋体" w:eastAsia="方正楷体_GBK"/>
          <w:b w:val="0"/>
        </w:rPr>
        <w:t>产业融合</w:t>
      </w:r>
      <w:r>
        <w:rPr>
          <w:rFonts w:hint="eastAsia" w:ascii="宋体" w:hAnsi="宋体" w:eastAsia="方正楷体_GBK"/>
          <w:b w:val="0"/>
        </w:rPr>
        <w:t>，助推黔江经济腾飞</w:t>
      </w:r>
      <w:bookmarkEnd w:id="124"/>
      <w:bookmarkEnd w:id="125"/>
      <w:bookmarkEnd w:id="126"/>
      <w:bookmarkEnd w:id="127"/>
      <w:bookmarkEnd w:id="128"/>
    </w:p>
    <w:p>
      <w:pPr>
        <w:spacing w:line="574" w:lineRule="exact"/>
        <w:ind w:firstLine="640" w:firstLineChars="200"/>
        <w:rPr>
          <w:rFonts w:hint="eastAsia" w:ascii="宋体" w:hAnsi="宋体" w:eastAsia="方正仿宋_GBK"/>
          <w:sz w:val="32"/>
          <w:szCs w:val="32"/>
        </w:rPr>
      </w:pPr>
      <w:r>
        <w:rPr>
          <w:rFonts w:ascii="宋体" w:hAnsi="宋体" w:eastAsia="方正仿宋_GBK"/>
          <w:snapToGrid w:val="0"/>
          <w:kern w:val="0"/>
          <w:sz w:val="32"/>
          <w:szCs w:val="32"/>
        </w:rPr>
        <w:t>立足</w:t>
      </w:r>
      <w:r>
        <w:rPr>
          <w:rFonts w:hint="eastAsia" w:ascii="宋体" w:hAnsi="宋体" w:eastAsia="方正仿宋_GBK"/>
          <w:snapToGrid w:val="0"/>
          <w:kern w:val="0"/>
          <w:sz w:val="32"/>
          <w:szCs w:val="32"/>
        </w:rPr>
        <w:t>黔</w:t>
      </w:r>
      <w:r>
        <w:rPr>
          <w:rFonts w:ascii="宋体" w:hAnsi="宋体" w:eastAsia="方正仿宋_GBK"/>
          <w:snapToGrid w:val="0"/>
          <w:kern w:val="0"/>
          <w:sz w:val="32"/>
          <w:szCs w:val="32"/>
        </w:rPr>
        <w:t>江产业发展基础和优势，聚焦智能化与产业发展深度融合，</w:t>
      </w:r>
      <w:r>
        <w:rPr>
          <w:rFonts w:hint="eastAsia" w:ascii="宋体" w:hAnsi="宋体" w:eastAsia="方正仿宋_GBK"/>
          <w:snapToGrid w:val="0"/>
          <w:kern w:val="0"/>
          <w:sz w:val="32"/>
          <w:szCs w:val="32"/>
        </w:rPr>
        <w:t>承接发展智能制造、智慧农业、智慧文旅、智慧招商等市级重点工程，</w:t>
      </w:r>
      <w:r>
        <w:rPr>
          <w:rFonts w:hint="eastAsia" w:ascii="宋体" w:hAnsi="宋体" w:eastAsia="方正仿宋_GBK"/>
          <w:bCs/>
          <w:snapToGrid w:val="0"/>
          <w:kern w:val="0"/>
          <w:sz w:val="32"/>
          <w:szCs w:val="32"/>
        </w:rPr>
        <w:t>打造以智慧农业、智慧文旅为主导推进乡村振兴等为代表的一批特色“</w:t>
      </w:r>
      <w:r>
        <w:rPr>
          <w:rFonts w:ascii="宋体" w:hAnsi="宋体" w:eastAsia="方正仿宋_GBK"/>
          <w:bCs/>
          <w:snapToGrid w:val="0"/>
          <w:kern w:val="0"/>
          <w:sz w:val="32"/>
          <w:szCs w:val="32"/>
        </w:rPr>
        <w:t>数智</w:t>
      </w:r>
      <w:r>
        <w:rPr>
          <w:rFonts w:hint="eastAsia" w:ascii="宋体" w:hAnsi="宋体" w:eastAsia="方正仿宋_GBK"/>
          <w:bCs/>
          <w:snapToGrid w:val="0"/>
          <w:kern w:val="0"/>
          <w:sz w:val="32"/>
          <w:szCs w:val="32"/>
        </w:rPr>
        <w:t>”</w:t>
      </w:r>
      <w:r>
        <w:rPr>
          <w:rFonts w:ascii="宋体" w:hAnsi="宋体" w:eastAsia="方正仿宋_GBK"/>
          <w:bCs/>
          <w:snapToGrid w:val="0"/>
          <w:kern w:val="0"/>
          <w:sz w:val="32"/>
          <w:szCs w:val="32"/>
        </w:rPr>
        <w:t>创新经济示范</w:t>
      </w:r>
      <w:r>
        <w:rPr>
          <w:rFonts w:hint="eastAsia" w:ascii="宋体" w:hAnsi="宋体" w:eastAsia="方正仿宋_GBK"/>
          <w:bCs/>
          <w:snapToGrid w:val="0"/>
          <w:kern w:val="0"/>
          <w:sz w:val="32"/>
          <w:szCs w:val="32"/>
        </w:rPr>
        <w:t>项目</w:t>
      </w:r>
      <w:r>
        <w:rPr>
          <w:rFonts w:ascii="宋体" w:hAnsi="宋体" w:eastAsia="方正仿宋_GBK"/>
          <w:bCs/>
          <w:snapToGrid w:val="0"/>
          <w:kern w:val="0"/>
          <w:sz w:val="32"/>
          <w:szCs w:val="32"/>
        </w:rPr>
        <w:t>，</w:t>
      </w:r>
      <w:r>
        <w:rPr>
          <w:rFonts w:ascii="宋体" w:hAnsi="宋体" w:eastAsia="方正仿宋_GBK"/>
          <w:snapToGrid w:val="0"/>
          <w:kern w:val="0"/>
          <w:sz w:val="32"/>
          <w:szCs w:val="32"/>
        </w:rPr>
        <w:t>大力发展智能制造、智能技术和智能产品，发展基于物联网、大数据的智慧农业，推动大数据智能化与文旅产业深度融合，</w:t>
      </w:r>
      <w:r>
        <w:rPr>
          <w:rFonts w:hint="eastAsia" w:ascii="宋体" w:hAnsi="宋体" w:eastAsia="方正仿宋_GBK"/>
          <w:sz w:val="32"/>
          <w:szCs w:val="32"/>
        </w:rPr>
        <w:t>构建铁公机联动的武陵山区域物流枢纽，打造一站式的企业融资服务体系与招商服务平台，持续优化创新创业环境和营商环境，加快智慧园区建设，提升园区企业集约化管理和智慧化服务水平。</w:t>
      </w:r>
    </w:p>
    <w:p>
      <w:pPr>
        <w:tabs>
          <w:tab w:val="left" w:pos="0"/>
        </w:tabs>
        <w:adjustRightInd w:val="0"/>
        <w:snapToGrid w:val="0"/>
        <w:spacing w:line="574" w:lineRule="exact"/>
        <w:ind w:firstLine="640" w:firstLineChars="200"/>
        <w:jc w:val="center"/>
        <w:rPr>
          <w:rFonts w:hint="eastAsia" w:ascii="宋体" w:hAnsi="宋体" w:eastAsia="方正黑体_GBK"/>
          <w:bCs/>
          <w:snapToGrid w:val="0"/>
          <w:kern w:val="0"/>
          <w:sz w:val="32"/>
          <w:szCs w:val="32"/>
        </w:rPr>
      </w:pPr>
      <w:r>
        <w:rPr>
          <w:rFonts w:hint="eastAsia" w:ascii="宋体" w:hAnsi="宋体" w:eastAsia="方正黑体_GBK"/>
          <w:bCs/>
          <w:snapToGrid w:val="0"/>
          <w:kern w:val="0"/>
          <w:sz w:val="32"/>
          <w:szCs w:val="32"/>
        </w:rPr>
        <w:t>专栏</w:t>
      </w:r>
      <w:r>
        <w:rPr>
          <w:rFonts w:hint="eastAsia" w:ascii="Times New Roman" w:hAnsi="Times New Roman" w:eastAsia="方正黑体_GBK"/>
          <w:bCs/>
          <w:snapToGrid w:val="0"/>
          <w:kern w:val="0"/>
          <w:sz w:val="32"/>
          <w:szCs w:val="32"/>
        </w:rPr>
        <w:t>17</w:t>
      </w:r>
      <w:r>
        <w:rPr>
          <w:rFonts w:hint="eastAsia" w:ascii="宋体" w:hAnsi="宋体" w:eastAsia="方正黑体_GBK"/>
          <w:bCs/>
          <w:snapToGrid w:val="0"/>
          <w:kern w:val="0"/>
          <w:sz w:val="32"/>
          <w:szCs w:val="32"/>
        </w:rPr>
        <w:t>：产业经济运行监测重点工程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spacing w:line="540" w:lineRule="exact"/>
              <w:ind w:firstLine="562" w:firstLineChars="200"/>
              <w:rPr>
                <w:rFonts w:hint="eastAsia" w:ascii="宋体" w:hAnsi="宋体" w:eastAsia="方正仿宋_GBK"/>
                <w:bCs/>
                <w:snapToGrid w:val="0"/>
                <w:kern w:val="0"/>
                <w:sz w:val="28"/>
                <w:szCs w:val="28"/>
                <w:lang w:val="zh-TW"/>
              </w:rPr>
            </w:pPr>
            <w:r>
              <w:rPr>
                <w:rFonts w:hint="eastAsia" w:ascii="宋体" w:hAnsi="宋体" w:eastAsia="方正仿宋_GBK"/>
                <w:b/>
                <w:bCs/>
                <w:snapToGrid w:val="0"/>
                <w:kern w:val="0"/>
                <w:sz w:val="28"/>
                <w:szCs w:val="28"/>
                <w:lang w:val="zh-TW"/>
              </w:rPr>
              <w:t>产业经济运行监测大数据平台。</w:t>
            </w:r>
            <w:r>
              <w:rPr>
                <w:rFonts w:hint="eastAsia" w:ascii="宋体" w:hAnsi="宋体" w:eastAsia="方正仿宋_GBK"/>
                <w:bCs/>
                <w:snapToGrid w:val="0"/>
                <w:kern w:val="0"/>
                <w:sz w:val="28"/>
                <w:szCs w:val="28"/>
                <w:lang w:val="zh-TW"/>
              </w:rPr>
              <w:t>通过有效整合政府数据、产业集群运营数据、全网公开数据及第三方应用数据，建立产业发展基础数据库。运用大数据、人工智能和物联网等新型技术构建产业经济运行监测大数据平台，围绕产业规划、企业引进、企业服务，实现对企业的“招、引、育、服、投”全生命周期价值闭环管理，形成对区域产业发展的全景式分析能力和智能化决策机制，提升产业集群综合竞争力，构建可持续发展的产业生态圈。</w:t>
            </w:r>
          </w:p>
        </w:tc>
      </w:tr>
    </w:tbl>
    <w:p>
      <w:pPr>
        <w:pStyle w:val="8"/>
        <w:rPr>
          <w:rFonts w:hAnsi="宋体"/>
        </w:rPr>
      </w:pPr>
    </w:p>
    <w:p>
      <w:pPr>
        <w:pStyle w:val="5"/>
        <w:keepNext w:val="0"/>
        <w:keepLines w:val="0"/>
        <w:spacing w:before="0" w:after="0" w:line="574" w:lineRule="exact"/>
        <w:ind w:firstLine="642" w:firstLineChars="200"/>
        <w:rPr>
          <w:rFonts w:hint="eastAsia" w:ascii="宋体" w:hAnsi="宋体" w:eastAsia="方正仿宋_GBK"/>
          <w:kern w:val="0"/>
        </w:rPr>
      </w:pPr>
      <w:bookmarkStart w:id="129" w:name="_Toc29971"/>
      <w:bookmarkStart w:id="130" w:name="_Toc32610"/>
      <w:r>
        <w:rPr>
          <w:rFonts w:hint="eastAsia" w:ascii="Times New Roman" w:hAnsi="Times New Roman" w:eastAsia="方正仿宋_GBK"/>
          <w:kern w:val="0"/>
        </w:rPr>
        <w:t>1</w:t>
      </w:r>
      <w:r>
        <w:rPr>
          <w:rFonts w:hint="eastAsia" w:ascii="宋体" w:hAnsi="宋体" w:eastAsia="方正仿宋_GBK"/>
          <w:kern w:val="0"/>
        </w:rPr>
        <w:t>．智能制造</w:t>
      </w:r>
      <w:bookmarkEnd w:id="129"/>
      <w:bookmarkEnd w:id="130"/>
      <w:r>
        <w:rPr>
          <w:rFonts w:hint="eastAsia" w:ascii="宋体" w:hAnsi="宋体" w:eastAsia="方正仿宋_GBK"/>
          <w:kern w:val="0"/>
        </w:rPr>
        <w:t xml:space="preserve"> </w:t>
      </w:r>
    </w:p>
    <w:p>
      <w:pPr>
        <w:spacing w:line="574" w:lineRule="exact"/>
        <w:ind w:firstLine="640" w:firstLineChars="200"/>
        <w:rPr>
          <w:rFonts w:hint="eastAsia"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推广普及服务型制造、工业互联网等新技术、新业态、新模式，推动制造业高质量发展。培育壮大材料、生物与医药、消费品、能源、技术服务、农副产品加工等产业集群，打造“黔</w:t>
      </w:r>
      <w:r>
        <w:rPr>
          <w:rFonts w:ascii="宋体" w:hAnsi="宋体" w:eastAsia="方正仿宋_GBK" w:cs="方正仿宋_GBK"/>
          <w:snapToGrid w:val="0"/>
          <w:kern w:val="0"/>
          <w:sz w:val="32"/>
          <w:szCs w:val="32"/>
        </w:rPr>
        <w:t>江</w:t>
      </w:r>
      <w:r>
        <w:rPr>
          <w:rFonts w:hint="eastAsia" w:ascii="宋体" w:hAnsi="宋体" w:eastAsia="方正仿宋_GBK" w:cs="方正仿宋_GBK"/>
          <w:snapToGrid w:val="0"/>
          <w:kern w:val="0"/>
          <w:sz w:val="32"/>
          <w:szCs w:val="32"/>
        </w:rPr>
        <w:t xml:space="preserve">制造升级版”。推动传统产业生产过程智能化改造和产品智能化升级，推进智能化、数字化技术在企业研发设计、生产制造、物流仓储、经营管理、售后服务等关键环节的深度应用，不断提高生产装备和生产过程的智能化水平。广泛开展“机器换人”行动，推动企业提高产品质量，减少用工人数、降低生产成本。鼓励中小微企业应用物联网云平台提高企业数字化水平。分层次、分步骤推进离散型智能制造、流程型智能制造、大规模个性化定制等智能制造新模式，建设一批具备信息深度自感知、智慧优化自决策、精准控制自执行能力的智能工厂和数字化车间。 </w:t>
      </w:r>
    </w:p>
    <w:p>
      <w:pPr>
        <w:spacing w:line="574" w:lineRule="exact"/>
        <w:jc w:val="center"/>
        <w:rPr>
          <w:rFonts w:hint="eastAsia" w:ascii="宋体" w:hAnsi="宋体" w:eastAsia="方正黑体_GBK"/>
          <w:snapToGrid w:val="0"/>
          <w:kern w:val="0"/>
          <w:sz w:val="32"/>
          <w:szCs w:val="32"/>
        </w:rPr>
      </w:pPr>
      <w:r>
        <w:rPr>
          <w:rFonts w:hint="eastAsia" w:ascii="宋体" w:hAnsi="宋体" w:eastAsia="方正黑体_GBK"/>
          <w:snapToGrid w:val="0"/>
          <w:kern w:val="0"/>
          <w:sz w:val="32"/>
          <w:szCs w:val="32"/>
        </w:rPr>
        <w:t>专栏</w:t>
      </w:r>
      <w:r>
        <w:rPr>
          <w:rFonts w:hint="eastAsia" w:ascii="Times New Roman" w:hAnsi="Times New Roman" w:eastAsia="方正黑体_GBK"/>
          <w:snapToGrid w:val="0"/>
          <w:kern w:val="0"/>
          <w:sz w:val="32"/>
          <w:szCs w:val="32"/>
        </w:rPr>
        <w:t>18</w:t>
      </w:r>
      <w:r>
        <w:rPr>
          <w:rFonts w:hint="eastAsia" w:ascii="宋体" w:hAnsi="宋体" w:eastAsia="方正黑体_GBK"/>
          <w:snapToGrid w:val="0"/>
          <w:kern w:val="0"/>
          <w:sz w:val="32"/>
          <w:szCs w:val="32"/>
        </w:rPr>
        <w:t>：智能制造重点工程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spacing w:line="540" w:lineRule="exact"/>
              <w:ind w:firstLine="562" w:firstLineChars="200"/>
              <w:rPr>
                <w:rFonts w:hint="eastAsia" w:ascii="宋体" w:hAnsi="宋体" w:eastAsia="方正仿宋_GBK"/>
                <w:bCs/>
                <w:snapToGrid w:val="0"/>
                <w:kern w:val="0"/>
                <w:sz w:val="28"/>
                <w:szCs w:val="28"/>
              </w:rPr>
            </w:pPr>
            <w:r>
              <w:rPr>
                <w:rFonts w:hint="eastAsia" w:ascii="宋体" w:hAnsi="宋体" w:eastAsia="方正仿宋_GBK"/>
                <w:b/>
                <w:bCs/>
                <w:snapToGrid w:val="0"/>
                <w:kern w:val="0"/>
                <w:sz w:val="28"/>
                <w:szCs w:val="28"/>
              </w:rPr>
              <w:t>“机器换人”改造工程。</w:t>
            </w:r>
            <w:r>
              <w:rPr>
                <w:rFonts w:hint="eastAsia" w:ascii="宋体" w:hAnsi="宋体" w:eastAsia="方正仿宋_GBK"/>
                <w:bCs/>
                <w:snapToGrid w:val="0"/>
                <w:kern w:val="0"/>
                <w:sz w:val="28"/>
                <w:szCs w:val="28"/>
              </w:rPr>
              <w:t>广泛实施“机器换人”改造工程，鼓励企业使用自动化、智能化设备代替人工，重点推动电子、汽车行业企业开展“机器换人”，有效提高产品质量，减少用工人数，降低生产成本。</w:t>
            </w:r>
          </w:p>
          <w:p>
            <w:pPr>
              <w:spacing w:line="540" w:lineRule="exact"/>
              <w:ind w:firstLine="562" w:firstLineChars="200"/>
              <w:rPr>
                <w:rFonts w:hint="eastAsia" w:ascii="宋体" w:hAnsi="宋体" w:eastAsia="方正仿宋_GBK"/>
                <w:bCs/>
                <w:snapToGrid w:val="0"/>
                <w:kern w:val="0"/>
                <w:sz w:val="28"/>
                <w:szCs w:val="28"/>
              </w:rPr>
            </w:pPr>
            <w:r>
              <w:rPr>
                <w:rFonts w:hint="eastAsia" w:ascii="宋体" w:hAnsi="宋体" w:eastAsia="方正仿宋_GBK"/>
                <w:b/>
                <w:bCs/>
                <w:snapToGrid w:val="0"/>
                <w:kern w:val="0"/>
                <w:sz w:val="28"/>
                <w:szCs w:val="28"/>
              </w:rPr>
              <w:t>传统行业智能转型工程。</w:t>
            </w:r>
            <w:r>
              <w:rPr>
                <w:rFonts w:hint="eastAsia" w:ascii="宋体" w:hAnsi="宋体" w:eastAsia="方正仿宋_GBK"/>
                <w:bCs/>
                <w:snapToGrid w:val="0"/>
                <w:kern w:val="0"/>
                <w:sz w:val="28"/>
                <w:szCs w:val="28"/>
              </w:rPr>
              <w:t xml:space="preserve">推动传统行业龙头企业加大智能制造关键技术装备和核心支撑软件的推广应用，开展智能化改造，提升产品质量和生产效率。 </w:t>
            </w:r>
          </w:p>
          <w:p>
            <w:pPr>
              <w:spacing w:line="540" w:lineRule="exact"/>
              <w:ind w:firstLine="550" w:firstLineChars="196"/>
              <w:rPr>
                <w:rFonts w:hint="eastAsia" w:ascii="宋体" w:hAnsi="宋体" w:eastAsia="方正仿宋_GBK"/>
                <w:snapToGrid w:val="0"/>
                <w:kern w:val="0"/>
                <w:sz w:val="28"/>
                <w:szCs w:val="28"/>
              </w:rPr>
            </w:pPr>
            <w:r>
              <w:rPr>
                <w:rFonts w:hint="eastAsia" w:ascii="宋体" w:hAnsi="宋体" w:eastAsia="方正仿宋_GBK"/>
                <w:b/>
                <w:bCs/>
                <w:snapToGrid w:val="0"/>
                <w:kern w:val="0"/>
                <w:sz w:val="28"/>
                <w:szCs w:val="28"/>
              </w:rPr>
              <w:t>智能制造新模式应用工程。</w:t>
            </w:r>
            <w:r>
              <w:rPr>
                <w:rFonts w:hint="eastAsia" w:ascii="宋体" w:hAnsi="宋体" w:eastAsia="方正仿宋_GBK"/>
                <w:bCs/>
                <w:snapToGrid w:val="0"/>
                <w:kern w:val="0"/>
                <w:sz w:val="28"/>
                <w:szCs w:val="28"/>
              </w:rPr>
              <w:t>围绕重点行业和重点领域，推动智能制造关键技术装备、核心支撑软件、工业互联网、工业大数据、人工智能、流程工业知识自动化、智能制造使能工具与系统、智能制造云服务平台、信息安全系统等在工厂中的集成应用，建成一批具备标杆、示范意义的智能工厂和数字化车间。加快推动国家和市级重点项目建设，总结形成行业示范方案以及国际、国家和行业智能制造标准。</w:t>
            </w:r>
          </w:p>
        </w:tc>
      </w:tr>
    </w:tbl>
    <w:p>
      <w:pPr>
        <w:pStyle w:val="5"/>
        <w:keepNext w:val="0"/>
        <w:keepLines w:val="0"/>
        <w:spacing w:before="0" w:after="0" w:line="574" w:lineRule="exact"/>
        <w:ind w:firstLine="642" w:firstLineChars="200"/>
        <w:rPr>
          <w:rFonts w:hint="eastAsia" w:ascii="宋体" w:hAnsi="宋体" w:eastAsia="方正仿宋_GBK"/>
          <w:kern w:val="0"/>
        </w:rPr>
      </w:pPr>
      <w:bookmarkStart w:id="131" w:name="_Toc20549"/>
      <w:bookmarkStart w:id="132" w:name="_Toc6570"/>
      <w:r>
        <w:rPr>
          <w:rFonts w:hint="eastAsia" w:ascii="Times New Roman" w:hAnsi="Times New Roman" w:eastAsia="方正仿宋_GBK"/>
          <w:kern w:val="0"/>
        </w:rPr>
        <w:t>2</w:t>
      </w:r>
      <w:r>
        <w:rPr>
          <w:rFonts w:hint="eastAsia" w:ascii="宋体" w:hAnsi="宋体" w:eastAsia="方正仿宋_GBK"/>
          <w:kern w:val="0"/>
        </w:rPr>
        <w:t>．智慧农业</w:t>
      </w:r>
      <w:bookmarkEnd w:id="131"/>
      <w:bookmarkEnd w:id="132"/>
    </w:p>
    <w:p>
      <w:pPr>
        <w:spacing w:line="574" w:lineRule="exact"/>
        <w:ind w:firstLine="640" w:firstLineChars="200"/>
        <w:rPr>
          <w:rFonts w:hint="eastAsia"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 xml:space="preserve">以乡村振兴为统揽，以大数据智能化引领创新驱动发展，大力推进农业生产智能化、经营网络化、管理数据化水平。大力加强农产品电商基础设施建设，强化农产品质量安全全程追溯和投入品监管，引导优势特色产业与农产品电子商务融合发展，推动农业产业结构转型升级和供应链不断完善，促进农产品生产标准化、规模化、品牌化发展。推动小微农产品生产主体与各类电商大平台的低成本精准对接。大力推进信息进村入户工程建设，益农信息社覆盖全区所有行政村，积极开展公益、便民、电商和培训服务，促进信息服务延伸到村、信息精准到户。  </w:t>
      </w:r>
    </w:p>
    <w:p>
      <w:pPr>
        <w:spacing w:line="574" w:lineRule="exact"/>
        <w:jc w:val="center"/>
        <w:rPr>
          <w:rFonts w:hint="eastAsia" w:ascii="宋体" w:hAnsi="宋体" w:eastAsia="方正黑体_GBK"/>
          <w:snapToGrid w:val="0"/>
          <w:kern w:val="0"/>
          <w:sz w:val="32"/>
          <w:szCs w:val="32"/>
        </w:rPr>
      </w:pPr>
      <w:r>
        <w:rPr>
          <w:rFonts w:hint="eastAsia" w:ascii="宋体" w:hAnsi="宋体" w:eastAsia="方正黑体_GBK"/>
          <w:snapToGrid w:val="0"/>
          <w:kern w:val="0"/>
          <w:sz w:val="32"/>
          <w:szCs w:val="32"/>
        </w:rPr>
        <w:t>专栏</w:t>
      </w:r>
      <w:r>
        <w:rPr>
          <w:rFonts w:hint="eastAsia" w:ascii="Times New Roman" w:hAnsi="Times New Roman" w:eastAsia="方正黑体_GBK"/>
          <w:snapToGrid w:val="0"/>
          <w:kern w:val="0"/>
          <w:sz w:val="32"/>
          <w:szCs w:val="32"/>
        </w:rPr>
        <w:t>19</w:t>
      </w:r>
      <w:r>
        <w:rPr>
          <w:rFonts w:hint="eastAsia" w:ascii="宋体" w:hAnsi="宋体" w:eastAsia="方正黑体_GBK"/>
          <w:snapToGrid w:val="0"/>
          <w:kern w:val="0"/>
          <w:sz w:val="32"/>
          <w:szCs w:val="32"/>
        </w:rPr>
        <w:t>：智慧农业重点工程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spacing w:line="540" w:lineRule="exact"/>
              <w:ind w:firstLine="562" w:firstLineChars="200"/>
              <w:rPr>
                <w:rFonts w:hint="eastAsia" w:ascii="宋体" w:hAnsi="宋体" w:eastAsia="方正仿宋_GBK" w:cs="方正仿宋_GBK"/>
                <w:snapToGrid w:val="0"/>
                <w:kern w:val="0"/>
                <w:sz w:val="28"/>
                <w:szCs w:val="28"/>
              </w:rPr>
            </w:pPr>
            <w:r>
              <w:rPr>
                <w:rFonts w:hint="eastAsia" w:ascii="宋体" w:hAnsi="宋体" w:eastAsia="方正仿宋_GBK" w:cs="方正仿宋_GBK"/>
                <w:b/>
                <w:snapToGrid w:val="0"/>
                <w:kern w:val="0"/>
                <w:sz w:val="28"/>
                <w:szCs w:val="28"/>
              </w:rPr>
              <w:t>农产品电子商务平台。</w:t>
            </w:r>
            <w:r>
              <w:rPr>
                <w:rFonts w:hint="eastAsia" w:ascii="宋体" w:hAnsi="宋体" w:eastAsia="方正仿宋_GBK" w:cs="方正仿宋_GBK"/>
                <w:snapToGrid w:val="0"/>
                <w:kern w:val="0"/>
                <w:sz w:val="28"/>
                <w:szCs w:val="28"/>
              </w:rPr>
              <w:t>全面汇聚优质农产品资源、服务资源、营销资源，依托国内优秀的电商资源平台，为黔</w:t>
            </w:r>
            <w:r>
              <w:rPr>
                <w:rFonts w:ascii="宋体" w:hAnsi="宋体" w:eastAsia="方正仿宋_GBK" w:cs="方正仿宋_GBK"/>
                <w:snapToGrid w:val="0"/>
                <w:kern w:val="0"/>
                <w:sz w:val="28"/>
                <w:szCs w:val="28"/>
              </w:rPr>
              <w:t>江</w:t>
            </w:r>
            <w:r>
              <w:rPr>
                <w:rFonts w:hint="eastAsia" w:ascii="宋体" w:hAnsi="宋体" w:eastAsia="方正仿宋_GBK" w:cs="方正仿宋_GBK"/>
                <w:snapToGrid w:val="0"/>
                <w:kern w:val="0"/>
                <w:sz w:val="28"/>
                <w:szCs w:val="28"/>
              </w:rPr>
              <w:t>区农产品生产合作社、农户等提供线上服务，针对黔</w:t>
            </w:r>
            <w:r>
              <w:rPr>
                <w:rFonts w:ascii="宋体" w:hAnsi="宋体" w:eastAsia="方正仿宋_GBK" w:cs="方正仿宋_GBK"/>
                <w:snapToGrid w:val="0"/>
                <w:kern w:val="0"/>
                <w:sz w:val="28"/>
                <w:szCs w:val="28"/>
              </w:rPr>
              <w:t>江</w:t>
            </w:r>
            <w:r>
              <w:rPr>
                <w:rFonts w:hint="eastAsia" w:ascii="宋体" w:hAnsi="宋体" w:eastAsia="方正仿宋_GBK" w:cs="方正仿宋_GBK"/>
                <w:snapToGrid w:val="0"/>
                <w:kern w:val="0"/>
                <w:sz w:val="28"/>
                <w:szCs w:val="28"/>
              </w:rPr>
              <w:t>区农特产品，帮助困难群众搭上电子商务快速列车，解决黔</w:t>
            </w:r>
            <w:r>
              <w:rPr>
                <w:rFonts w:ascii="宋体" w:hAnsi="宋体" w:eastAsia="方正仿宋_GBK" w:cs="方正仿宋_GBK"/>
                <w:snapToGrid w:val="0"/>
                <w:kern w:val="0"/>
                <w:sz w:val="28"/>
                <w:szCs w:val="28"/>
              </w:rPr>
              <w:t>江</w:t>
            </w:r>
            <w:r>
              <w:rPr>
                <w:rFonts w:hint="eastAsia" w:ascii="宋体" w:hAnsi="宋体" w:eastAsia="方正仿宋_GBK" w:cs="方正仿宋_GBK"/>
                <w:snapToGrid w:val="0"/>
                <w:kern w:val="0"/>
                <w:sz w:val="28"/>
                <w:szCs w:val="28"/>
              </w:rPr>
              <w:t>区农村特色产品向外流通，打通线上渠道，帮助困难群众脱贫致富，结合电商服务及运营将困难群众的劳动成果转化为经济价值，以达到电商精准扶贫。</w:t>
            </w:r>
          </w:p>
          <w:p>
            <w:pPr>
              <w:spacing w:line="540" w:lineRule="exact"/>
              <w:ind w:firstLine="562" w:firstLineChars="200"/>
              <w:rPr>
                <w:rFonts w:ascii="宋体" w:hAnsi="宋体" w:eastAsia="方正仿宋_GBK"/>
                <w:snapToGrid w:val="0"/>
                <w:kern w:val="0"/>
                <w:sz w:val="28"/>
                <w:szCs w:val="28"/>
              </w:rPr>
            </w:pPr>
            <w:r>
              <w:rPr>
                <w:rFonts w:hint="eastAsia" w:ascii="宋体" w:hAnsi="宋体" w:eastAsia="方正仿宋_GBK" w:cs="方正仿宋_GBK"/>
                <w:b/>
                <w:snapToGrid w:val="0"/>
                <w:kern w:val="0"/>
                <w:sz w:val="28"/>
                <w:szCs w:val="28"/>
              </w:rPr>
              <w:t>农产品质量溯源平台。</w:t>
            </w:r>
            <w:r>
              <w:rPr>
                <w:rFonts w:hint="eastAsia" w:ascii="宋体" w:hAnsi="宋体" w:eastAsia="方正仿宋_GBK" w:cs="方正仿宋_GBK"/>
                <w:snapToGrid w:val="0"/>
                <w:kern w:val="0"/>
                <w:sz w:val="28"/>
                <w:szCs w:val="28"/>
              </w:rPr>
              <w:t>强化农产品质量安全全程追溯和投入品监管，建设区级农产品质量安全追溯综合管理信息平台，实现区级追溯综合管理信息平台与市级追溯平台的互通共享，并融入全国追溯“一张网”，应用区块链技术使追溯数据上链，增强平台可信性，提升监管农产品全链条、全流程、全领域质量安全能力。</w:t>
            </w:r>
          </w:p>
        </w:tc>
      </w:tr>
    </w:tbl>
    <w:p>
      <w:pPr>
        <w:pStyle w:val="5"/>
        <w:keepNext w:val="0"/>
        <w:keepLines w:val="0"/>
        <w:spacing w:before="0" w:after="0" w:line="574" w:lineRule="exact"/>
        <w:ind w:firstLine="642" w:firstLineChars="200"/>
        <w:rPr>
          <w:rFonts w:hint="eastAsia" w:ascii="宋体" w:hAnsi="宋体" w:eastAsia="方正仿宋_GBK"/>
          <w:kern w:val="0"/>
        </w:rPr>
      </w:pPr>
      <w:bookmarkStart w:id="133" w:name="_Toc5226"/>
      <w:bookmarkStart w:id="134" w:name="_Toc27762"/>
      <w:r>
        <w:rPr>
          <w:rFonts w:hint="eastAsia" w:ascii="Times New Roman" w:hAnsi="Times New Roman" w:eastAsia="方正仿宋_GBK"/>
          <w:kern w:val="0"/>
        </w:rPr>
        <w:t>3</w:t>
      </w:r>
      <w:r>
        <w:rPr>
          <w:rFonts w:hint="eastAsia" w:ascii="宋体" w:hAnsi="宋体" w:eastAsia="方正仿宋_GBK"/>
          <w:kern w:val="0"/>
        </w:rPr>
        <w:t>．智慧文旅</w:t>
      </w:r>
      <w:bookmarkEnd w:id="133"/>
      <w:bookmarkEnd w:id="134"/>
    </w:p>
    <w:p>
      <w:pPr>
        <w:spacing w:line="574" w:lineRule="exact"/>
        <w:ind w:firstLine="640" w:firstLineChars="200"/>
        <w:rPr>
          <w:rFonts w:hint="eastAsia"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以服务全域旅游为牵引，构建智慧旅游服务体系。加快旅游物联网设施建设，构建涉旅数据采集、存储、分析、展示和大数据应用基础。建立健全旅游资源基础数据库，实现旅游资源全方位、立体化的准确实时采集存储。通过黔</w:t>
      </w:r>
      <w:r>
        <w:rPr>
          <w:rFonts w:ascii="宋体" w:hAnsi="宋体" w:eastAsia="方正仿宋_GBK" w:cs="方正仿宋_GBK"/>
          <w:snapToGrid w:val="0"/>
          <w:kern w:val="0"/>
          <w:sz w:val="32"/>
          <w:szCs w:val="32"/>
        </w:rPr>
        <w:t>江</w:t>
      </w:r>
      <w:r>
        <w:rPr>
          <w:rFonts w:hint="eastAsia" w:ascii="宋体" w:hAnsi="宋体" w:eastAsia="方正仿宋_GBK" w:cs="方正仿宋_GBK"/>
          <w:snapToGrid w:val="0"/>
          <w:kern w:val="0"/>
          <w:sz w:val="32"/>
          <w:szCs w:val="32"/>
        </w:rPr>
        <w:t>区政务数据资源共享系统，加强与相关部门及企业数据的互联互通共享共用。推动重点涉旅场所的旅游信息互动终端和旅游信息发布系统，为旅游企业和游客提供信息服务。推动全域智慧旅游监管服务体系建设，实时掌握客流、车流、天气环保等信息，结合GPS、北斗系统实现远程视频实时监控、旅游安全预警、游客智能疏导、旅游紧急救援、旅游指挥调度等功能，提高旅游行业监管与应急指挥调度能力。以整合拓展优质文化资源，改善文化传播体系结构，完善产业布局的技术平台为主线，以推进公共文化服务体系建设为重点，扩大依托先进信息化技术为手段的现代化文化传播覆盖范围，用丰富的文化成果普惠市民，增强城市文化的实力和竞争力，形成均衡化、优质化、特色化、现代化的文化优势。加快智慧广电建设，着力构建高速、泛在、智慧、安全的新型信息化网络，传播文化，赋能产业，服务社会，提质生活。推动智慧广电在公共服务和智慧城市、智慧社区、智能生活等方面提质增效。推进广播电视与互联网深度融合，推动广播电视“云、网、端”资源要素有效整合、融通共享、智能协同；推进广播电视媒体与新兴媒体融合发展，促进广播电视在内容制作、分发传播、用户服务、技术支撑、生态建设以及运行管理等方面的智慧化发展协同推进。</w:t>
      </w:r>
    </w:p>
    <w:p>
      <w:pPr>
        <w:tabs>
          <w:tab w:val="left" w:pos="0"/>
        </w:tabs>
        <w:adjustRightInd w:val="0"/>
        <w:snapToGrid w:val="0"/>
        <w:spacing w:line="574" w:lineRule="exact"/>
        <w:jc w:val="center"/>
        <w:rPr>
          <w:rFonts w:hint="eastAsia" w:ascii="宋体" w:hAnsi="宋体" w:eastAsia="方正黑体_GBK"/>
          <w:bCs/>
          <w:snapToGrid w:val="0"/>
          <w:kern w:val="0"/>
          <w:sz w:val="32"/>
          <w:szCs w:val="32"/>
        </w:rPr>
      </w:pPr>
      <w:r>
        <w:rPr>
          <w:rFonts w:hint="eastAsia" w:ascii="宋体" w:hAnsi="宋体" w:eastAsia="方正黑体_GBK"/>
          <w:bCs/>
          <w:snapToGrid w:val="0"/>
          <w:kern w:val="0"/>
          <w:sz w:val="32"/>
          <w:szCs w:val="32"/>
        </w:rPr>
        <w:t>专栏</w:t>
      </w:r>
      <w:r>
        <w:rPr>
          <w:rFonts w:hint="eastAsia" w:ascii="Times New Roman" w:hAnsi="Times New Roman" w:eastAsia="方正黑体_GBK"/>
          <w:bCs/>
          <w:snapToGrid w:val="0"/>
          <w:kern w:val="0"/>
          <w:sz w:val="32"/>
          <w:szCs w:val="32"/>
        </w:rPr>
        <w:t>20</w:t>
      </w:r>
      <w:r>
        <w:rPr>
          <w:rFonts w:hint="eastAsia" w:ascii="宋体" w:hAnsi="宋体" w:eastAsia="方正黑体_GBK"/>
          <w:bCs/>
          <w:snapToGrid w:val="0"/>
          <w:kern w:val="0"/>
          <w:sz w:val="32"/>
          <w:szCs w:val="32"/>
        </w:rPr>
        <w:t>：智慧文旅重点工程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adjustRightInd w:val="0"/>
              <w:snapToGrid w:val="0"/>
              <w:spacing w:line="500" w:lineRule="exact"/>
              <w:ind w:firstLine="562" w:firstLineChars="200"/>
              <w:rPr>
                <w:rFonts w:hint="eastAsia" w:ascii="宋体" w:hAnsi="宋体" w:eastAsia="方正仿宋_GBK"/>
                <w:bCs/>
                <w:snapToGrid w:val="0"/>
                <w:kern w:val="0"/>
                <w:sz w:val="28"/>
                <w:szCs w:val="28"/>
                <w:lang w:val="zh-TW"/>
              </w:rPr>
            </w:pPr>
            <w:r>
              <w:rPr>
                <w:rFonts w:hint="eastAsia" w:ascii="宋体" w:hAnsi="宋体" w:eastAsia="方正仿宋_GBK"/>
                <w:b/>
                <w:bCs/>
                <w:snapToGrid w:val="0"/>
                <w:kern w:val="0"/>
                <w:sz w:val="28"/>
                <w:szCs w:val="28"/>
                <w:lang w:val="zh-TW"/>
              </w:rPr>
              <w:t>全域智慧旅游大数据服务平台工程。</w:t>
            </w:r>
            <w:r>
              <w:rPr>
                <w:rFonts w:hint="eastAsia" w:ascii="宋体" w:hAnsi="宋体" w:eastAsia="方正仿宋_GBK"/>
                <w:bCs/>
                <w:snapToGrid w:val="0"/>
                <w:kern w:val="0"/>
                <w:sz w:val="28"/>
                <w:szCs w:val="28"/>
                <w:lang w:val="zh-TW"/>
              </w:rPr>
              <w:t>通过建设全域智慧旅游大数据中心，赋能区内各景区的运营业务，为旅游产业创造增量，同时依托区大数据资源中心导入“吃住行游购娱”相关产业、市场、交易、消费者大数据资源，结合政府监管部门相关数据，共同构建旅游行业适用的实时游客计算与画像分析，实时游客到达预测、游客消费需求预判、历史游客洞察、旅游行业洞察，舆情监控等全域旅游大数据服务。</w:t>
            </w:r>
          </w:p>
          <w:p>
            <w:pPr>
              <w:adjustRightInd w:val="0"/>
              <w:snapToGrid w:val="0"/>
              <w:spacing w:line="540" w:lineRule="exact"/>
              <w:ind w:firstLine="562" w:firstLineChars="200"/>
              <w:rPr>
                <w:rFonts w:hint="eastAsia" w:ascii="宋体" w:hAnsi="宋体" w:eastAsia="方正仿宋_GBK"/>
                <w:bCs/>
                <w:snapToGrid w:val="0"/>
                <w:kern w:val="0"/>
                <w:sz w:val="28"/>
                <w:szCs w:val="28"/>
                <w:lang w:val="zh-TW"/>
              </w:rPr>
            </w:pPr>
            <w:r>
              <w:rPr>
                <w:rFonts w:hint="eastAsia" w:ascii="宋体" w:hAnsi="宋体" w:eastAsia="方正仿宋_GBK"/>
                <w:b/>
                <w:bCs/>
                <w:snapToGrid w:val="0"/>
                <w:kern w:val="0"/>
                <w:sz w:val="28"/>
                <w:szCs w:val="28"/>
                <w:lang w:val="zh-TW"/>
              </w:rPr>
              <w:t>黔江公共数字文化资源平台。</w:t>
            </w:r>
            <w:r>
              <w:rPr>
                <w:rFonts w:hint="eastAsia" w:ascii="宋体" w:hAnsi="宋体" w:eastAsia="方正仿宋_GBK"/>
                <w:bCs/>
                <w:snapToGrid w:val="0"/>
                <w:kern w:val="0"/>
                <w:sz w:val="28"/>
                <w:szCs w:val="28"/>
                <w:lang w:val="zh-TW"/>
              </w:rPr>
              <w:t>整合资源，实现共建共享，统筹建设数字图书馆、数字文化馆、数字博物馆等公益文化基础设施，提高全区公共文化服务信息化、网络化水平。建设文物古迹虚拟仿真系统、数字影院、体育场馆可视化管理服务于一体化指挥系统，实施文化遗产数字保护工程，加强对历史文化保存与保护。推进网络文化产业集聚发展，加快培育富有活力、形态多样的产业集群。</w:t>
            </w:r>
          </w:p>
          <w:p>
            <w:pPr>
              <w:adjustRightInd w:val="0"/>
              <w:snapToGrid w:val="0"/>
              <w:spacing w:line="540" w:lineRule="exact"/>
              <w:ind w:firstLine="562" w:firstLineChars="200"/>
              <w:rPr>
                <w:rFonts w:hint="eastAsia" w:ascii="宋体" w:hAnsi="宋体" w:eastAsia="方正仿宋_GBK"/>
                <w:bCs/>
                <w:snapToGrid w:val="0"/>
                <w:kern w:val="0"/>
                <w:sz w:val="28"/>
                <w:szCs w:val="28"/>
                <w:lang w:val="zh-TW"/>
              </w:rPr>
            </w:pPr>
            <w:r>
              <w:rPr>
                <w:rFonts w:hint="eastAsia" w:ascii="宋体" w:hAnsi="宋体" w:eastAsia="方正仿宋_GBK"/>
                <w:b/>
                <w:bCs/>
                <w:snapToGrid w:val="0"/>
                <w:kern w:val="0"/>
                <w:sz w:val="28"/>
                <w:szCs w:val="28"/>
                <w:lang w:val="zh-TW"/>
              </w:rPr>
              <w:t>全区应急广播系统。</w:t>
            </w:r>
            <w:r>
              <w:rPr>
                <w:rFonts w:hint="eastAsia" w:ascii="宋体" w:hAnsi="宋体" w:eastAsia="方正仿宋_GBK"/>
                <w:bCs/>
                <w:snapToGrid w:val="0"/>
                <w:kern w:val="0"/>
                <w:sz w:val="28"/>
                <w:szCs w:val="28"/>
                <w:lang w:val="zh-TW"/>
              </w:rPr>
              <w:t>按照“规划设计统一化、平台建设层级化、传输网络综合化、终端部署多样化”的思路，统筹利用现有广播电视资源，建设区、乡镇（街道）两级应急广播管理平台，完善有线、无线多种方式融合、具备多路并发能力的应急覆盖网络，逐步实现全区应急广播终端全覆盖，建成区、乡镇（街道）、村（社区）三级信息共享、分级负责、反应快捷、安全可靠的应急广播体系，向城乡居民提供灾害预警应急广播和政务信息发布、政策宣讲等平战结合的广播服务。</w:t>
            </w:r>
          </w:p>
          <w:p>
            <w:pPr>
              <w:adjustRightInd w:val="0"/>
              <w:snapToGrid w:val="0"/>
              <w:spacing w:line="540" w:lineRule="exact"/>
              <w:ind w:firstLine="562" w:firstLineChars="200"/>
              <w:rPr>
                <w:rFonts w:hint="eastAsia" w:ascii="宋体" w:hAnsi="宋体" w:eastAsia="方正仿宋_GBK"/>
                <w:bCs/>
                <w:snapToGrid w:val="0"/>
                <w:kern w:val="0"/>
                <w:sz w:val="28"/>
                <w:szCs w:val="28"/>
              </w:rPr>
            </w:pPr>
            <w:r>
              <w:rPr>
                <w:rFonts w:hint="eastAsia" w:ascii="宋体" w:hAnsi="宋体" w:eastAsia="方正仿宋_GBK"/>
                <w:b/>
                <w:bCs/>
                <w:snapToGrid w:val="0"/>
                <w:kern w:val="0"/>
                <w:sz w:val="28"/>
                <w:szCs w:val="28"/>
                <w:lang w:val="zh-TW"/>
              </w:rPr>
              <w:t>濯水古镇智慧景区。</w:t>
            </w:r>
            <w:r>
              <w:rPr>
                <w:rFonts w:hint="eastAsia" w:ascii="宋体" w:hAnsi="宋体" w:eastAsia="方正仿宋_GBK"/>
                <w:bCs/>
                <w:snapToGrid w:val="0"/>
                <w:kern w:val="0"/>
                <w:sz w:val="28"/>
                <w:szCs w:val="28"/>
                <w:lang w:val="zh-TW"/>
              </w:rPr>
              <w:t>根据国家</w:t>
            </w:r>
            <w:r>
              <w:rPr>
                <w:rFonts w:hint="eastAsia" w:ascii="Times New Roman" w:hAnsi="Times New Roman" w:eastAsia="方正仿宋_GBK"/>
                <w:bCs/>
                <w:snapToGrid w:val="0"/>
                <w:kern w:val="0"/>
                <w:sz w:val="28"/>
                <w:szCs w:val="28"/>
                <w:lang w:val="zh-TW"/>
              </w:rPr>
              <w:t>5</w:t>
            </w:r>
            <w:r>
              <w:rPr>
                <w:rFonts w:hint="eastAsia" w:ascii="宋体" w:hAnsi="宋体" w:eastAsia="方正仿宋_GBK"/>
                <w:bCs/>
                <w:snapToGrid w:val="0"/>
                <w:kern w:val="0"/>
                <w:sz w:val="28"/>
                <w:szCs w:val="28"/>
                <w:lang w:val="zh-TW"/>
              </w:rPr>
              <w:t>A级景区评定标准及全域旅游应用，全面构建濯水古镇智慧景区。通过建设景区大数据平台，形成统一的旅游大数据库和旅游大数据分析系统，准确反映旅游客源市场情况、旅游产品关注情况、旅游经济发展情况等。同时接入黔江区数据资源共享系统，实现与各部门的数据需求共享。建设景区电子商务系统、票务系统、数据监测平台、智慧路灯、智慧厕所、游客舆情管理系统等，推动景区旅游服务便捷化、旅游管理智能化。</w:t>
            </w:r>
          </w:p>
        </w:tc>
      </w:tr>
    </w:tbl>
    <w:p>
      <w:pPr>
        <w:pStyle w:val="5"/>
        <w:keepNext w:val="0"/>
        <w:keepLines w:val="0"/>
        <w:spacing w:before="0" w:after="0" w:line="574" w:lineRule="exact"/>
        <w:ind w:firstLine="642" w:firstLineChars="200"/>
        <w:rPr>
          <w:rFonts w:hint="eastAsia" w:ascii="宋体" w:hAnsi="宋体" w:eastAsia="方正仿宋_GBK"/>
          <w:kern w:val="0"/>
        </w:rPr>
      </w:pPr>
      <w:bookmarkStart w:id="135" w:name="_Toc18531"/>
      <w:bookmarkStart w:id="136" w:name="_Toc2049"/>
      <w:r>
        <w:rPr>
          <w:rFonts w:ascii="Times New Roman" w:hAnsi="Times New Roman" w:eastAsia="方正仿宋_GBK"/>
          <w:kern w:val="0"/>
        </w:rPr>
        <w:t>4</w:t>
      </w:r>
      <w:r>
        <w:rPr>
          <w:rFonts w:hint="eastAsia" w:ascii="宋体" w:hAnsi="宋体" w:eastAsia="方正仿宋_GBK"/>
          <w:kern w:val="0"/>
        </w:rPr>
        <w:t>．智慧金融</w:t>
      </w:r>
      <w:bookmarkEnd w:id="135"/>
      <w:bookmarkEnd w:id="136"/>
    </w:p>
    <w:p>
      <w:pPr>
        <w:spacing w:line="574" w:lineRule="exact"/>
        <w:ind w:firstLine="640" w:firstLineChars="200"/>
        <w:rPr>
          <w:rFonts w:hint="eastAsia"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依托黔</w:t>
      </w:r>
      <w:r>
        <w:rPr>
          <w:rFonts w:ascii="宋体" w:hAnsi="宋体" w:eastAsia="方正仿宋_GBK" w:cs="方正仿宋_GBK"/>
          <w:snapToGrid w:val="0"/>
          <w:kern w:val="0"/>
          <w:sz w:val="32"/>
          <w:szCs w:val="32"/>
        </w:rPr>
        <w:t>江</w:t>
      </w:r>
      <w:r>
        <w:rPr>
          <w:rFonts w:hint="eastAsia" w:ascii="宋体" w:hAnsi="宋体" w:eastAsia="方正仿宋_GBK" w:cs="方正仿宋_GBK"/>
          <w:snapToGrid w:val="0"/>
          <w:kern w:val="0"/>
          <w:sz w:val="32"/>
          <w:szCs w:val="32"/>
        </w:rPr>
        <w:t>区政务数据资源共享系统，整合有关区级部门和事业单位相关数据资源，建设融资主题数据库。结合黔江实际，开展数字普惠金融行动，依托</w:t>
      </w:r>
      <w:r>
        <w:rPr>
          <w:rFonts w:hint="eastAsia" w:ascii="Times New Roman" w:hAnsi="Times New Roman" w:eastAsia="方正仿宋_GBK" w:cs="方正仿宋_GBK"/>
          <w:snapToGrid w:val="0"/>
          <w:kern w:val="0"/>
          <w:sz w:val="32"/>
          <w:szCs w:val="32"/>
        </w:rPr>
        <w:t>1</w:t>
      </w:r>
      <w:r>
        <w:rPr>
          <w:rFonts w:hint="eastAsia" w:ascii="宋体" w:hAnsi="宋体" w:eastAsia="方正仿宋_GBK" w:cs="方正仿宋_GBK"/>
          <w:snapToGrid w:val="0"/>
          <w:kern w:val="0"/>
          <w:sz w:val="32"/>
          <w:szCs w:val="32"/>
        </w:rPr>
        <w:t>+</w:t>
      </w:r>
      <w:r>
        <w:rPr>
          <w:rFonts w:hint="eastAsia" w:ascii="Times New Roman" w:hAnsi="Times New Roman" w:eastAsia="方正仿宋_GBK" w:cs="方正仿宋_GBK"/>
          <w:snapToGrid w:val="0"/>
          <w:kern w:val="0"/>
          <w:sz w:val="32"/>
          <w:szCs w:val="32"/>
        </w:rPr>
        <w:t>2</w:t>
      </w:r>
      <w:r>
        <w:rPr>
          <w:rFonts w:hint="eastAsia" w:ascii="宋体" w:hAnsi="宋体" w:eastAsia="方正仿宋_GBK" w:cs="方正仿宋_GBK"/>
          <w:snapToGrid w:val="0"/>
          <w:kern w:val="0"/>
          <w:sz w:val="32"/>
          <w:szCs w:val="32"/>
        </w:rPr>
        <w:t>+N普惠金融基地，大力推广移动支付和手机银行业务，鼓励互联网金融机构发挥普惠功能，改进基础金融服务体验，为农户推荐合适的金融产品，同时提供政策咨询、行业情报、融资产品等综合性企业价值评估与能力提升信息服务。</w:t>
      </w:r>
    </w:p>
    <w:p>
      <w:pPr>
        <w:tabs>
          <w:tab w:val="left" w:pos="0"/>
        </w:tabs>
        <w:spacing w:line="574" w:lineRule="exact"/>
        <w:jc w:val="center"/>
        <w:rPr>
          <w:rFonts w:hint="eastAsia" w:ascii="宋体" w:hAnsi="宋体" w:eastAsia="方正黑体_GBK"/>
          <w:bCs/>
          <w:snapToGrid w:val="0"/>
          <w:kern w:val="0"/>
          <w:sz w:val="32"/>
          <w:szCs w:val="32"/>
        </w:rPr>
      </w:pPr>
      <w:r>
        <w:rPr>
          <w:rFonts w:hint="eastAsia" w:ascii="宋体" w:hAnsi="宋体" w:eastAsia="方正黑体_GBK"/>
          <w:bCs/>
          <w:snapToGrid w:val="0"/>
          <w:kern w:val="0"/>
          <w:sz w:val="32"/>
          <w:szCs w:val="32"/>
        </w:rPr>
        <w:t>专栏</w:t>
      </w:r>
      <w:r>
        <w:rPr>
          <w:rFonts w:hint="eastAsia" w:ascii="Times New Roman" w:hAnsi="Times New Roman" w:eastAsia="方正黑体_GBK"/>
          <w:bCs/>
          <w:snapToGrid w:val="0"/>
          <w:kern w:val="0"/>
          <w:sz w:val="32"/>
          <w:szCs w:val="32"/>
        </w:rPr>
        <w:t>21</w:t>
      </w:r>
      <w:r>
        <w:rPr>
          <w:rFonts w:hint="eastAsia" w:ascii="宋体" w:hAnsi="宋体" w:eastAsia="方正黑体_GBK"/>
          <w:bCs/>
          <w:snapToGrid w:val="0"/>
          <w:kern w:val="0"/>
          <w:sz w:val="32"/>
          <w:szCs w:val="32"/>
        </w:rPr>
        <w:t>：智慧金融重点工程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noWrap w:val="0"/>
            <w:vAlign w:val="center"/>
          </w:tcPr>
          <w:p>
            <w:pPr>
              <w:spacing w:line="540" w:lineRule="exact"/>
              <w:ind w:firstLine="562" w:firstLineChars="200"/>
              <w:rPr>
                <w:rFonts w:hint="eastAsia" w:ascii="宋体" w:hAnsi="宋体" w:eastAsia="方正仿宋_GBK"/>
                <w:snapToGrid w:val="0"/>
                <w:kern w:val="0"/>
                <w:sz w:val="28"/>
                <w:szCs w:val="28"/>
              </w:rPr>
            </w:pPr>
            <w:r>
              <w:rPr>
                <w:rFonts w:hint="eastAsia" w:ascii="宋体" w:hAnsi="宋体" w:eastAsia="方正仿宋_GBK"/>
                <w:b/>
                <w:snapToGrid w:val="0"/>
                <w:kern w:val="0"/>
                <w:sz w:val="28"/>
                <w:szCs w:val="28"/>
              </w:rPr>
              <w:t>普惠金融平台。</w:t>
            </w:r>
            <w:r>
              <w:rPr>
                <w:rFonts w:hint="eastAsia" w:ascii="宋体" w:hAnsi="宋体" w:eastAsia="方正仿宋_GBK"/>
                <w:snapToGrid w:val="0"/>
                <w:kern w:val="0"/>
                <w:sz w:val="28"/>
                <w:szCs w:val="28"/>
              </w:rPr>
              <w:t>数字普惠金融行动。为了更好的推动普惠金融助力乡村振兴发展，助推经济新常态下的县域经济转型升级，依托</w:t>
            </w:r>
            <w:r>
              <w:rPr>
                <w:rFonts w:hint="eastAsia" w:ascii="Times New Roman" w:hAnsi="Times New Roman" w:eastAsia="方正仿宋_GBK"/>
                <w:snapToGrid w:val="0"/>
                <w:kern w:val="0"/>
                <w:sz w:val="28"/>
                <w:szCs w:val="28"/>
              </w:rPr>
              <w:t>1</w:t>
            </w:r>
            <w:r>
              <w:rPr>
                <w:rFonts w:hint="eastAsia" w:ascii="宋体" w:hAnsi="宋体" w:eastAsia="方正仿宋_GBK"/>
                <w:snapToGrid w:val="0"/>
                <w:kern w:val="0"/>
                <w:sz w:val="28"/>
                <w:szCs w:val="28"/>
              </w:rPr>
              <w:t>+</w:t>
            </w:r>
            <w:r>
              <w:rPr>
                <w:rFonts w:hint="eastAsia" w:ascii="Times New Roman" w:hAnsi="Times New Roman" w:eastAsia="方正仿宋_GBK"/>
                <w:snapToGrid w:val="0"/>
                <w:kern w:val="0"/>
                <w:sz w:val="28"/>
                <w:szCs w:val="28"/>
              </w:rPr>
              <w:t>2</w:t>
            </w:r>
            <w:r>
              <w:rPr>
                <w:rFonts w:hint="eastAsia" w:ascii="宋体" w:hAnsi="宋体" w:eastAsia="方正仿宋_GBK"/>
                <w:snapToGrid w:val="0"/>
                <w:kern w:val="0"/>
                <w:sz w:val="28"/>
                <w:szCs w:val="28"/>
              </w:rPr>
              <w:t>+N普惠金融基地，开展数字普惠金融行动。</w:t>
            </w:r>
          </w:p>
          <w:p>
            <w:pPr>
              <w:spacing w:line="540" w:lineRule="exact"/>
              <w:ind w:firstLine="562" w:firstLineChars="200"/>
              <w:rPr>
                <w:rFonts w:hint="eastAsia" w:ascii="宋体" w:hAnsi="宋体" w:eastAsia="方正仿宋_GBK"/>
                <w:bCs/>
                <w:snapToGrid w:val="0"/>
                <w:kern w:val="0"/>
                <w:sz w:val="28"/>
                <w:szCs w:val="28"/>
              </w:rPr>
            </w:pPr>
            <w:r>
              <w:rPr>
                <w:rFonts w:hint="eastAsia" w:ascii="宋体" w:hAnsi="宋体" w:eastAsia="方正仿宋_GBK"/>
                <w:b/>
                <w:snapToGrid w:val="0"/>
                <w:kern w:val="0"/>
                <w:sz w:val="28"/>
                <w:szCs w:val="28"/>
              </w:rPr>
              <w:t>移动支付应用。</w:t>
            </w:r>
            <w:r>
              <w:rPr>
                <w:rFonts w:hint="eastAsia" w:ascii="宋体" w:hAnsi="宋体" w:eastAsia="方正仿宋_GBK"/>
                <w:snapToGrid w:val="0"/>
                <w:kern w:val="0"/>
                <w:sz w:val="28"/>
                <w:szCs w:val="28"/>
              </w:rPr>
              <w:t>通过投入科技创新能力及落地推广资源，到</w:t>
            </w:r>
            <w:r>
              <w:rPr>
                <w:rFonts w:hint="eastAsia" w:ascii="Times New Roman" w:hAnsi="Times New Roman" w:eastAsia="方正仿宋_GBK"/>
                <w:snapToGrid w:val="0"/>
                <w:kern w:val="0"/>
                <w:sz w:val="28"/>
                <w:szCs w:val="28"/>
              </w:rPr>
              <w:t>2021</w:t>
            </w:r>
            <w:r>
              <w:rPr>
                <w:rFonts w:hint="eastAsia" w:ascii="宋体" w:hAnsi="宋体" w:eastAsia="方正仿宋_GBK"/>
                <w:snapToGrid w:val="0"/>
                <w:kern w:val="0"/>
                <w:sz w:val="28"/>
                <w:szCs w:val="28"/>
              </w:rPr>
              <w:t>年实现政务大厅、车站、酒店、停车场、景区等重点支付场景全面覆盖人脸支付、扫码支付等智能化设备设施，实现个人消费者对智能化生活的体验升级；进一步拓展移动支付应用的深度与广度，帮助线下商业实现数字化升级，基于二维码商业场景和数据，让线下小微商家享受到经营分析、账务管理、理财、保险、贷款等多维的金融科技服务。</w:t>
            </w:r>
          </w:p>
        </w:tc>
      </w:tr>
    </w:tbl>
    <w:p>
      <w:pPr>
        <w:pStyle w:val="5"/>
        <w:keepNext w:val="0"/>
        <w:keepLines w:val="0"/>
        <w:spacing w:before="0" w:after="0" w:line="574" w:lineRule="exact"/>
        <w:ind w:firstLine="642" w:firstLineChars="200"/>
        <w:rPr>
          <w:rFonts w:hint="eastAsia" w:ascii="宋体" w:hAnsi="宋体" w:eastAsia="方正仿宋_GBK"/>
          <w:kern w:val="0"/>
        </w:rPr>
      </w:pPr>
      <w:bookmarkStart w:id="137" w:name="_Toc13793"/>
      <w:bookmarkStart w:id="138" w:name="_Toc32732"/>
      <w:r>
        <w:rPr>
          <w:rFonts w:ascii="Times New Roman" w:hAnsi="Times New Roman" w:eastAsia="方正仿宋_GBK"/>
          <w:kern w:val="0"/>
        </w:rPr>
        <w:t>5</w:t>
      </w:r>
      <w:r>
        <w:rPr>
          <w:rFonts w:hint="eastAsia" w:ascii="宋体" w:hAnsi="宋体" w:eastAsia="方正仿宋_GBK"/>
          <w:kern w:val="0"/>
        </w:rPr>
        <w:t>．智慧商务</w:t>
      </w:r>
      <w:bookmarkEnd w:id="137"/>
      <w:bookmarkEnd w:id="138"/>
    </w:p>
    <w:p>
      <w:pPr>
        <w:spacing w:line="574" w:lineRule="exact"/>
        <w:ind w:firstLine="640" w:firstLineChars="200"/>
        <w:rPr>
          <w:rFonts w:hint="eastAsia"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以促进商务高质量发展为目标，加快大数据、人工智能、移动互联网和物联网等技术在商务领域的深度融合。构建智慧商务新场景，大力发展基于互联网大数据智能化的新业态新模式，积极培育共享经济、平台经济，着力打造智慧商圈。推动传统商务领域企业智慧化转型，实施线上线下一体化全渠道经营，实现商业模式、管理模式与核心竞争力的数字化。促进智慧商贸流通体系建设，发展智慧仓储、智慧物流、智慧冷链及商品条码等体系，建设重要产品追溯公共服务平台。</w:t>
      </w:r>
    </w:p>
    <w:p>
      <w:pPr>
        <w:tabs>
          <w:tab w:val="left" w:pos="0"/>
        </w:tabs>
        <w:adjustRightInd w:val="0"/>
        <w:snapToGrid w:val="0"/>
        <w:spacing w:line="574" w:lineRule="exact"/>
        <w:jc w:val="center"/>
        <w:rPr>
          <w:rFonts w:hint="eastAsia" w:ascii="宋体" w:hAnsi="宋体" w:eastAsia="方正黑体_GBK"/>
          <w:bCs/>
          <w:snapToGrid w:val="0"/>
          <w:kern w:val="0"/>
          <w:sz w:val="32"/>
          <w:szCs w:val="32"/>
        </w:rPr>
      </w:pPr>
      <w:r>
        <w:rPr>
          <w:rFonts w:hint="eastAsia" w:ascii="宋体" w:hAnsi="宋体" w:eastAsia="方正黑体_GBK"/>
          <w:bCs/>
          <w:snapToGrid w:val="0"/>
          <w:kern w:val="0"/>
          <w:sz w:val="32"/>
          <w:szCs w:val="32"/>
        </w:rPr>
        <w:t>专栏</w:t>
      </w:r>
      <w:r>
        <w:rPr>
          <w:rFonts w:hint="eastAsia" w:ascii="Times New Roman" w:hAnsi="Times New Roman" w:eastAsia="方正黑体_GBK"/>
          <w:bCs/>
          <w:snapToGrid w:val="0"/>
          <w:kern w:val="0"/>
          <w:sz w:val="32"/>
          <w:szCs w:val="32"/>
        </w:rPr>
        <w:t>22</w:t>
      </w:r>
      <w:r>
        <w:rPr>
          <w:rFonts w:hint="eastAsia" w:ascii="宋体" w:hAnsi="宋体" w:eastAsia="方正黑体_GBK"/>
          <w:bCs/>
          <w:snapToGrid w:val="0"/>
          <w:kern w:val="0"/>
          <w:sz w:val="32"/>
          <w:szCs w:val="32"/>
        </w:rPr>
        <w:t>：智慧商务重点工程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spacing w:line="540" w:lineRule="exact"/>
              <w:ind w:firstLine="562" w:firstLineChars="200"/>
              <w:rPr>
                <w:rFonts w:hint="eastAsia" w:ascii="宋体" w:hAnsi="宋体" w:eastAsia="方正仿宋_GBK"/>
                <w:bCs/>
                <w:snapToGrid w:val="0"/>
                <w:kern w:val="0"/>
                <w:sz w:val="28"/>
                <w:szCs w:val="28"/>
                <w:lang w:val="zh-TW"/>
              </w:rPr>
            </w:pPr>
            <w:r>
              <w:rPr>
                <w:rFonts w:hint="eastAsia" w:ascii="宋体" w:hAnsi="宋体" w:eastAsia="方正仿宋_GBK"/>
                <w:b/>
                <w:bCs/>
                <w:snapToGrid w:val="0"/>
                <w:kern w:val="0"/>
                <w:sz w:val="28"/>
                <w:szCs w:val="28"/>
                <w:lang w:val="zh-TW"/>
              </w:rPr>
              <w:t>智慧商圈工程。</w:t>
            </w:r>
            <w:r>
              <w:rPr>
                <w:rFonts w:hint="eastAsia" w:ascii="宋体" w:hAnsi="宋体" w:eastAsia="方正仿宋_GBK"/>
                <w:bCs/>
                <w:snapToGrid w:val="0"/>
                <w:kern w:val="0"/>
                <w:sz w:val="28"/>
                <w:szCs w:val="28"/>
                <w:lang w:val="zh-TW"/>
              </w:rPr>
              <w:t>推进商圈WiFi全覆盖，实现O</w:t>
            </w:r>
            <w:r>
              <w:rPr>
                <w:rFonts w:hint="eastAsia" w:ascii="Times New Roman" w:hAnsi="Times New Roman" w:eastAsia="方正仿宋_GBK"/>
                <w:bCs/>
                <w:snapToGrid w:val="0"/>
                <w:kern w:val="0"/>
                <w:sz w:val="28"/>
                <w:szCs w:val="28"/>
                <w:lang w:val="zh-TW"/>
              </w:rPr>
              <w:t>2</w:t>
            </w:r>
            <w:r>
              <w:rPr>
                <w:rFonts w:hint="eastAsia" w:ascii="宋体" w:hAnsi="宋体" w:eastAsia="方正仿宋_GBK"/>
                <w:bCs/>
                <w:snapToGrid w:val="0"/>
                <w:kern w:val="0"/>
                <w:sz w:val="28"/>
                <w:szCs w:val="28"/>
                <w:lang w:val="zh-TW"/>
              </w:rPr>
              <w:t>O电商平台、商圈金融、停车诱导、政务查询、社交平台、促销打折、旅游服务等功能。开发智慧商圈移动终端</w:t>
            </w:r>
            <w:r>
              <w:rPr>
                <w:rFonts w:hint="eastAsia" w:ascii="Times New Roman" w:hAnsi="Times New Roman" w:eastAsia="方正仿宋_GBK"/>
                <w:bCs/>
                <w:snapToGrid w:val="0"/>
                <w:kern w:val="0"/>
                <w:sz w:val="28"/>
                <w:szCs w:val="28"/>
                <w:lang w:val="zh-TW"/>
              </w:rPr>
              <w:t>APP</w:t>
            </w:r>
            <w:r>
              <w:rPr>
                <w:rFonts w:hint="eastAsia" w:ascii="宋体" w:hAnsi="宋体" w:eastAsia="方正仿宋_GBK"/>
                <w:bCs/>
                <w:snapToGrid w:val="0"/>
                <w:kern w:val="0"/>
                <w:sz w:val="28"/>
                <w:szCs w:val="28"/>
                <w:lang w:val="zh-TW"/>
              </w:rPr>
              <w:t>、智慧商圈网，实现智能化、便利化、一站式、综合性商圈有效供给。通过智能硬件、物联网等技术建立与消费者之间的联系，增强用户体验，实现商圈数字化、消费需求场景化，对商圈的整体动线规划、商业业态布局、安全、卫生等方面提供支撑。</w:t>
            </w:r>
          </w:p>
          <w:p>
            <w:pPr>
              <w:spacing w:line="540" w:lineRule="exact"/>
              <w:ind w:firstLine="562" w:firstLineChars="200"/>
              <w:rPr>
                <w:rFonts w:hint="eastAsia" w:ascii="宋体" w:hAnsi="宋体" w:eastAsia="方正仿宋_GBK"/>
                <w:bCs/>
                <w:snapToGrid w:val="0"/>
                <w:kern w:val="0"/>
                <w:sz w:val="28"/>
                <w:szCs w:val="28"/>
                <w:lang w:val="zh-TW"/>
              </w:rPr>
            </w:pPr>
            <w:r>
              <w:rPr>
                <w:rFonts w:hint="eastAsia" w:ascii="宋体" w:hAnsi="宋体" w:eastAsia="方正仿宋_GBK"/>
                <w:b/>
                <w:bCs/>
                <w:snapToGrid w:val="0"/>
                <w:kern w:val="0"/>
                <w:sz w:val="28"/>
                <w:szCs w:val="28"/>
                <w:lang w:val="zh-TW"/>
              </w:rPr>
              <w:t>智慧物流。</w:t>
            </w:r>
            <w:r>
              <w:rPr>
                <w:rFonts w:hint="eastAsia" w:ascii="宋体" w:hAnsi="宋体" w:eastAsia="方正仿宋_GBK"/>
                <w:bCs/>
                <w:snapToGrid w:val="0"/>
                <w:kern w:val="0"/>
                <w:sz w:val="28"/>
                <w:szCs w:val="28"/>
                <w:lang w:val="zh-TW"/>
              </w:rPr>
              <w:t>智慧物流是面向物流以及关联企业的仓储、运输管理综合服务平台，对物流运输的全产业链的各个环节订单、仓库、配送等进行整体计划、协调、控制和优化，贯穿物流生产的各个环节，打造互联互通、高效协同的物流管理体系。</w:t>
            </w:r>
          </w:p>
        </w:tc>
      </w:tr>
    </w:tbl>
    <w:p>
      <w:pPr>
        <w:pStyle w:val="5"/>
        <w:keepNext w:val="0"/>
        <w:keepLines w:val="0"/>
        <w:spacing w:before="0" w:after="0" w:line="574" w:lineRule="exact"/>
        <w:ind w:firstLine="642" w:firstLineChars="200"/>
        <w:rPr>
          <w:rFonts w:hint="eastAsia" w:ascii="宋体" w:hAnsi="宋体" w:eastAsia="方正仿宋_GBK"/>
          <w:kern w:val="0"/>
        </w:rPr>
      </w:pPr>
      <w:bookmarkStart w:id="139" w:name="_Toc12000"/>
      <w:bookmarkStart w:id="140" w:name="_Toc10327"/>
      <w:r>
        <w:rPr>
          <w:rFonts w:ascii="Times New Roman" w:hAnsi="Times New Roman" w:eastAsia="方正仿宋_GBK"/>
          <w:kern w:val="0"/>
        </w:rPr>
        <w:t>6</w:t>
      </w:r>
      <w:r>
        <w:rPr>
          <w:rFonts w:hint="eastAsia" w:ascii="宋体" w:hAnsi="宋体" w:eastAsia="方正仿宋_GBK"/>
          <w:kern w:val="0"/>
        </w:rPr>
        <w:t>．智慧招商</w:t>
      </w:r>
      <w:bookmarkEnd w:id="139"/>
      <w:bookmarkEnd w:id="140"/>
    </w:p>
    <w:p>
      <w:pPr>
        <w:spacing w:line="574" w:lineRule="exact"/>
        <w:ind w:firstLine="640" w:firstLineChars="200"/>
        <w:rPr>
          <w:rFonts w:ascii="宋体" w:hAnsi="宋体" w:eastAsia="方正仿宋_GBK"/>
          <w:snapToGrid w:val="0"/>
          <w:kern w:val="0"/>
          <w:sz w:val="32"/>
          <w:szCs w:val="32"/>
        </w:rPr>
      </w:pPr>
      <w:r>
        <w:rPr>
          <w:rFonts w:hint="eastAsia" w:ascii="宋体" w:hAnsi="宋体" w:eastAsia="方正仿宋_GBK" w:cs="方正仿宋_GBK"/>
          <w:snapToGrid w:val="0"/>
          <w:kern w:val="0"/>
          <w:sz w:val="32"/>
          <w:szCs w:val="32"/>
        </w:rPr>
        <w:t>打造黔江区统一对外宣传推介的“形象窗口”、全区招商引资和投资促进的“服务总台”，构建集推介宣传、招商服务、投资促进、项目管理、智慧政务等核心功能于一体，集企业、部门、开放平台等招商投资主力军于一网的线上“生态系统”以及创新基地。实现招商引资过程中各类产业发展要素资源智能引导和精准匹配，增强重点资源的优化配置能力；开展多维度产业数据计算分析，掌握城市产业经济运行趋势和态势，增强重大项目科学合理布局能力；围绕招商引资和投资促进“双核”服务，吸附汇聚政产学研商融等各类数据资源，撮合催生多元化招商主体和多样化招商模式，提高招商效率、服务效能和项目效益，提升全区招商引资和投资促进总体水平和质量，服务黔</w:t>
      </w:r>
      <w:r>
        <w:rPr>
          <w:rFonts w:ascii="宋体" w:hAnsi="宋体" w:eastAsia="方正仿宋_GBK" w:cs="方正仿宋_GBK"/>
          <w:snapToGrid w:val="0"/>
          <w:kern w:val="0"/>
          <w:sz w:val="32"/>
          <w:szCs w:val="32"/>
        </w:rPr>
        <w:t>江</w:t>
      </w:r>
      <w:r>
        <w:rPr>
          <w:rFonts w:hint="eastAsia" w:ascii="宋体" w:hAnsi="宋体" w:eastAsia="方正仿宋_GBK" w:cs="方正仿宋_GBK"/>
          <w:snapToGrid w:val="0"/>
          <w:kern w:val="0"/>
          <w:sz w:val="32"/>
          <w:szCs w:val="32"/>
        </w:rPr>
        <w:t>经济高质量发展。</w:t>
      </w:r>
      <w:r>
        <w:rPr>
          <w:rFonts w:ascii="宋体" w:hAnsi="宋体" w:eastAsia="方正仿宋_GBK"/>
          <w:snapToGrid w:val="0"/>
          <w:kern w:val="0"/>
          <w:sz w:val="32"/>
          <w:szCs w:val="32"/>
        </w:rPr>
        <w:t xml:space="preserve"> </w:t>
      </w:r>
    </w:p>
    <w:p>
      <w:pPr>
        <w:spacing w:line="574" w:lineRule="exact"/>
        <w:jc w:val="center"/>
        <w:rPr>
          <w:rFonts w:hint="eastAsia" w:ascii="宋体" w:hAnsi="宋体" w:eastAsia="方正黑体_GBK"/>
          <w:snapToGrid w:val="0"/>
          <w:kern w:val="0"/>
          <w:sz w:val="32"/>
          <w:szCs w:val="32"/>
        </w:rPr>
      </w:pPr>
      <w:r>
        <w:rPr>
          <w:rFonts w:hint="eastAsia" w:ascii="宋体" w:hAnsi="宋体" w:eastAsia="方正黑体_GBK"/>
          <w:snapToGrid w:val="0"/>
          <w:kern w:val="0"/>
          <w:sz w:val="32"/>
          <w:szCs w:val="32"/>
        </w:rPr>
        <w:t>专栏</w:t>
      </w:r>
      <w:r>
        <w:rPr>
          <w:rFonts w:hint="eastAsia" w:ascii="Times New Roman" w:hAnsi="Times New Roman" w:eastAsia="方正黑体_GBK"/>
          <w:snapToGrid w:val="0"/>
          <w:kern w:val="0"/>
          <w:sz w:val="32"/>
          <w:szCs w:val="32"/>
        </w:rPr>
        <w:t>23</w:t>
      </w:r>
      <w:r>
        <w:rPr>
          <w:rFonts w:hint="eastAsia" w:ascii="宋体" w:hAnsi="宋体" w:eastAsia="方正黑体_GBK"/>
          <w:snapToGrid w:val="0"/>
          <w:kern w:val="0"/>
          <w:sz w:val="32"/>
          <w:szCs w:val="32"/>
        </w:rPr>
        <w:t>：智慧招商重点工程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noWrap w:val="0"/>
            <w:vAlign w:val="center"/>
          </w:tcPr>
          <w:p>
            <w:pPr>
              <w:spacing w:line="540" w:lineRule="exact"/>
              <w:ind w:firstLine="562" w:firstLineChars="200"/>
              <w:rPr>
                <w:rFonts w:hint="eastAsia" w:ascii="宋体" w:hAnsi="宋体" w:eastAsia="方正仿宋_GBK"/>
                <w:bCs/>
                <w:snapToGrid w:val="0"/>
                <w:kern w:val="0"/>
                <w:sz w:val="28"/>
                <w:szCs w:val="28"/>
                <w:lang w:val="zh-TW"/>
              </w:rPr>
            </w:pPr>
            <w:r>
              <w:rPr>
                <w:rFonts w:hint="eastAsia" w:ascii="宋体" w:hAnsi="宋体" w:eastAsia="方正仿宋_GBK"/>
                <w:b/>
                <w:snapToGrid w:val="0"/>
                <w:kern w:val="0"/>
                <w:sz w:val="28"/>
                <w:szCs w:val="28"/>
              </w:rPr>
              <w:t>黔江区招商投资促进大数据平台。</w:t>
            </w:r>
            <w:r>
              <w:rPr>
                <w:rFonts w:hint="eastAsia" w:ascii="宋体" w:hAnsi="宋体" w:eastAsia="方正仿宋_GBK"/>
                <w:bCs/>
                <w:snapToGrid w:val="0"/>
                <w:kern w:val="0"/>
                <w:sz w:val="28"/>
                <w:szCs w:val="28"/>
                <w:lang w:val="zh-TW"/>
              </w:rPr>
              <w:t>坚持“为招商投资全面赋能”的功能导向，建设招商投资促进大数据平台（包括各类主题数据库），提供趋势研判、信息共享、智库支撑、政策推荐、资源配套、金融服务和法律咨询等全流程、全要素、全方位“三全”促进服务，实现定制化、智能化招商投资。</w:t>
            </w:r>
          </w:p>
          <w:p>
            <w:pPr>
              <w:spacing w:line="540" w:lineRule="exact"/>
              <w:ind w:firstLine="562" w:firstLineChars="200"/>
              <w:rPr>
                <w:rFonts w:hint="eastAsia" w:ascii="宋体" w:hAnsi="宋体" w:eastAsia="方正仿宋_GBK"/>
                <w:bCs/>
                <w:snapToGrid w:val="0"/>
                <w:kern w:val="0"/>
                <w:sz w:val="28"/>
                <w:szCs w:val="28"/>
                <w:lang w:val="zh-TW"/>
              </w:rPr>
            </w:pPr>
            <w:r>
              <w:rPr>
                <w:rFonts w:hint="eastAsia" w:ascii="宋体" w:hAnsi="宋体" w:eastAsia="方正仿宋_GBK"/>
                <w:b/>
                <w:snapToGrid w:val="0"/>
                <w:kern w:val="0"/>
                <w:sz w:val="28"/>
                <w:szCs w:val="28"/>
                <w:lang w:val="zh-TW"/>
              </w:rPr>
              <w:t>特色智创基地。</w:t>
            </w:r>
            <w:r>
              <w:rPr>
                <w:rFonts w:hint="eastAsia" w:ascii="宋体" w:hAnsi="宋体" w:eastAsia="方正仿宋_GBK"/>
                <w:bCs/>
                <w:snapToGrid w:val="0"/>
                <w:kern w:val="0"/>
                <w:sz w:val="28"/>
                <w:szCs w:val="28"/>
                <w:lang w:val="zh-TW"/>
              </w:rPr>
              <w:t>通过积极引进、培育一批人工智能、云服务、创新中心、人才培养、产业孵化等特色鲜明、前景优越的创新型科技企业来区发展，打造有影响力的特色智能产业创新基地，导入优势资源，培育特色产业，壮大知名品牌，形成区域影响力。</w:t>
            </w:r>
          </w:p>
        </w:tc>
      </w:tr>
    </w:tbl>
    <w:p>
      <w:pPr>
        <w:pStyle w:val="5"/>
        <w:keepNext w:val="0"/>
        <w:keepLines w:val="0"/>
        <w:spacing w:before="0" w:after="0" w:line="574" w:lineRule="exact"/>
        <w:ind w:firstLine="642" w:firstLineChars="200"/>
        <w:rPr>
          <w:rFonts w:hint="eastAsia" w:ascii="宋体" w:hAnsi="宋体" w:eastAsia="方正仿宋_GBK"/>
          <w:kern w:val="0"/>
        </w:rPr>
      </w:pPr>
      <w:bookmarkStart w:id="141" w:name="_Toc28459"/>
      <w:bookmarkStart w:id="142" w:name="_Toc9969"/>
      <w:r>
        <w:rPr>
          <w:rFonts w:ascii="Times New Roman" w:hAnsi="Times New Roman" w:eastAsia="方正仿宋_GBK"/>
          <w:kern w:val="0"/>
        </w:rPr>
        <w:t>7</w:t>
      </w:r>
      <w:r>
        <w:rPr>
          <w:rFonts w:hint="eastAsia" w:ascii="宋体" w:hAnsi="宋体" w:eastAsia="方正仿宋_GBK"/>
          <w:kern w:val="0"/>
        </w:rPr>
        <w:t>．智慧园区</w:t>
      </w:r>
      <w:bookmarkEnd w:id="141"/>
      <w:bookmarkEnd w:id="142"/>
    </w:p>
    <w:p>
      <w:pPr>
        <w:spacing w:line="574" w:lineRule="exact"/>
        <w:ind w:firstLine="640" w:firstLineChars="200"/>
        <w:rPr>
          <w:rFonts w:hint="eastAsia"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以推进园区基础设施网络化、建设管理精细化、服务功能专业化和产业发展智能化为核心，加快智慧园区建设。升级园区信息基础设施，推动园区全光纤高速宽带网络建设，加快园区生产生活配套设施智能化改造，加快工业互联网基础设施建设部署。聚焦信息安全、产能共享、融资服务、协调创新、协同制造、协同物流等产业园区共性需求，建设黔江区智慧园区公共服务平台，围绕各园区主导产业和特色产业发展需求，加快建设一批特色化公共服务平台，打造特色产业“云生态”。引导各园区结合自身产业基础和发展条件，积极培育发展智能产业，打造特色智能产业集群，加快推进传统产业智能化改造提升，推广普及智能制造、服务型制造、工业互联网等新技术新业态新模式，推动传统产业生产过程智能化改造和产品智能化升级，打造以智能化应用为特征的特色产业基地。</w:t>
      </w:r>
    </w:p>
    <w:p>
      <w:pPr>
        <w:tabs>
          <w:tab w:val="left" w:pos="0"/>
        </w:tabs>
        <w:adjustRightInd w:val="0"/>
        <w:snapToGrid w:val="0"/>
        <w:spacing w:line="574" w:lineRule="exact"/>
        <w:jc w:val="center"/>
        <w:rPr>
          <w:rFonts w:hint="eastAsia" w:ascii="宋体" w:hAnsi="宋体" w:eastAsia="方正黑体_GBK"/>
          <w:bCs/>
          <w:snapToGrid w:val="0"/>
          <w:kern w:val="0"/>
          <w:sz w:val="32"/>
          <w:szCs w:val="32"/>
        </w:rPr>
      </w:pPr>
      <w:r>
        <w:rPr>
          <w:rFonts w:hint="eastAsia" w:ascii="宋体" w:hAnsi="宋体" w:eastAsia="方正黑体_GBK"/>
          <w:bCs/>
          <w:snapToGrid w:val="0"/>
          <w:kern w:val="0"/>
          <w:sz w:val="32"/>
          <w:szCs w:val="32"/>
        </w:rPr>
        <w:t>专栏</w:t>
      </w:r>
      <w:r>
        <w:rPr>
          <w:rFonts w:hint="eastAsia" w:ascii="Times New Roman" w:hAnsi="Times New Roman" w:eastAsia="方正黑体_GBK"/>
          <w:bCs/>
          <w:snapToGrid w:val="0"/>
          <w:kern w:val="0"/>
          <w:sz w:val="32"/>
          <w:szCs w:val="32"/>
        </w:rPr>
        <w:t>24</w:t>
      </w:r>
      <w:r>
        <w:rPr>
          <w:rFonts w:hint="eastAsia" w:ascii="宋体" w:hAnsi="宋体" w:eastAsia="方正黑体_GBK"/>
          <w:bCs/>
          <w:snapToGrid w:val="0"/>
          <w:kern w:val="0"/>
          <w:sz w:val="32"/>
          <w:szCs w:val="32"/>
        </w:rPr>
        <w:t>：智慧园区重点工程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adjustRightInd w:val="0"/>
              <w:snapToGrid w:val="0"/>
              <w:spacing w:line="540" w:lineRule="exact"/>
              <w:ind w:firstLine="562" w:firstLineChars="200"/>
              <w:rPr>
                <w:rFonts w:hint="eastAsia" w:ascii="宋体" w:hAnsi="宋体" w:eastAsia="方正仿宋_GBK"/>
                <w:sz w:val="28"/>
                <w:szCs w:val="28"/>
              </w:rPr>
            </w:pPr>
            <w:r>
              <w:rPr>
                <w:rFonts w:hint="eastAsia" w:ascii="宋体" w:hAnsi="宋体" w:eastAsia="方正仿宋_GBK"/>
                <w:b/>
                <w:sz w:val="28"/>
                <w:szCs w:val="28"/>
              </w:rPr>
              <w:t>智慧园区指挥管理中心。</w:t>
            </w:r>
            <w:r>
              <w:rPr>
                <w:rFonts w:hint="eastAsia" w:ascii="宋体" w:hAnsi="宋体" w:eastAsia="方正仿宋_GBK"/>
                <w:sz w:val="28"/>
                <w:szCs w:val="28"/>
              </w:rPr>
              <w:t>新建智慧园区指挥管理中心，建立统一的综合运行视图，整合视频监控、传感测量等物联网数据和业务运行管理数据，并结合地理信息系统（</w:t>
            </w:r>
            <w:r>
              <w:rPr>
                <w:rFonts w:hint="eastAsia" w:ascii="Times New Roman" w:hAnsi="Times New Roman" w:eastAsia="方正仿宋_GBK"/>
                <w:sz w:val="28"/>
                <w:szCs w:val="28"/>
              </w:rPr>
              <w:t>GIS</w:t>
            </w:r>
            <w:r>
              <w:rPr>
                <w:rFonts w:hint="eastAsia" w:ascii="宋体" w:hAnsi="宋体" w:eastAsia="方正仿宋_GBK"/>
                <w:sz w:val="28"/>
                <w:szCs w:val="28"/>
              </w:rPr>
              <w:t>）和建筑信息模型（</w:t>
            </w:r>
            <w:r>
              <w:rPr>
                <w:rFonts w:hint="eastAsia" w:ascii="Times New Roman" w:hAnsi="Times New Roman" w:eastAsia="方正仿宋_GBK"/>
                <w:sz w:val="28"/>
                <w:szCs w:val="28"/>
              </w:rPr>
              <w:t>BIM</w:t>
            </w:r>
            <w:r>
              <w:rPr>
                <w:rFonts w:hint="eastAsia" w:ascii="宋体" w:hAnsi="宋体" w:eastAsia="方正仿宋_GBK"/>
                <w:sz w:val="28"/>
                <w:szCs w:val="28"/>
              </w:rPr>
              <w:t>）进行可视化展现；建立统一的事件综合协调平台，利用集中的信息资源和应用系统，实现对事件的快速分发和分级响应。通过</w:t>
            </w:r>
            <w:r>
              <w:rPr>
                <w:rFonts w:hint="eastAsia" w:ascii="Times New Roman" w:hAnsi="Times New Roman" w:eastAsia="方正仿宋_GBK"/>
                <w:sz w:val="28"/>
                <w:szCs w:val="28"/>
              </w:rPr>
              <w:t>LED</w:t>
            </w:r>
            <w:r>
              <w:rPr>
                <w:rFonts w:hint="eastAsia" w:ascii="宋体" w:hAnsi="宋体" w:eastAsia="方正仿宋_GBK"/>
                <w:sz w:val="28"/>
                <w:szCs w:val="28"/>
              </w:rPr>
              <w:t>屏和沙盘等方式，展示园区发展历程、新兴产业区及创新产业区的区域优势和招商服务等信息。结合园区的政务服务、企业管理、智慧交通、现代物流等信息实现各类统计指标的融合展示。同时为事件监控、预测预警、指挥协同、应急联动等提供基础环境，汇聚园区企业实时运行数据，实现经营、发展、安全、环保、危化等事件的全程跟踪、分析、处置。</w:t>
            </w:r>
          </w:p>
          <w:p>
            <w:pPr>
              <w:adjustRightInd w:val="0"/>
              <w:snapToGrid w:val="0"/>
              <w:spacing w:line="540" w:lineRule="exact"/>
              <w:ind w:firstLine="562" w:firstLineChars="200"/>
              <w:rPr>
                <w:rFonts w:hint="eastAsia" w:ascii="宋体" w:hAnsi="宋体" w:eastAsia="方正仿宋_GBK"/>
                <w:sz w:val="28"/>
                <w:szCs w:val="28"/>
              </w:rPr>
            </w:pPr>
            <w:r>
              <w:rPr>
                <w:rFonts w:hint="eastAsia" w:ascii="宋体" w:hAnsi="宋体" w:eastAsia="方正仿宋_GBK"/>
                <w:b/>
                <w:sz w:val="28"/>
                <w:szCs w:val="28"/>
              </w:rPr>
              <w:t>智慧园区服务平台。</w:t>
            </w:r>
            <w:r>
              <w:rPr>
                <w:rFonts w:hint="eastAsia" w:ascii="宋体" w:hAnsi="宋体" w:eastAsia="方正仿宋_GBK"/>
                <w:sz w:val="28"/>
                <w:szCs w:val="28"/>
              </w:rPr>
              <w:t>对现有企业服务中心平台升级，不断完善和提升园区信息化和智能化水平。帮助园区内企业共享服务资源、协同办公，从而减少企业审批时间及运营成本。进一步整合优化企业服务中心“一站式”“一窗式”功能，对接市级“园区服务平台”。通过“园区之窗、招商服务、政务服务、</w:t>
            </w:r>
            <w:r>
              <w:rPr>
                <w:rFonts w:hint="eastAsia" w:ascii="宋体" w:hAnsi="宋体" w:eastAsia="方正仿宋_GBK"/>
                <w:spacing w:val="-4"/>
                <w:sz w:val="28"/>
                <w:szCs w:val="28"/>
              </w:rPr>
              <w:t>党建服务、融资服务、协同创新、智能应用共享、产业链协作、产能共享、物流协同、公共服务”等统一提供服务，提供对接全域通办和一窗办理、一网审批的企业服务、全面展示园区的招商动态、宣传本地时政、提供金融服务。为企业提供市场信息推送、产业链、供应商数据、价格分析以及其它信息交互和大数据应用服务。</w:t>
            </w:r>
          </w:p>
          <w:p>
            <w:pPr>
              <w:adjustRightInd w:val="0"/>
              <w:snapToGrid w:val="0"/>
              <w:spacing w:line="540" w:lineRule="exact"/>
              <w:ind w:firstLine="562" w:firstLineChars="200"/>
              <w:rPr>
                <w:rFonts w:hint="eastAsia" w:ascii="宋体" w:hAnsi="宋体" w:eastAsia="方正仿宋_GBK"/>
                <w:bCs/>
                <w:snapToGrid w:val="0"/>
                <w:kern w:val="0"/>
                <w:sz w:val="28"/>
                <w:szCs w:val="28"/>
              </w:rPr>
            </w:pPr>
            <w:r>
              <w:rPr>
                <w:rFonts w:hint="eastAsia" w:ascii="宋体" w:hAnsi="宋体" w:eastAsia="方正仿宋_GBK"/>
                <w:b/>
                <w:sz w:val="28"/>
                <w:szCs w:val="28"/>
              </w:rPr>
              <w:t>智慧园区管理平台。</w:t>
            </w:r>
            <w:r>
              <w:rPr>
                <w:rFonts w:hint="eastAsia" w:ascii="宋体" w:hAnsi="宋体" w:eastAsia="方正仿宋_GBK"/>
                <w:sz w:val="28"/>
                <w:szCs w:val="28"/>
              </w:rPr>
              <w:t>统筹推进全区智慧园区统一管理平台建设，重点围绕园区经济运行监测、协同办公、招商引资、物业管理、资源库管理、产业分析、项目管理、能耗管理、安全生产管理、应急指挥和环保管理、用地监管、标准厂房管理、数字地图、项目建设、辅助决策、等方面开发功能，以此为基础，全面增强主管部门对基础设施、安全、环保、能耗等实时监控和动态管理能力，进一步提升协同办公水平和辅助决策效率。</w:t>
            </w:r>
          </w:p>
        </w:tc>
      </w:tr>
    </w:tbl>
    <w:p>
      <w:pPr>
        <w:pStyle w:val="4"/>
        <w:keepNext w:val="0"/>
        <w:keepLines w:val="0"/>
        <w:spacing w:before="0" w:after="0" w:line="574" w:lineRule="exact"/>
        <w:ind w:firstLine="640" w:firstLineChars="200"/>
        <w:rPr>
          <w:rFonts w:ascii="宋体" w:hAnsi="宋体" w:eastAsia="方正楷体_GBK"/>
          <w:b w:val="0"/>
        </w:rPr>
      </w:pPr>
      <w:bookmarkStart w:id="143" w:name="_Toc7524"/>
      <w:bookmarkStart w:id="144" w:name="_Toc29635"/>
      <w:bookmarkStart w:id="145" w:name="_Toc2673"/>
      <w:bookmarkStart w:id="146" w:name="_Toc4519"/>
      <w:bookmarkStart w:id="147" w:name="_Toc9263130"/>
      <w:bookmarkStart w:id="148" w:name="_Toc7990"/>
      <w:r>
        <w:rPr>
          <w:rFonts w:ascii="宋体" w:hAnsi="宋体" w:eastAsia="方正楷体_GBK"/>
          <w:b w:val="0"/>
        </w:rPr>
        <w:t>（五）</w:t>
      </w:r>
      <w:r>
        <w:rPr>
          <w:rFonts w:hint="eastAsia" w:ascii="宋体" w:hAnsi="宋体" w:eastAsia="方正楷体_GBK"/>
          <w:b w:val="0"/>
        </w:rPr>
        <w:t>提升公共产品，增强公共服务质量</w:t>
      </w:r>
      <w:bookmarkEnd w:id="143"/>
      <w:bookmarkEnd w:id="144"/>
      <w:bookmarkEnd w:id="145"/>
      <w:bookmarkEnd w:id="146"/>
      <w:bookmarkEnd w:id="147"/>
      <w:bookmarkEnd w:id="148"/>
    </w:p>
    <w:p>
      <w:pPr>
        <w:spacing w:line="574" w:lineRule="exact"/>
        <w:ind w:firstLine="640" w:firstLineChars="200"/>
        <w:rPr>
          <w:rFonts w:hint="eastAsia"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强化落实生态优先绿色发展与污染防治攻坚战要求，以共建共享、绿色发展、融合并进为原则，打造以智慧环保为代表的“数智”创新绿色示范项目，加强环保、水利、土壤、能源等多种生态环境资源要素的全面感知，完善智慧生态环境监测监管服务体系，推进水务安全监管智慧应用，构筑起亲水、亲绿、亲自然的“三亲”生态格局，助力三宜山水城和山清水秀美丽之地建设。</w:t>
      </w:r>
    </w:p>
    <w:p>
      <w:pPr>
        <w:pStyle w:val="5"/>
        <w:keepNext w:val="0"/>
        <w:keepLines w:val="0"/>
        <w:spacing w:before="0" w:after="0" w:line="574" w:lineRule="exact"/>
        <w:ind w:firstLine="642" w:firstLineChars="200"/>
        <w:rPr>
          <w:rFonts w:hint="eastAsia" w:ascii="宋体" w:hAnsi="宋体" w:eastAsia="方正仿宋_GBK"/>
          <w:kern w:val="0"/>
        </w:rPr>
      </w:pPr>
      <w:bookmarkStart w:id="149" w:name="_Toc11190"/>
      <w:bookmarkStart w:id="150" w:name="_Toc12957"/>
      <w:r>
        <w:rPr>
          <w:rFonts w:hint="eastAsia" w:ascii="Times New Roman" w:hAnsi="Times New Roman" w:eastAsia="方正仿宋_GBK"/>
          <w:kern w:val="0"/>
        </w:rPr>
        <w:t>4</w:t>
      </w:r>
      <w:r>
        <w:rPr>
          <w:rFonts w:hint="eastAsia" w:ascii="宋体" w:hAnsi="宋体" w:eastAsia="方正仿宋_GBK"/>
          <w:kern w:val="0"/>
        </w:rPr>
        <w:t>．智慧交通</w:t>
      </w:r>
      <w:bookmarkEnd w:id="149"/>
      <w:bookmarkEnd w:id="150"/>
    </w:p>
    <w:p>
      <w:pPr>
        <w:spacing w:line="574" w:lineRule="exact"/>
        <w:ind w:firstLine="640" w:firstLineChars="200"/>
        <w:rPr>
          <w:rFonts w:hint="eastAsia" w:ascii="宋体" w:hAnsi="宋体" w:eastAsia="方正仿宋_GBK" w:cs="宋体"/>
          <w:kern w:val="0"/>
          <w:sz w:val="32"/>
          <w:szCs w:val="32"/>
        </w:rPr>
      </w:pPr>
      <w:r>
        <w:rPr>
          <w:rFonts w:hint="eastAsia" w:ascii="宋体" w:hAnsi="宋体" w:eastAsia="方正仿宋_GBK" w:cs="宋体"/>
          <w:kern w:val="0"/>
          <w:sz w:val="32"/>
          <w:szCs w:val="32"/>
        </w:rPr>
        <w:t>立足于黔江区交通</w:t>
      </w:r>
      <w:r>
        <w:rPr>
          <w:rFonts w:hint="eastAsia" w:ascii="宋体" w:hAnsi="宋体" w:eastAsia="方正仿宋_GBK"/>
          <w:snapToGrid w:val="0"/>
          <w:sz w:val="32"/>
          <w:szCs w:val="32"/>
        </w:rPr>
        <w:t>发展</w:t>
      </w:r>
      <w:r>
        <w:rPr>
          <w:rFonts w:hint="eastAsia" w:ascii="宋体" w:hAnsi="宋体" w:eastAsia="方正仿宋_GBK" w:cs="宋体"/>
          <w:kern w:val="0"/>
          <w:sz w:val="32"/>
          <w:szCs w:val="32"/>
        </w:rPr>
        <w:t>现状和存在问题，构建集人、车、路、环境协调运行的新一代智慧交通体系，实施交通基础设施智能化升级改造，深化交通物联网和交通视频网络建设，提高城市主要干道及交通路口的监控网络覆盖率。整合交通、公安、城乡建委、城管等单位的车管信息、交通配套设施分布信息、交通警力分布信息、</w:t>
      </w:r>
      <w:r>
        <w:rPr>
          <w:rFonts w:hint="eastAsia" w:ascii="Times New Roman" w:hAnsi="Times New Roman" w:eastAsia="方正仿宋_GBK" w:cs="宋体"/>
          <w:kern w:val="0"/>
          <w:sz w:val="32"/>
          <w:szCs w:val="32"/>
        </w:rPr>
        <w:t>GIS</w:t>
      </w:r>
      <w:r>
        <w:rPr>
          <w:rFonts w:hint="eastAsia" w:ascii="宋体" w:hAnsi="宋体" w:eastAsia="方正仿宋_GBK" w:cs="宋体"/>
          <w:kern w:val="0"/>
          <w:sz w:val="32"/>
          <w:szCs w:val="32"/>
        </w:rPr>
        <w:t>/P</w:t>
      </w:r>
      <w:r>
        <w:rPr>
          <w:rFonts w:hint="eastAsia" w:ascii="Times New Roman" w:hAnsi="Times New Roman" w:eastAsia="方正仿宋_GBK" w:cs="宋体"/>
          <w:kern w:val="0"/>
          <w:sz w:val="32"/>
          <w:szCs w:val="32"/>
        </w:rPr>
        <w:t>GIS</w:t>
      </w:r>
      <w:r>
        <w:rPr>
          <w:rFonts w:hint="eastAsia" w:ascii="宋体" w:hAnsi="宋体" w:eastAsia="方正仿宋_GBK" w:cs="宋体"/>
          <w:kern w:val="0"/>
          <w:sz w:val="32"/>
          <w:szCs w:val="32"/>
        </w:rPr>
        <w:t>地图、车辆电子标签、视频数据、城市交通流量数据等，形成交通领域的主题数据库。启动平台软件建设，实现车流预判、交通信号联网控制、智能调度、诱导信息发布、运营分析等道路交通管控应用。建设交通大数据平台，运用大数据分析技术，搭建交通大数据模型，实现交通场景可视化、运行轨迹电子化、业务管理智能化、行业动态实时化、决策分析数据化，提高出行信息化、智能化服务水平。整合社会停车资源，完善公共停车信息综合服务功能，推进公共停车场停车诱导等智能化改造，实现停车资源动态查询、在线预定、定位导航、自助支付等一体化服务，解决“停车难、乱停车”问题。</w:t>
      </w:r>
    </w:p>
    <w:p>
      <w:pPr>
        <w:spacing w:line="574" w:lineRule="exact"/>
        <w:jc w:val="center"/>
        <w:rPr>
          <w:rFonts w:hint="eastAsia" w:ascii="宋体" w:hAnsi="宋体" w:eastAsia="方正黑体_GBK"/>
          <w:kern w:val="0"/>
          <w:sz w:val="32"/>
          <w:szCs w:val="32"/>
        </w:rPr>
      </w:pPr>
      <w:r>
        <w:rPr>
          <w:rFonts w:hint="eastAsia" w:ascii="宋体" w:hAnsi="宋体" w:eastAsia="方正黑体_GBK"/>
          <w:kern w:val="0"/>
          <w:sz w:val="32"/>
          <w:szCs w:val="32"/>
        </w:rPr>
        <w:t>专栏</w:t>
      </w:r>
      <w:r>
        <w:rPr>
          <w:rFonts w:hint="eastAsia" w:ascii="Times New Roman" w:hAnsi="Times New Roman" w:eastAsia="方正黑体_GBK"/>
          <w:kern w:val="0"/>
          <w:sz w:val="32"/>
          <w:szCs w:val="32"/>
        </w:rPr>
        <w:t>25</w:t>
      </w:r>
      <w:r>
        <w:rPr>
          <w:rFonts w:hint="eastAsia" w:ascii="宋体" w:hAnsi="宋体" w:eastAsia="方正黑体_GBK"/>
          <w:kern w:val="0"/>
          <w:sz w:val="32"/>
          <w:szCs w:val="32"/>
        </w:rPr>
        <w:t>：智慧交通重点工程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adjustRightInd w:val="0"/>
              <w:snapToGrid w:val="0"/>
              <w:spacing w:line="540" w:lineRule="exact"/>
              <w:ind w:firstLine="562" w:firstLineChars="200"/>
              <w:rPr>
                <w:rFonts w:hint="eastAsia" w:ascii="宋体" w:hAnsi="宋体" w:eastAsia="方正仿宋_GBK"/>
                <w:sz w:val="28"/>
                <w:szCs w:val="28"/>
              </w:rPr>
            </w:pPr>
            <w:r>
              <w:rPr>
                <w:rFonts w:hint="eastAsia" w:ascii="宋体" w:hAnsi="宋体" w:eastAsia="方正仿宋_GBK"/>
                <w:b/>
                <w:sz w:val="28"/>
                <w:szCs w:val="28"/>
              </w:rPr>
              <w:t>城市交通智能管理平台。</w:t>
            </w:r>
            <w:r>
              <w:rPr>
                <w:rFonts w:hint="eastAsia" w:ascii="宋体" w:hAnsi="宋体" w:eastAsia="方正仿宋_GBK"/>
                <w:sz w:val="28"/>
                <w:szCs w:val="28"/>
              </w:rPr>
              <w:t>打造公安交通管理集成指挥、智能交通集成管控、交通管理信息服务“三大子平台”，完善交通信息采集、交通视频监控、交通事件监测管理、交通违法监测记录、交通信号控制、交通信息发布、通信网络、信息安全配套“八大系统”，构建区级城市交通智能管理平台。</w:t>
            </w:r>
          </w:p>
          <w:p>
            <w:pPr>
              <w:adjustRightInd w:val="0"/>
              <w:snapToGrid w:val="0"/>
              <w:spacing w:line="560" w:lineRule="exact"/>
              <w:ind w:firstLine="562" w:firstLineChars="200"/>
              <w:rPr>
                <w:rFonts w:hint="eastAsia" w:ascii="宋体" w:hAnsi="宋体" w:eastAsia="方正仿宋_GBK"/>
                <w:sz w:val="28"/>
                <w:szCs w:val="28"/>
              </w:rPr>
            </w:pPr>
            <w:r>
              <w:rPr>
                <w:rFonts w:hint="eastAsia" w:ascii="宋体" w:hAnsi="宋体" w:eastAsia="方正仿宋_GBK"/>
                <w:b/>
                <w:sz w:val="28"/>
                <w:szCs w:val="28"/>
              </w:rPr>
              <w:t>交通运行监测与应急调度中心。</w:t>
            </w:r>
            <w:r>
              <w:rPr>
                <w:rFonts w:hint="eastAsia" w:ascii="宋体" w:hAnsi="宋体" w:eastAsia="方正仿宋_GBK"/>
                <w:sz w:val="28"/>
                <w:szCs w:val="28"/>
              </w:rPr>
              <w:t>建设智能交通运行监测与应急调度中心，集成指挥中心大屏、指挥平台软件、办公硬件及配套设施等。建设智慧交通应用系统，包括综合交通运行监测分析系统、交通运行视频监控管理系统、综合交通应急指挥调度系统、</w:t>
            </w:r>
            <w:r>
              <w:rPr>
                <w:rFonts w:hint="eastAsia" w:ascii="Times New Roman" w:hAnsi="Times New Roman" w:eastAsia="方正仿宋_GBK"/>
                <w:sz w:val="28"/>
                <w:szCs w:val="28"/>
              </w:rPr>
              <w:t>96096</w:t>
            </w:r>
            <w:r>
              <w:rPr>
                <w:rFonts w:hint="eastAsia" w:ascii="宋体" w:hAnsi="宋体" w:eastAsia="方正仿宋_GBK"/>
                <w:sz w:val="28"/>
                <w:szCs w:val="28"/>
              </w:rPr>
              <w:t>交通服务热线系统等多个应用系统。依托交通领域的主题数据库，打造交通大数据平台，运用大数据分析技术，搭建交通大数据模型，对出行热力图、交通流量、拥堵指数等交通基本参数进行分析。</w:t>
            </w:r>
          </w:p>
          <w:p>
            <w:pPr>
              <w:adjustRightInd w:val="0"/>
              <w:snapToGrid w:val="0"/>
              <w:spacing w:line="560" w:lineRule="exact"/>
              <w:ind w:firstLine="562" w:firstLineChars="200"/>
              <w:rPr>
                <w:rFonts w:hint="eastAsia" w:ascii="宋体" w:hAnsi="宋体" w:eastAsia="方正仿宋_GBK" w:cs="宋体"/>
                <w:kern w:val="0"/>
                <w:sz w:val="28"/>
                <w:szCs w:val="28"/>
              </w:rPr>
            </w:pPr>
            <w:r>
              <w:rPr>
                <w:rFonts w:hint="eastAsia" w:ascii="宋体" w:hAnsi="宋体" w:eastAsia="方正仿宋_GBK"/>
                <w:b/>
                <w:sz w:val="28"/>
                <w:szCs w:val="28"/>
              </w:rPr>
              <w:t>智慧停车平台。</w:t>
            </w:r>
            <w:r>
              <w:rPr>
                <w:rFonts w:hint="eastAsia" w:ascii="宋体" w:hAnsi="宋体" w:eastAsia="方正仿宋_GBK"/>
                <w:sz w:val="28"/>
                <w:szCs w:val="28"/>
              </w:rPr>
              <w:t>推进智慧停车建设，对停车位信息、车辆信息等资源进行整合和监控，加强与公安交巡警有关数据系统对接。</w:t>
            </w:r>
          </w:p>
        </w:tc>
      </w:tr>
    </w:tbl>
    <w:p>
      <w:pPr>
        <w:pStyle w:val="5"/>
        <w:keepNext w:val="0"/>
        <w:keepLines w:val="0"/>
        <w:spacing w:before="0" w:after="0" w:line="574" w:lineRule="exact"/>
        <w:ind w:firstLine="642" w:firstLineChars="200"/>
        <w:rPr>
          <w:rFonts w:hint="eastAsia" w:ascii="宋体" w:hAnsi="宋体" w:eastAsia="方正仿宋_GBK"/>
          <w:kern w:val="0"/>
        </w:rPr>
      </w:pPr>
      <w:bookmarkStart w:id="151" w:name="_Toc2998"/>
      <w:bookmarkStart w:id="152" w:name="_Toc26508"/>
      <w:r>
        <w:rPr>
          <w:rFonts w:hint="eastAsia" w:ascii="Times New Roman" w:hAnsi="Times New Roman" w:eastAsia="方正仿宋_GBK"/>
          <w:kern w:val="0"/>
        </w:rPr>
        <w:t>1</w:t>
      </w:r>
      <w:r>
        <w:rPr>
          <w:rFonts w:hint="eastAsia" w:ascii="宋体" w:hAnsi="宋体" w:eastAsia="方正仿宋_GBK"/>
          <w:kern w:val="0"/>
        </w:rPr>
        <w:t>．智慧环保</w:t>
      </w:r>
      <w:bookmarkEnd w:id="151"/>
      <w:bookmarkEnd w:id="152"/>
    </w:p>
    <w:p>
      <w:pPr>
        <w:spacing w:line="574" w:lineRule="exact"/>
        <w:ind w:firstLine="640" w:firstLineChars="200"/>
        <w:rPr>
          <w:rFonts w:hint="eastAsia"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以美丽山水之地为目标，打造生态文明体系，实现山、水、人、城、景、产与环境融合发展，大幅提升多元生态管理的智能化水平。建设天地一体、上下协同、信息共享的全域立体智能环境监测网络，实现大气、水、土壤、生态等领域时空分析、精准治理、重点区域管控等智能化应用，为强化污染源监管、改善环境质量、提高社会化服务水平提供智能化支撑。加快推进生态环境数据实现跨部门、跨层级数据共享。实现区级各部门间生态环境监管相关信息的融合共享和深入应用。</w:t>
      </w:r>
    </w:p>
    <w:p>
      <w:pPr>
        <w:tabs>
          <w:tab w:val="left" w:pos="0"/>
        </w:tabs>
        <w:adjustRightInd w:val="0"/>
        <w:snapToGrid w:val="0"/>
        <w:spacing w:line="574" w:lineRule="exact"/>
        <w:jc w:val="center"/>
        <w:rPr>
          <w:rFonts w:hint="eastAsia" w:ascii="宋体" w:hAnsi="宋体" w:eastAsia="方正黑体_GBK"/>
          <w:bCs/>
          <w:snapToGrid w:val="0"/>
          <w:kern w:val="0"/>
          <w:sz w:val="32"/>
          <w:szCs w:val="32"/>
        </w:rPr>
      </w:pPr>
      <w:r>
        <w:rPr>
          <w:rFonts w:hint="eastAsia" w:ascii="宋体" w:hAnsi="宋体" w:eastAsia="方正黑体_GBK"/>
          <w:bCs/>
          <w:snapToGrid w:val="0"/>
          <w:kern w:val="0"/>
          <w:sz w:val="32"/>
          <w:szCs w:val="32"/>
        </w:rPr>
        <w:t>专栏</w:t>
      </w:r>
      <w:r>
        <w:rPr>
          <w:rFonts w:hint="eastAsia" w:ascii="Times New Roman" w:hAnsi="Times New Roman" w:eastAsia="方正黑体_GBK"/>
          <w:bCs/>
          <w:snapToGrid w:val="0"/>
          <w:kern w:val="0"/>
          <w:sz w:val="32"/>
          <w:szCs w:val="32"/>
        </w:rPr>
        <w:t>26</w:t>
      </w:r>
      <w:r>
        <w:rPr>
          <w:rFonts w:hint="eastAsia" w:ascii="宋体" w:hAnsi="宋体" w:eastAsia="方正黑体_GBK"/>
          <w:bCs/>
          <w:snapToGrid w:val="0"/>
          <w:kern w:val="0"/>
          <w:sz w:val="32"/>
          <w:szCs w:val="32"/>
        </w:rPr>
        <w:t>：智慧环保重点工程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adjustRightInd w:val="0"/>
              <w:snapToGrid w:val="0"/>
              <w:spacing w:line="540" w:lineRule="exact"/>
              <w:ind w:firstLine="522" w:firstLineChars="186"/>
              <w:rPr>
                <w:rFonts w:hint="eastAsia" w:ascii="宋体" w:hAnsi="宋体" w:eastAsia="方正仿宋_GBK"/>
                <w:bCs/>
                <w:snapToGrid w:val="0"/>
                <w:kern w:val="0"/>
                <w:sz w:val="28"/>
                <w:szCs w:val="28"/>
                <w:lang w:val="zh-TW"/>
              </w:rPr>
            </w:pPr>
            <w:r>
              <w:rPr>
                <w:rFonts w:hint="eastAsia" w:ascii="宋体" w:hAnsi="宋体" w:eastAsia="方正仿宋_GBK"/>
                <w:b/>
                <w:bCs/>
                <w:snapToGrid w:val="0"/>
                <w:kern w:val="0"/>
                <w:sz w:val="28"/>
                <w:szCs w:val="28"/>
                <w:lang w:val="zh-TW"/>
              </w:rPr>
              <w:t>智慧生态环境大数据中心。</w:t>
            </w:r>
            <w:r>
              <w:rPr>
                <w:rFonts w:ascii="宋体" w:hAnsi="宋体" w:eastAsia="方正仿宋_GBK"/>
                <w:bCs/>
                <w:snapToGrid w:val="0"/>
                <w:kern w:val="0"/>
                <w:sz w:val="28"/>
                <w:szCs w:val="28"/>
                <w:lang w:val="zh-TW"/>
              </w:rPr>
              <w:t>依托重庆市生态环境大数据平台</w:t>
            </w:r>
            <w:r>
              <w:rPr>
                <w:rFonts w:hint="eastAsia" w:ascii="宋体" w:hAnsi="宋体" w:eastAsia="方正仿宋_GBK"/>
                <w:bCs/>
                <w:snapToGrid w:val="0"/>
                <w:kern w:val="0"/>
                <w:sz w:val="28"/>
                <w:szCs w:val="28"/>
                <w:lang w:val="zh-TW"/>
              </w:rPr>
              <w:t>，构建生态环境数据资源共享应用体系，实现大气、水、土壤、噪声、固废、辐射、生态红线等环境要素数据汇聚、关联整合，在环保审批、环境监测监管，环保执法、风险管控、机动车等重点领域形成专题数据产品，并依托于全市统一的数据共享交换体系，实现生态环境相关行业、部门、企事业单位及社会服务有效应用。</w:t>
            </w:r>
          </w:p>
          <w:p>
            <w:pPr>
              <w:adjustRightInd w:val="0"/>
              <w:snapToGrid w:val="0"/>
              <w:spacing w:line="540" w:lineRule="exact"/>
              <w:ind w:firstLine="522" w:firstLineChars="186"/>
              <w:rPr>
                <w:rFonts w:hint="eastAsia" w:ascii="宋体" w:hAnsi="宋体" w:eastAsia="方正仿宋_GBK"/>
                <w:sz w:val="28"/>
                <w:szCs w:val="28"/>
              </w:rPr>
            </w:pPr>
            <w:r>
              <w:rPr>
                <w:rFonts w:hint="eastAsia" w:ascii="宋体" w:hAnsi="宋体" w:eastAsia="方正仿宋_GBK"/>
                <w:b/>
                <w:sz w:val="28"/>
                <w:szCs w:val="28"/>
              </w:rPr>
              <w:t>智慧生态监管系统</w:t>
            </w:r>
            <w:r>
              <w:rPr>
                <w:rFonts w:hint="eastAsia" w:ascii="宋体" w:hAnsi="宋体" w:eastAsia="方正仿宋_GBK"/>
                <w:b/>
                <w:bCs/>
                <w:snapToGrid w:val="0"/>
                <w:kern w:val="0"/>
                <w:sz w:val="28"/>
                <w:szCs w:val="28"/>
                <w:lang w:val="zh-TW"/>
              </w:rPr>
              <w:t>。</w:t>
            </w:r>
            <w:r>
              <w:rPr>
                <w:rFonts w:hint="eastAsia" w:ascii="宋体" w:hAnsi="宋体" w:eastAsia="方正仿宋_GBK"/>
                <w:sz w:val="28"/>
                <w:szCs w:val="28"/>
              </w:rPr>
              <w:t>建设智慧生态监管系统，通过对矿区和开采单位的监察，实现区内所有非煤生产矿山生态环境的监控和管理。完善各个开采现场现有监控探头和传感布点，实现矿山开采重点区域生态环境的监控；针对矿山和开采单位制定开采方案，并定期进行对比；通过对比分析无人机、遥感等技术的历史和现有数据，区生态环境局实现对矿山采集区以及周边生态环境问题的发觉以及破坏程度的定级，对于矿山生态变化超预期、开采单位违规开采等问题，联合应急局、区规划自然资源局、市场监管局等相关部门进行联合执法，通过系统定制流程实现问题的闭环处理，坚持“边开采、边治理”原则，全力打造绿色矿山。</w:t>
            </w:r>
          </w:p>
          <w:p>
            <w:pPr>
              <w:adjustRightInd w:val="0"/>
              <w:snapToGrid w:val="0"/>
              <w:spacing w:line="540" w:lineRule="exact"/>
              <w:ind w:firstLine="522" w:firstLineChars="186"/>
              <w:rPr>
                <w:rFonts w:hint="eastAsia" w:ascii="宋体" w:hAnsi="宋体" w:eastAsia="方正仿宋_GBK"/>
                <w:bCs/>
                <w:snapToGrid w:val="0"/>
                <w:kern w:val="0"/>
                <w:sz w:val="28"/>
                <w:szCs w:val="28"/>
                <w:lang w:val="zh-TW"/>
              </w:rPr>
            </w:pPr>
            <w:r>
              <w:rPr>
                <w:rFonts w:hint="eastAsia" w:ascii="宋体" w:hAnsi="宋体" w:eastAsia="方正仿宋_GBK"/>
                <w:b/>
                <w:bCs/>
                <w:snapToGrid w:val="0"/>
                <w:kern w:val="0"/>
                <w:sz w:val="28"/>
                <w:szCs w:val="28"/>
                <w:lang w:val="zh-TW"/>
              </w:rPr>
              <w:t>生态环境智慧服务平台工程。</w:t>
            </w:r>
            <w:r>
              <w:rPr>
                <w:rFonts w:ascii="宋体" w:hAnsi="宋体" w:eastAsia="方正仿宋_GBK"/>
                <w:bCs/>
                <w:snapToGrid w:val="0"/>
                <w:kern w:val="0"/>
                <w:sz w:val="28"/>
                <w:szCs w:val="28"/>
                <w:lang w:val="zh-TW"/>
              </w:rPr>
              <w:t>依托重庆市生态环境大数据平台，建设全区统一生态环境智慧服务平台</w:t>
            </w:r>
            <w:r>
              <w:rPr>
                <w:rFonts w:hint="eastAsia" w:ascii="宋体" w:hAnsi="宋体" w:eastAsia="方正仿宋_GBK"/>
                <w:bCs/>
                <w:snapToGrid w:val="0"/>
                <w:kern w:val="0"/>
                <w:sz w:val="28"/>
                <w:szCs w:val="28"/>
                <w:lang w:val="zh-TW"/>
              </w:rPr>
              <w:t>。围绕污染防治、环境改善、生态管控、社会服务等领域深入推进技术融合、业务融合、数据融合，支撑服务于生态环境大数据在政府决策、环境治理、民生服务等方面智能化应用，有效提升生态环境管理的智能化、精准化、高效化水平。</w:t>
            </w:r>
          </w:p>
          <w:p>
            <w:pPr>
              <w:adjustRightInd w:val="0"/>
              <w:snapToGrid w:val="0"/>
              <w:spacing w:line="540" w:lineRule="exact"/>
              <w:ind w:firstLine="522" w:firstLineChars="186"/>
              <w:rPr>
                <w:rFonts w:hint="eastAsia" w:ascii="宋体" w:hAnsi="宋体" w:eastAsia="方正仿宋_GBK"/>
                <w:bCs/>
                <w:snapToGrid w:val="0"/>
                <w:kern w:val="0"/>
                <w:sz w:val="28"/>
                <w:szCs w:val="28"/>
              </w:rPr>
            </w:pPr>
            <w:r>
              <w:rPr>
                <w:rFonts w:hint="eastAsia" w:ascii="宋体" w:hAnsi="宋体" w:eastAsia="方正仿宋_GBK"/>
                <w:b/>
                <w:sz w:val="28"/>
                <w:szCs w:val="28"/>
              </w:rPr>
              <w:t>智慧垃圾分类系统。</w:t>
            </w:r>
            <w:r>
              <w:rPr>
                <w:rFonts w:hint="eastAsia" w:ascii="宋体" w:hAnsi="宋体" w:eastAsia="方正仿宋_GBK"/>
                <w:bCs/>
                <w:snapToGrid w:val="0"/>
                <w:kern w:val="0"/>
                <w:sz w:val="28"/>
                <w:szCs w:val="28"/>
                <w:lang w:val="zh-TW"/>
              </w:rPr>
              <w:t>以推进垃圾分类基础设施网络化、建设精细化、管理智能化为核心，打造智慧垃圾分类系统。试点建设智能垃圾箱，实现自动称重、气味溢出监测等功能。建设垃圾中转站视频监控子系统，实时采集垃圾收运现状，可视化远程监控，数字分析，实现城市垃圾分类运行的全景展现、仿真预测、指挥调度和决策优化。建设垃圾分类宣传倡导子系统，通过智能垃圾箱分析处理，以“积分兑换制”方式带动居民积极主动参与生活垃圾分类，以点带面，逐步扩展延伸。</w:t>
            </w:r>
          </w:p>
        </w:tc>
      </w:tr>
    </w:tbl>
    <w:p>
      <w:pPr>
        <w:pStyle w:val="5"/>
        <w:keepNext w:val="0"/>
        <w:keepLines w:val="0"/>
        <w:spacing w:before="0" w:after="0" w:line="574" w:lineRule="exact"/>
        <w:ind w:firstLine="642" w:firstLineChars="200"/>
        <w:rPr>
          <w:rFonts w:ascii="宋体" w:hAnsi="宋体" w:eastAsia="方正仿宋_GBK"/>
          <w:kern w:val="0"/>
        </w:rPr>
      </w:pPr>
      <w:bookmarkStart w:id="153" w:name="_Toc3274"/>
      <w:bookmarkStart w:id="154" w:name="_Toc3149"/>
      <w:r>
        <w:rPr>
          <w:rFonts w:hint="eastAsia" w:ascii="Times New Roman" w:hAnsi="Times New Roman" w:eastAsia="方正仿宋_GBK"/>
          <w:kern w:val="0"/>
        </w:rPr>
        <w:t>2</w:t>
      </w:r>
      <w:r>
        <w:rPr>
          <w:rFonts w:hint="eastAsia" w:ascii="宋体" w:hAnsi="宋体" w:eastAsia="方正仿宋_GBK"/>
          <w:kern w:val="0"/>
        </w:rPr>
        <w:t>．智慧气象。</w:t>
      </w:r>
      <w:bookmarkEnd w:id="153"/>
      <w:bookmarkEnd w:id="154"/>
      <w:r>
        <w:rPr>
          <w:rFonts w:hint="eastAsia" w:ascii="宋体" w:hAnsi="宋体" w:eastAsia="方正仿宋_GBK"/>
          <w:kern w:val="0"/>
        </w:rPr>
        <w:t xml:space="preserve"> </w:t>
      </w:r>
    </w:p>
    <w:p>
      <w:pPr>
        <w:spacing w:line="574" w:lineRule="exact"/>
        <w:ind w:firstLine="640" w:firstLineChars="200"/>
        <w:rPr>
          <w:rFonts w:ascii="宋体" w:hAnsi="宋体" w:eastAsia="方正仿宋_GBK" w:cs="方正仿宋_GBK"/>
          <w:snapToGrid w:val="0"/>
          <w:kern w:val="0"/>
          <w:sz w:val="32"/>
          <w:szCs w:val="32"/>
        </w:rPr>
      </w:pPr>
      <w:r>
        <w:rPr>
          <w:rFonts w:ascii="宋体" w:hAnsi="宋体" w:eastAsia="方正仿宋_GBK" w:cs="方正仿宋_GBK"/>
          <w:snapToGrid w:val="0"/>
          <w:kern w:val="0"/>
          <w:sz w:val="32"/>
          <w:szCs w:val="32"/>
        </w:rPr>
        <w:t>构建以防范</w:t>
      </w:r>
      <w:r>
        <w:rPr>
          <w:rFonts w:ascii="宋体" w:hAnsi="宋体" w:eastAsia="方正仿宋_GBK"/>
          <w:sz w:val="32"/>
          <w:szCs w:val="32"/>
        </w:rPr>
        <w:t>灾害</w:t>
      </w:r>
      <w:r>
        <w:rPr>
          <w:rFonts w:ascii="宋体" w:hAnsi="宋体" w:eastAsia="方正仿宋_GBK" w:cs="方正仿宋_GBK"/>
          <w:snapToGrid w:val="0"/>
          <w:kern w:val="0"/>
          <w:sz w:val="32"/>
          <w:szCs w:val="32"/>
        </w:rPr>
        <w:t>为主线的气象防灾减灾体系，依托政务外网，基于大数据、云平台、空间信息等技术，提升突发事件预警信息发布能力，提高气象灾害风险防范水平；构建无缝隙、精准、智慧的现代气象监测预报体系，开展地面气象观测系统升级改造，完善高空气象、天气雷达、交通气象观测系统；构建由区政府主导、部门主体、社会参与的公共气象服务体系，完善部门、区域、行业间数据共享机制，建立社会化气象服务数据汇聚交换共享机制；构建聚焦核心技术、开放高效的气象科技创新和人才体系，强化气象科技创新基础平台建设，增强科研创新，深化气象科技开放合作；构建法治化、规范化的现代气象管理体系，继续推进政务管理信息化建设，构建和完善气象管理数据库，建立健全气象政务管理信息安全体系。通过上述“五大体系”的持续投入与建设，使</w:t>
      </w:r>
      <w:r>
        <w:rPr>
          <w:rFonts w:hint="eastAsia" w:ascii="宋体" w:hAnsi="宋体" w:eastAsia="方正仿宋_GBK" w:cs="方正仿宋_GBK"/>
          <w:snapToGrid w:val="0"/>
          <w:kern w:val="0"/>
          <w:sz w:val="32"/>
          <w:szCs w:val="32"/>
        </w:rPr>
        <w:t>黔</w:t>
      </w:r>
      <w:r>
        <w:rPr>
          <w:rFonts w:ascii="宋体" w:hAnsi="宋体" w:eastAsia="方正仿宋_GBK" w:cs="方正仿宋_GBK"/>
          <w:snapToGrid w:val="0"/>
          <w:kern w:val="0"/>
          <w:sz w:val="32"/>
          <w:szCs w:val="32"/>
        </w:rPr>
        <w:t>江区气象整体实力，在重庆市继续保持领先地位，超过东部发达省市，部分领域达到全国先进水平。</w:t>
      </w:r>
    </w:p>
    <w:p>
      <w:pPr>
        <w:tabs>
          <w:tab w:val="left" w:pos="0"/>
        </w:tabs>
        <w:adjustRightInd w:val="0"/>
        <w:snapToGrid w:val="0"/>
        <w:spacing w:line="574" w:lineRule="exact"/>
        <w:jc w:val="center"/>
        <w:rPr>
          <w:rFonts w:hint="eastAsia" w:ascii="宋体" w:hAnsi="宋体" w:eastAsia="方正黑体_GBK"/>
          <w:bCs/>
          <w:snapToGrid w:val="0"/>
          <w:kern w:val="0"/>
          <w:sz w:val="32"/>
          <w:szCs w:val="32"/>
        </w:rPr>
      </w:pPr>
      <w:r>
        <w:rPr>
          <w:rFonts w:hint="eastAsia" w:ascii="宋体" w:hAnsi="宋体" w:eastAsia="方正黑体_GBK"/>
          <w:bCs/>
          <w:snapToGrid w:val="0"/>
          <w:kern w:val="0"/>
          <w:sz w:val="32"/>
          <w:szCs w:val="32"/>
        </w:rPr>
        <w:t>专栏</w:t>
      </w:r>
      <w:r>
        <w:rPr>
          <w:rFonts w:hint="eastAsia" w:ascii="Times New Roman" w:hAnsi="Times New Roman" w:eastAsia="方正黑体_GBK"/>
          <w:bCs/>
          <w:snapToGrid w:val="0"/>
          <w:kern w:val="0"/>
          <w:sz w:val="32"/>
          <w:szCs w:val="32"/>
        </w:rPr>
        <w:t>27</w:t>
      </w:r>
      <w:r>
        <w:rPr>
          <w:rFonts w:hint="eastAsia" w:ascii="宋体" w:hAnsi="宋体" w:eastAsia="方正黑体_GBK"/>
          <w:bCs/>
          <w:snapToGrid w:val="0"/>
          <w:kern w:val="0"/>
          <w:sz w:val="32"/>
          <w:szCs w:val="32"/>
        </w:rPr>
        <w:t>：智慧气象重点工程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adjustRightInd w:val="0"/>
              <w:snapToGrid w:val="0"/>
              <w:spacing w:line="540" w:lineRule="exact"/>
              <w:ind w:firstLine="562" w:firstLineChars="200"/>
              <w:rPr>
                <w:rFonts w:hint="eastAsia" w:ascii="宋体" w:hAnsi="宋体" w:eastAsia="方正仿宋_GBK"/>
                <w:sz w:val="28"/>
                <w:szCs w:val="28"/>
              </w:rPr>
            </w:pPr>
            <w:r>
              <w:rPr>
                <w:rFonts w:hint="eastAsia" w:ascii="宋体" w:hAnsi="宋体" w:eastAsia="方正仿宋_GBK"/>
                <w:b/>
                <w:sz w:val="28"/>
                <w:szCs w:val="28"/>
              </w:rPr>
              <w:t>黔江智慧生态宜居及防灾减灾大数据平台。</w:t>
            </w:r>
            <w:r>
              <w:rPr>
                <w:rFonts w:hint="eastAsia" w:ascii="宋体" w:hAnsi="宋体" w:eastAsia="方正仿宋_GBK"/>
                <w:sz w:val="28"/>
                <w:szCs w:val="28"/>
              </w:rPr>
              <w:t>基于新型智慧城市建设需求进行开发，使用</w:t>
            </w:r>
            <w:r>
              <w:rPr>
                <w:rFonts w:hint="eastAsia" w:ascii="Times New Roman" w:hAnsi="Times New Roman" w:eastAsia="方正仿宋_GBK"/>
                <w:sz w:val="28"/>
                <w:szCs w:val="28"/>
              </w:rPr>
              <w:t>5</w:t>
            </w:r>
            <w:r>
              <w:rPr>
                <w:rFonts w:hint="eastAsia" w:ascii="宋体" w:hAnsi="宋体" w:eastAsia="方正仿宋_GBK"/>
                <w:sz w:val="28"/>
                <w:szCs w:val="28"/>
              </w:rPr>
              <w:t>G通讯、人工智能、无人机三维倾斜摄像、物联网等先进技术，实现多个部门多类别数据互享互通。通过三维实景和数据图表面板相结合的方式，实现对全区生态和防灾减灾进行可视化管理；与市级垂管系统的无缝纵向对接，实现区内全域、区周边、区内河流上游等区域气象基础数据、预警信息的数据传送；依托区数据资源共享系统，获取自然资源和空间地理等基础数据库资源，以及横向获取区内其他部门相关数据，包括水利、生态环保、气象、规划、林业、农业、交通、应急等方面多个部门多类别实时和非实时数据；集纵横向多部门多维度多类型数据创建生态及防灾减灾主题数据库，通过大数据平台的人工智能分析，及时分析气候灾害事件趋势、准确预报灾害性天气，对生态环境进行评估，并提供分析报告，发布预警信息；统筹利用有关社会资源，扩充预警信息传播途经。充分共享区水利局、区规划自然资源局、区生态环境局、区林业局、应急局等部门的数据资源；叠加无人机倾斜摄影制作黔江区三维实景地图，并基于“一张图”功能实现黔江区气象三维立体可视化管理及灾情推演功能；构建以预警终端、</w:t>
            </w:r>
            <w:r>
              <w:rPr>
                <w:rFonts w:hint="eastAsia" w:ascii="Times New Roman" w:hAnsi="Times New Roman" w:eastAsia="方正仿宋_GBK"/>
                <w:sz w:val="28"/>
                <w:szCs w:val="28"/>
              </w:rPr>
              <w:t>APP</w:t>
            </w:r>
            <w:r>
              <w:rPr>
                <w:rFonts w:hint="eastAsia" w:ascii="宋体" w:hAnsi="宋体" w:eastAsia="方正仿宋_GBK"/>
                <w:sz w:val="28"/>
                <w:szCs w:val="28"/>
              </w:rPr>
              <w:t>、短信、微信、网站、应急广播等手段和广播电视、互联网媒体、大喇叭等多渠道的预警信息传播网络。实现灾害性天气精细化智能分析，以及对生态环保趋势进行推演；同时通过数据的共享开放，充分释放大数据红利。</w:t>
            </w:r>
          </w:p>
        </w:tc>
      </w:tr>
    </w:tbl>
    <w:p>
      <w:pPr>
        <w:pStyle w:val="5"/>
        <w:keepNext w:val="0"/>
        <w:keepLines w:val="0"/>
        <w:spacing w:before="0" w:after="0" w:line="574" w:lineRule="exact"/>
        <w:ind w:firstLine="642" w:firstLineChars="200"/>
        <w:rPr>
          <w:rFonts w:hint="eastAsia" w:ascii="宋体" w:hAnsi="宋体" w:eastAsia="方正仿宋_GBK"/>
          <w:kern w:val="0"/>
        </w:rPr>
      </w:pPr>
      <w:bookmarkStart w:id="155" w:name="_Toc8291"/>
      <w:bookmarkStart w:id="156" w:name="_Toc12205"/>
      <w:r>
        <w:rPr>
          <w:rFonts w:ascii="Times New Roman" w:hAnsi="Times New Roman" w:eastAsia="方正仿宋_GBK"/>
          <w:kern w:val="0"/>
        </w:rPr>
        <w:t>3</w:t>
      </w:r>
      <w:r>
        <w:rPr>
          <w:rFonts w:hint="eastAsia" w:ascii="宋体" w:hAnsi="宋体" w:eastAsia="方正仿宋_GBK"/>
          <w:kern w:val="0"/>
        </w:rPr>
        <w:t>．智慧水务</w:t>
      </w:r>
      <w:bookmarkEnd w:id="155"/>
      <w:bookmarkEnd w:id="156"/>
    </w:p>
    <w:p>
      <w:pPr>
        <w:spacing w:line="574" w:lineRule="exact"/>
        <w:ind w:firstLine="640" w:firstLineChars="200"/>
        <w:rPr>
          <w:rFonts w:hint="eastAsia"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实时监测分析水位、水量、水质、工情、灾情等水利信息，加快防汛信息系统、水电信息管理系统等的集成、升级及集约化建设，搭建水利信息综合管理系统，通过各类数据的综合汇总分析、业务协同处理，实现区域水资源的统一监控、配置、引水调度、运行管理、应急指挥等精细化管理，提升水利工程运用、管理的效率和效能。结合黔</w:t>
      </w:r>
      <w:r>
        <w:rPr>
          <w:rFonts w:ascii="宋体" w:hAnsi="宋体" w:eastAsia="方正仿宋_GBK" w:cs="方正仿宋_GBK"/>
          <w:snapToGrid w:val="0"/>
          <w:kern w:val="0"/>
          <w:sz w:val="32"/>
          <w:szCs w:val="32"/>
        </w:rPr>
        <w:t>江</w:t>
      </w:r>
      <w:r>
        <w:rPr>
          <w:rFonts w:hint="eastAsia" w:ascii="宋体" w:hAnsi="宋体" w:eastAsia="方正仿宋_GBK" w:cs="方正仿宋_GBK"/>
          <w:snapToGrid w:val="0"/>
          <w:kern w:val="0"/>
          <w:sz w:val="32"/>
          <w:szCs w:val="32"/>
        </w:rPr>
        <w:t>水务特点，推进水安全、水资源和水环境等工作，形成智慧水安全、智慧水资源和智慧水环境等系统。</w:t>
      </w:r>
    </w:p>
    <w:p>
      <w:pPr>
        <w:tabs>
          <w:tab w:val="left" w:pos="0"/>
        </w:tabs>
        <w:adjustRightInd w:val="0"/>
        <w:snapToGrid w:val="0"/>
        <w:spacing w:line="574" w:lineRule="exact"/>
        <w:jc w:val="center"/>
        <w:rPr>
          <w:rFonts w:hint="eastAsia" w:ascii="宋体" w:hAnsi="宋体" w:eastAsia="方正黑体_GBK"/>
          <w:bCs/>
          <w:snapToGrid w:val="0"/>
          <w:kern w:val="0"/>
          <w:sz w:val="32"/>
          <w:szCs w:val="32"/>
        </w:rPr>
      </w:pPr>
      <w:r>
        <w:rPr>
          <w:rFonts w:hint="eastAsia" w:ascii="宋体" w:hAnsi="宋体" w:eastAsia="方正黑体_GBK"/>
          <w:bCs/>
          <w:snapToGrid w:val="0"/>
          <w:kern w:val="0"/>
          <w:sz w:val="32"/>
          <w:szCs w:val="32"/>
        </w:rPr>
        <w:t>专栏</w:t>
      </w:r>
      <w:r>
        <w:rPr>
          <w:rFonts w:hint="eastAsia" w:ascii="Times New Roman" w:hAnsi="Times New Roman" w:eastAsia="方正黑体_GBK"/>
          <w:bCs/>
          <w:snapToGrid w:val="0"/>
          <w:kern w:val="0"/>
          <w:sz w:val="32"/>
          <w:szCs w:val="32"/>
        </w:rPr>
        <w:t>28</w:t>
      </w:r>
      <w:r>
        <w:rPr>
          <w:rFonts w:hint="eastAsia" w:ascii="宋体" w:hAnsi="宋体" w:eastAsia="方正黑体_GBK"/>
          <w:bCs/>
          <w:snapToGrid w:val="0"/>
          <w:kern w:val="0"/>
          <w:sz w:val="32"/>
          <w:szCs w:val="32"/>
        </w:rPr>
        <w:t>：智慧水务重点工程</w:t>
      </w:r>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480" w:lineRule="exact"/>
              <w:ind w:firstLine="562" w:firstLineChars="200"/>
              <w:rPr>
                <w:rFonts w:hint="eastAsia" w:ascii="宋体" w:hAnsi="宋体" w:eastAsia="方正仿宋_GBK"/>
                <w:snapToGrid w:val="0"/>
                <w:kern w:val="0"/>
                <w:sz w:val="28"/>
                <w:szCs w:val="28"/>
              </w:rPr>
            </w:pPr>
            <w:r>
              <w:rPr>
                <w:rFonts w:hint="eastAsia" w:ascii="宋体" w:hAnsi="宋体" w:eastAsia="方正仿宋_GBK"/>
                <w:b/>
                <w:snapToGrid w:val="0"/>
                <w:kern w:val="0"/>
                <w:sz w:val="28"/>
                <w:szCs w:val="28"/>
              </w:rPr>
              <w:t>建设水务领域全面的感知体系和传感网络</w:t>
            </w:r>
            <w:r>
              <w:rPr>
                <w:rFonts w:hint="eastAsia" w:ascii="宋体" w:hAnsi="宋体" w:eastAsia="方正仿宋_GBK"/>
                <w:snapToGrid w:val="0"/>
                <w:kern w:val="0"/>
                <w:sz w:val="28"/>
                <w:szCs w:val="28"/>
              </w:rPr>
              <w:t>。实现雨情、水情、工情的全面监控，实现水务基础信息的全面数字化；建设水务信息的传感网络，根据水务业务需要，分别建立雨情、水情等水文传感网络，水务设施的工情传感网络，防洪重点区段、工程的视频监控网络，供水管网的水量、压力、水质监控网络，排水管网的监控网络，水环境水生态监控网络，通过不同类别传感网络的建设，全面实现水务领域感知数据的智能传输、存储和管理。</w:t>
            </w:r>
          </w:p>
          <w:p>
            <w:pPr>
              <w:adjustRightInd w:val="0"/>
              <w:snapToGrid w:val="0"/>
              <w:spacing w:line="480" w:lineRule="exact"/>
              <w:ind w:firstLine="562" w:firstLineChars="200"/>
              <w:rPr>
                <w:rFonts w:hint="eastAsia" w:ascii="宋体" w:hAnsi="宋体" w:eastAsia="方正仿宋_GBK"/>
                <w:snapToGrid w:val="0"/>
                <w:kern w:val="0"/>
                <w:sz w:val="28"/>
                <w:szCs w:val="28"/>
              </w:rPr>
            </w:pPr>
            <w:r>
              <w:rPr>
                <w:rFonts w:hint="eastAsia" w:ascii="宋体" w:hAnsi="宋体" w:eastAsia="方正仿宋_GBK"/>
                <w:b/>
                <w:snapToGrid w:val="0"/>
                <w:kern w:val="0"/>
                <w:sz w:val="28"/>
                <w:szCs w:val="28"/>
              </w:rPr>
              <w:t>构建智慧水安全基础服务平台</w:t>
            </w:r>
            <w:r>
              <w:rPr>
                <w:rFonts w:hint="eastAsia" w:ascii="宋体" w:hAnsi="宋体" w:eastAsia="方正仿宋_GBK"/>
                <w:snapToGrid w:val="0"/>
                <w:kern w:val="0"/>
                <w:sz w:val="28"/>
                <w:szCs w:val="28"/>
              </w:rPr>
              <w:t>。形成水务信息采集、传输、存储与管理以及水安全、水资源、水环境和水生态修复等业务应用的综合管理平台，为水务领域提供水安全、水资源和水环境等业务服务，为相关企业和市民提供水务相关服务。</w:t>
            </w:r>
          </w:p>
          <w:p>
            <w:pPr>
              <w:adjustRightInd w:val="0"/>
              <w:snapToGrid w:val="0"/>
              <w:spacing w:line="480" w:lineRule="exact"/>
              <w:ind w:firstLine="562" w:firstLineChars="200"/>
              <w:rPr>
                <w:rFonts w:hint="eastAsia" w:ascii="宋体" w:hAnsi="宋体" w:eastAsia="方正仿宋_GBK"/>
                <w:snapToGrid w:val="0"/>
                <w:kern w:val="0"/>
                <w:sz w:val="28"/>
                <w:szCs w:val="28"/>
              </w:rPr>
            </w:pPr>
            <w:r>
              <w:rPr>
                <w:rFonts w:hint="eastAsia" w:ascii="宋体" w:hAnsi="宋体" w:eastAsia="方正仿宋_GBK"/>
                <w:b/>
                <w:snapToGrid w:val="0"/>
                <w:kern w:val="0"/>
                <w:sz w:val="28"/>
                <w:szCs w:val="28"/>
              </w:rPr>
              <w:t>河长制管理信息系统。</w:t>
            </w:r>
            <w:r>
              <w:rPr>
                <w:rFonts w:hint="eastAsia" w:ascii="宋体" w:hAnsi="宋体" w:eastAsia="方正仿宋_GBK"/>
                <w:snapToGrid w:val="0"/>
                <w:kern w:val="0"/>
                <w:sz w:val="28"/>
                <w:szCs w:val="28"/>
              </w:rPr>
              <w:t>河长制管理信息系统为市级建设系统，属于垂管系统，系统包含</w:t>
            </w:r>
            <w:r>
              <w:rPr>
                <w:rFonts w:hint="eastAsia" w:ascii="Times New Roman" w:hAnsi="Times New Roman" w:eastAsia="方正仿宋_GBK"/>
                <w:snapToGrid w:val="0"/>
                <w:kern w:val="0"/>
                <w:sz w:val="28"/>
                <w:szCs w:val="28"/>
              </w:rPr>
              <w:t>PC</w:t>
            </w:r>
            <w:r>
              <w:rPr>
                <w:rFonts w:hint="eastAsia" w:ascii="宋体" w:hAnsi="宋体" w:eastAsia="方正仿宋_GBK"/>
                <w:snapToGrid w:val="0"/>
                <w:kern w:val="0"/>
                <w:sz w:val="28"/>
                <w:szCs w:val="28"/>
              </w:rPr>
              <w:t>端、手机</w:t>
            </w:r>
            <w:r>
              <w:rPr>
                <w:rFonts w:hint="eastAsia" w:ascii="Times New Roman" w:hAnsi="Times New Roman" w:eastAsia="方正仿宋_GBK"/>
                <w:snapToGrid w:val="0"/>
                <w:kern w:val="0"/>
                <w:sz w:val="28"/>
                <w:szCs w:val="28"/>
              </w:rPr>
              <w:t>APP</w:t>
            </w:r>
            <w:r>
              <w:rPr>
                <w:rFonts w:hint="eastAsia" w:ascii="宋体" w:hAnsi="宋体" w:eastAsia="方正仿宋_GBK"/>
                <w:snapToGrid w:val="0"/>
                <w:kern w:val="0"/>
                <w:sz w:val="28"/>
                <w:szCs w:val="28"/>
              </w:rPr>
              <w:t>端和微信公众号三端，管理层级覆盖市、区（县）、乡镇、村四级，用户范围包括各级河长、河长办工作人员、成员单位责任人和社会公众。系统主要功能一是基本解决各级河长巡河履职，包含：巡河管理、事件上报、事件处置等功能；二是基本满足河长办的日常工作需求，包含：统计分析、信息发布、河长组织体系管理等功能；三是实现了与水利部河长制系统的数据上传对接；四是为社会公众提供了参与河长制工作的监督渠道。</w:t>
            </w:r>
          </w:p>
        </w:tc>
      </w:tr>
    </w:tbl>
    <w:p>
      <w:pPr>
        <w:pStyle w:val="5"/>
        <w:keepNext w:val="0"/>
        <w:keepLines w:val="0"/>
        <w:spacing w:before="0" w:after="0" w:line="574" w:lineRule="exact"/>
        <w:ind w:firstLine="642" w:firstLineChars="200"/>
        <w:rPr>
          <w:rFonts w:hint="eastAsia" w:ascii="宋体" w:hAnsi="宋体" w:eastAsia="方正仿宋_GBK"/>
          <w:kern w:val="0"/>
        </w:rPr>
      </w:pPr>
      <w:bookmarkStart w:id="157" w:name="_Toc336"/>
      <w:bookmarkStart w:id="158" w:name="_Toc11593"/>
      <w:r>
        <w:rPr>
          <w:rFonts w:ascii="Times New Roman" w:hAnsi="Times New Roman" w:eastAsia="方正仿宋_GBK"/>
          <w:kern w:val="0"/>
        </w:rPr>
        <w:t>4</w:t>
      </w:r>
      <w:r>
        <w:rPr>
          <w:rFonts w:hint="eastAsia" w:ascii="宋体" w:hAnsi="宋体" w:eastAsia="方正仿宋_GBK"/>
          <w:kern w:val="0"/>
        </w:rPr>
        <w:t>．智慧能源</w:t>
      </w:r>
      <w:bookmarkEnd w:id="157"/>
      <w:bookmarkEnd w:id="158"/>
    </w:p>
    <w:p>
      <w:pPr>
        <w:spacing w:line="574" w:lineRule="exact"/>
        <w:ind w:firstLine="640" w:firstLineChars="200"/>
        <w:rPr>
          <w:rFonts w:hint="eastAsia"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建设“源—网—荷—储”协调发展、智能互补的能源互联网，推进信息系统与物理系统的高效集成与智能化调控，以“集中调控、分布自治、远程协作”为特征，实现能源互联网的实时感知、信息反馈、快速响应与精确控制。强化能源产业链上游企业的信息对接，能源行业与通信、交通等领域的数据互联，通过大数据分析，实现能源流的全过程优化管理。实施能源生产和利用设施智能化改造，加强传统能源和新能源厂站的智能化建设，促进多种能源优化互补。利用人工智能和区块链技术，鼓励发展基于分布式能源的用户端智能化用能、能源共享经济和能源交易，因地制宜建设新能源智能充放电站等基础设施，推进电动汽车即插即用示范。推进物联网在燃气网络中的应用，整合气源、管网、客户端等供应链数据，完善燃气智能检测、管网预警、区域燃气供求分析，实现燃气全网智能检测、调度和平衡。</w:t>
      </w:r>
    </w:p>
    <w:p>
      <w:pPr>
        <w:tabs>
          <w:tab w:val="left" w:pos="0"/>
        </w:tabs>
        <w:adjustRightInd w:val="0"/>
        <w:snapToGrid w:val="0"/>
        <w:spacing w:line="574" w:lineRule="exact"/>
        <w:jc w:val="center"/>
        <w:rPr>
          <w:rFonts w:hint="eastAsia" w:ascii="宋体" w:hAnsi="宋体" w:eastAsia="方正黑体_GBK"/>
          <w:bCs/>
          <w:snapToGrid w:val="0"/>
          <w:kern w:val="0"/>
          <w:sz w:val="32"/>
          <w:szCs w:val="32"/>
        </w:rPr>
      </w:pPr>
      <w:r>
        <w:rPr>
          <w:rFonts w:hint="eastAsia" w:ascii="宋体" w:hAnsi="宋体" w:eastAsia="方正黑体_GBK"/>
          <w:bCs/>
          <w:snapToGrid w:val="0"/>
          <w:kern w:val="0"/>
          <w:sz w:val="32"/>
          <w:szCs w:val="32"/>
        </w:rPr>
        <w:t>专栏</w:t>
      </w:r>
      <w:r>
        <w:rPr>
          <w:rFonts w:hint="eastAsia" w:ascii="Times New Roman" w:hAnsi="Times New Roman" w:eastAsia="方正黑体_GBK"/>
          <w:bCs/>
          <w:snapToGrid w:val="0"/>
          <w:kern w:val="0"/>
          <w:sz w:val="32"/>
          <w:szCs w:val="32"/>
        </w:rPr>
        <w:t>29</w:t>
      </w:r>
      <w:r>
        <w:rPr>
          <w:rFonts w:hint="eastAsia" w:ascii="宋体" w:hAnsi="宋体" w:eastAsia="方正黑体_GBK"/>
          <w:bCs/>
          <w:snapToGrid w:val="0"/>
          <w:kern w:val="0"/>
          <w:sz w:val="32"/>
          <w:szCs w:val="32"/>
        </w:rPr>
        <w:t>：智慧能源重点工程</w:t>
      </w:r>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476" w:lineRule="exact"/>
              <w:ind w:firstLine="562" w:firstLineChars="200"/>
              <w:rPr>
                <w:rFonts w:hint="eastAsia" w:ascii="宋体" w:hAnsi="宋体" w:eastAsia="方正仿宋_GBK"/>
                <w:snapToGrid w:val="0"/>
                <w:kern w:val="0"/>
                <w:sz w:val="28"/>
                <w:szCs w:val="28"/>
              </w:rPr>
            </w:pPr>
            <w:r>
              <w:rPr>
                <w:rFonts w:hint="eastAsia" w:ascii="宋体" w:hAnsi="宋体" w:eastAsia="方正仿宋_GBK"/>
                <w:b/>
                <w:snapToGrid w:val="0"/>
                <w:kern w:val="0"/>
                <w:sz w:val="28"/>
                <w:szCs w:val="28"/>
              </w:rPr>
              <w:t>智慧能源一体化服务监管平台。</w:t>
            </w:r>
            <w:r>
              <w:rPr>
                <w:rFonts w:hint="eastAsia" w:ascii="宋体" w:hAnsi="宋体" w:eastAsia="方正仿宋_GBK"/>
                <w:snapToGrid w:val="0"/>
                <w:kern w:val="0"/>
                <w:sz w:val="28"/>
                <w:szCs w:val="28"/>
              </w:rPr>
              <w:t>统一整合能源配、售、用各环节资源，构建综合智慧能源一体化服务子平台（包含能源营销数字管控平台、智能互动机器人管理系统、增量配电网投资运营管理系统、新能源集控中心等子系统），实现能源企业运营各环节的智能化改造，为用户提供精准化用能解决方案和增值服务。整合全区各运营商充电服务资源和数据，建设具有在线统计监测、安全监管等功能的全区充电设施监管子平台。开发具有互联网金融、车辆检测预警、路况导航等增值服务的全区充电服务网络，实现充电运营商之间、充电设施与电动企业之间互联互通。</w:t>
            </w:r>
          </w:p>
          <w:p>
            <w:pPr>
              <w:adjustRightInd w:val="0"/>
              <w:snapToGrid w:val="0"/>
              <w:spacing w:line="476" w:lineRule="exact"/>
              <w:ind w:firstLine="562" w:firstLineChars="200"/>
              <w:rPr>
                <w:rFonts w:hint="eastAsia" w:ascii="宋体" w:hAnsi="宋体" w:eastAsia="方正仿宋_GBK"/>
                <w:snapToGrid w:val="0"/>
                <w:kern w:val="0"/>
                <w:sz w:val="28"/>
                <w:szCs w:val="28"/>
              </w:rPr>
            </w:pPr>
            <w:r>
              <w:rPr>
                <w:rFonts w:hint="eastAsia" w:ascii="宋体" w:hAnsi="宋体" w:eastAsia="方正仿宋_GBK"/>
                <w:b/>
                <w:sz w:val="28"/>
                <w:szCs w:val="28"/>
              </w:rPr>
              <w:t>燃气能耗分析系统。</w:t>
            </w:r>
            <w:r>
              <w:rPr>
                <w:rFonts w:hint="eastAsia" w:ascii="宋体" w:hAnsi="宋体" w:eastAsia="方正仿宋_GBK"/>
                <w:sz w:val="28"/>
                <w:szCs w:val="28"/>
              </w:rPr>
              <w:t>建设燃气能耗分析系统，通过对用气单位进行智能气表改造，实现用气单位的用气量、用气压力、流量等数据的收集，结合区级数据资源共享系统共享的用气单位信息、数据，实现用气能耗的多维度分析。</w:t>
            </w:r>
          </w:p>
        </w:tc>
      </w:tr>
    </w:tbl>
    <w:p>
      <w:pPr>
        <w:pStyle w:val="4"/>
        <w:keepNext w:val="0"/>
        <w:keepLines w:val="0"/>
        <w:spacing w:before="0" w:after="0" w:line="574" w:lineRule="exact"/>
        <w:ind w:firstLine="640" w:firstLineChars="200"/>
        <w:rPr>
          <w:rFonts w:hint="eastAsia" w:ascii="宋体" w:hAnsi="宋体" w:eastAsia="方正仿宋_GBK"/>
          <w:kern w:val="0"/>
        </w:rPr>
      </w:pPr>
      <w:bookmarkStart w:id="159" w:name="_Toc10585"/>
      <w:bookmarkStart w:id="160" w:name="_Toc19249"/>
      <w:bookmarkStart w:id="161" w:name="_Toc18193"/>
      <w:bookmarkStart w:id="162" w:name="_Toc19190"/>
      <w:bookmarkStart w:id="163" w:name="_Toc4298"/>
      <w:r>
        <w:rPr>
          <w:rFonts w:ascii="宋体" w:hAnsi="宋体" w:eastAsia="方正楷体_GBK"/>
          <w:b w:val="0"/>
        </w:rPr>
        <w:t>（</w:t>
      </w:r>
      <w:r>
        <w:rPr>
          <w:rFonts w:hint="eastAsia" w:ascii="宋体" w:hAnsi="宋体" w:eastAsia="方正楷体_GBK"/>
          <w:b w:val="0"/>
        </w:rPr>
        <w:t>六</w:t>
      </w:r>
      <w:r>
        <w:rPr>
          <w:rFonts w:ascii="宋体" w:hAnsi="宋体" w:eastAsia="方正楷体_GBK"/>
          <w:b w:val="0"/>
        </w:rPr>
        <w:t>）</w:t>
      </w:r>
      <w:r>
        <w:rPr>
          <w:rFonts w:hint="eastAsia" w:ascii="宋体" w:hAnsi="宋体" w:eastAsia="方正楷体_GBK"/>
          <w:b w:val="0"/>
        </w:rPr>
        <w:t>推进社会治理，创新深化“平安黔江”</w:t>
      </w:r>
      <w:bookmarkEnd w:id="159"/>
      <w:bookmarkEnd w:id="160"/>
      <w:bookmarkEnd w:id="161"/>
      <w:bookmarkEnd w:id="162"/>
      <w:bookmarkEnd w:id="163"/>
    </w:p>
    <w:p>
      <w:pPr>
        <w:pStyle w:val="5"/>
        <w:keepNext w:val="0"/>
        <w:keepLines w:val="0"/>
        <w:spacing w:before="0" w:after="0" w:line="574" w:lineRule="exact"/>
        <w:ind w:firstLine="642" w:firstLineChars="200"/>
        <w:rPr>
          <w:rFonts w:hint="eastAsia" w:ascii="宋体" w:hAnsi="宋体" w:eastAsia="方正仿宋_GBK"/>
          <w:kern w:val="0"/>
        </w:rPr>
      </w:pPr>
      <w:bookmarkStart w:id="164" w:name="_Toc15365"/>
      <w:bookmarkStart w:id="165" w:name="_Toc4737"/>
      <w:r>
        <w:rPr>
          <w:rFonts w:hint="eastAsia" w:ascii="Times New Roman" w:hAnsi="Times New Roman" w:eastAsia="方正仿宋_GBK"/>
          <w:kern w:val="0"/>
        </w:rPr>
        <w:t>1</w:t>
      </w:r>
      <w:r>
        <w:rPr>
          <w:rFonts w:hint="eastAsia" w:ascii="宋体" w:hAnsi="宋体" w:eastAsia="方正仿宋_GBK"/>
          <w:kern w:val="0"/>
        </w:rPr>
        <w:t>．智慧公共安全</w:t>
      </w:r>
      <w:bookmarkEnd w:id="164"/>
      <w:bookmarkEnd w:id="165"/>
    </w:p>
    <w:p>
      <w:pPr>
        <w:spacing w:line="560" w:lineRule="exact"/>
        <w:ind w:firstLine="640" w:firstLineChars="200"/>
        <w:rPr>
          <w:rFonts w:hint="eastAsia" w:ascii="宋体" w:hAnsi="宋体"/>
        </w:rPr>
      </w:pPr>
      <w:r>
        <w:rPr>
          <w:rFonts w:hint="eastAsia" w:ascii="宋体" w:hAnsi="宋体" w:eastAsia="方正仿宋_GBK" w:cs="方正仿宋_GBK"/>
          <w:snapToGrid w:val="0"/>
          <w:kern w:val="0"/>
          <w:sz w:val="32"/>
          <w:szCs w:val="32"/>
        </w:rPr>
        <w:t>在新型智慧城市</w:t>
      </w:r>
      <w:r>
        <w:rPr>
          <w:rFonts w:hint="eastAsia" w:ascii="宋体" w:hAnsi="宋体" w:eastAsia="方正仿宋_GBK"/>
          <w:sz w:val="32"/>
          <w:szCs w:val="32"/>
        </w:rPr>
        <w:t>整体</w:t>
      </w:r>
      <w:r>
        <w:rPr>
          <w:rFonts w:hint="eastAsia" w:ascii="宋体" w:hAnsi="宋体" w:eastAsia="方正仿宋_GBK" w:cs="方正仿宋_GBK"/>
          <w:snapToGrid w:val="0"/>
          <w:kern w:val="0"/>
          <w:sz w:val="32"/>
          <w:szCs w:val="32"/>
        </w:rPr>
        <w:t>架构下，围绕平安城市建设目标，建立治安防控、雪亮工程等城市公共安全管理综合体系。实现事发前对各种风险隐患的日常监测监控和预防，事发时对突发公共事件的接报预警，事发后对相关应急职能部门的统一调度和协同指挥，营造社会秩序良好、人民安居乐业的平安城市社会公共环境。运用云计算、视频分析、多模型算法仓等技术，全面整合现有公共区域、行业部门、社会单位视频资源，并进一步推动城市重点公共区域、行业（领域）的视频监控全覆盖，深化视频图像信息的融合应用，优化各部门视频联网应用模式，实现公共安全视频监控“全域覆盖、全网共享、全时可用、全程可控、全面应用”的新格局。构建全区司法行政系统“数字法治·智慧司法”信息化体系，形成全面覆盖、移动互联、智能应用、信息共享的“智慧矫正”建设新模式。</w:t>
      </w:r>
    </w:p>
    <w:p>
      <w:pPr>
        <w:spacing w:line="574" w:lineRule="exact"/>
        <w:jc w:val="center"/>
        <w:rPr>
          <w:rFonts w:hint="eastAsia" w:ascii="宋体" w:hAnsi="宋体" w:eastAsia="方正黑体_GBK"/>
          <w:kern w:val="0"/>
          <w:sz w:val="32"/>
          <w:szCs w:val="32"/>
          <w:highlight w:val="red"/>
        </w:rPr>
      </w:pPr>
      <w:r>
        <w:rPr>
          <w:rFonts w:hint="eastAsia" w:ascii="宋体" w:hAnsi="宋体" w:eastAsia="方正黑体_GBK"/>
          <w:kern w:val="0"/>
          <w:sz w:val="32"/>
          <w:szCs w:val="32"/>
        </w:rPr>
        <w:t>专栏</w:t>
      </w:r>
      <w:r>
        <w:rPr>
          <w:rFonts w:hint="eastAsia" w:ascii="Times New Roman" w:hAnsi="Times New Roman" w:eastAsia="方正黑体_GBK"/>
          <w:kern w:val="0"/>
          <w:sz w:val="32"/>
          <w:szCs w:val="32"/>
        </w:rPr>
        <w:t>30</w:t>
      </w:r>
      <w:r>
        <w:rPr>
          <w:rFonts w:hint="eastAsia" w:ascii="宋体" w:hAnsi="宋体" w:eastAsia="方正黑体_GBK"/>
          <w:kern w:val="0"/>
          <w:sz w:val="32"/>
          <w:szCs w:val="32"/>
        </w:rPr>
        <w:t>：智慧公共安全重点工程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pStyle w:val="8"/>
              <w:spacing w:line="560" w:lineRule="exact"/>
              <w:ind w:firstLine="562" w:firstLineChars="200"/>
              <w:jc w:val="left"/>
              <w:rPr>
                <w:rFonts w:hint="eastAsia" w:hAnsi="宋体" w:eastAsia="方正仿宋_GBK"/>
                <w:sz w:val="28"/>
                <w:szCs w:val="28"/>
              </w:rPr>
            </w:pPr>
            <w:r>
              <w:rPr>
                <w:rFonts w:hint="eastAsia" w:hAnsi="宋体" w:eastAsia="方正仿宋_GBK"/>
                <w:b/>
                <w:bCs/>
                <w:sz w:val="28"/>
                <w:szCs w:val="28"/>
              </w:rPr>
              <w:t>黔江区政法系统跨部门大数据协同办案平台。</w:t>
            </w:r>
            <w:r>
              <w:rPr>
                <w:rFonts w:hint="eastAsia" w:hAnsi="宋体" w:eastAsia="方正仿宋_GBK"/>
                <w:sz w:val="28"/>
                <w:szCs w:val="28"/>
              </w:rPr>
              <w:t>依托重庆市政法系统信息共享平台，在政法机关之间全面实现设施联通，网路畅通，平台贯通，数据融通，以协同、共享、高效、规范为定位，推进政法各部门业务协同，实现办案数据融合和规范智能办案，实现电子卷宗自动识别分类，自动编目，解决长期以来困扰政法干警的电子卷宗制作难题。探索全流程网上单轨制办案，以刑事案件大数据为抓手，提升智能监管水平，稳妥推行单轨制办案的试点地区和案件类型，为实现全面单轨制办案积累经验，搭建政法各家的网络安全边界，统一数据库后做好等保三级的认证，构建黔江区政法机关跨部门大数据办案平台。</w:t>
            </w:r>
          </w:p>
          <w:p>
            <w:pPr>
              <w:pStyle w:val="8"/>
              <w:spacing w:line="560" w:lineRule="exact"/>
              <w:ind w:firstLine="562" w:firstLineChars="200"/>
              <w:jc w:val="left"/>
              <w:rPr>
                <w:rFonts w:hint="eastAsia" w:hAnsi="宋体" w:eastAsia="方正仿宋_GBK"/>
                <w:sz w:val="28"/>
                <w:szCs w:val="28"/>
              </w:rPr>
            </w:pPr>
            <w:r>
              <w:rPr>
                <w:rFonts w:hint="eastAsia" w:hAnsi="宋体" w:eastAsia="方正仿宋_GBK"/>
                <w:b/>
                <w:bCs/>
                <w:sz w:val="28"/>
                <w:szCs w:val="28"/>
              </w:rPr>
              <w:t>黔江区社区治理智能化网格化共治平台。</w:t>
            </w:r>
            <w:r>
              <w:rPr>
                <w:rFonts w:hint="eastAsia" w:hAnsi="宋体" w:eastAsia="方正仿宋_GBK"/>
                <w:sz w:val="28"/>
                <w:szCs w:val="28"/>
              </w:rPr>
              <w:t>充分整合已建设的综治</w:t>
            </w:r>
            <w:r>
              <w:rPr>
                <w:rFonts w:hint="eastAsia" w:ascii="Times New Roman" w:hAnsi="Times New Roman" w:eastAsia="方正仿宋_GBK"/>
                <w:sz w:val="28"/>
                <w:szCs w:val="28"/>
              </w:rPr>
              <w:t>9</w:t>
            </w:r>
            <w:r>
              <w:rPr>
                <w:rFonts w:hint="eastAsia" w:hAnsi="宋体" w:eastAsia="方正仿宋_GBK"/>
                <w:sz w:val="28"/>
                <w:szCs w:val="28"/>
              </w:rPr>
              <w:t>+</w:t>
            </w:r>
            <w:r>
              <w:rPr>
                <w:rFonts w:hint="eastAsia" w:ascii="Times New Roman" w:hAnsi="Times New Roman" w:eastAsia="方正仿宋_GBK"/>
                <w:sz w:val="28"/>
                <w:szCs w:val="28"/>
              </w:rPr>
              <w:t>11</w:t>
            </w:r>
            <w:r>
              <w:rPr>
                <w:rFonts w:hint="eastAsia" w:hAnsi="宋体" w:eastAsia="方正仿宋_GBK"/>
                <w:sz w:val="28"/>
                <w:szCs w:val="28"/>
              </w:rPr>
              <w:t>系统及区大数据局规划建设系统的数据流、政务信息流、业务流，形成多流合一的协同治理体系；逐步整合智慧城管、社会保障、卫生健康、公共法律服务等已建和未建的党政部门延伸到村的公共服务信息系统，在全区形成纵向贯通各部门、乡镇（街道）、村（社区）、网格四个层级，横向联通有关成员单位，建成全区统一的综合性社会治理智能云平台，并对接市级社区治理智能化网格化共治平台。将智慧“安防社区”、“平安乡村”平台集成到区综治</w:t>
            </w:r>
            <w:r>
              <w:rPr>
                <w:rFonts w:hint="eastAsia" w:ascii="Times New Roman" w:hAnsi="Times New Roman" w:eastAsia="方正仿宋_GBK"/>
                <w:sz w:val="28"/>
                <w:szCs w:val="28"/>
              </w:rPr>
              <w:t>9</w:t>
            </w:r>
            <w:r>
              <w:rPr>
                <w:rFonts w:hint="eastAsia" w:hAnsi="宋体" w:eastAsia="方正仿宋_GBK"/>
                <w:sz w:val="28"/>
                <w:szCs w:val="28"/>
              </w:rPr>
              <w:t>+</w:t>
            </w:r>
            <w:r>
              <w:rPr>
                <w:rFonts w:hint="eastAsia" w:ascii="Times New Roman" w:hAnsi="Times New Roman" w:eastAsia="方正仿宋_GBK"/>
                <w:sz w:val="28"/>
                <w:szCs w:val="28"/>
              </w:rPr>
              <w:t>11</w:t>
            </w:r>
            <w:r>
              <w:rPr>
                <w:rFonts w:hint="eastAsia" w:hAnsi="宋体" w:eastAsia="方正仿宋_GBK"/>
                <w:sz w:val="28"/>
                <w:szCs w:val="28"/>
              </w:rPr>
              <w:t>信息平台，进一步发挥“雪亮工程”实战作用。重物理安全、网络安全、主机安全、应用安全及数据安全，做到主动防御技术与被动防护技术相结合，与区公共服务中心对接，加快电子政务外网的等保三级建设，配置安全态势感知系统，对综治</w:t>
            </w:r>
            <w:r>
              <w:rPr>
                <w:rFonts w:hint="eastAsia" w:ascii="Times New Roman" w:hAnsi="Times New Roman" w:eastAsia="方正仿宋_GBK"/>
                <w:sz w:val="28"/>
                <w:szCs w:val="28"/>
              </w:rPr>
              <w:t>9</w:t>
            </w:r>
            <w:r>
              <w:rPr>
                <w:rFonts w:hint="eastAsia" w:hAnsi="宋体" w:eastAsia="方正仿宋_GBK"/>
                <w:sz w:val="28"/>
                <w:szCs w:val="28"/>
              </w:rPr>
              <w:t>+</w:t>
            </w:r>
            <w:r>
              <w:rPr>
                <w:rFonts w:hint="eastAsia" w:ascii="Times New Roman" w:hAnsi="Times New Roman" w:eastAsia="方正仿宋_GBK"/>
                <w:sz w:val="28"/>
                <w:szCs w:val="28"/>
              </w:rPr>
              <w:t>11</w:t>
            </w:r>
            <w:r>
              <w:rPr>
                <w:rFonts w:hint="eastAsia" w:hAnsi="宋体" w:eastAsia="方正仿宋_GBK"/>
                <w:sz w:val="28"/>
                <w:szCs w:val="28"/>
              </w:rPr>
              <w:t>系统的</w:t>
            </w:r>
            <w:r>
              <w:rPr>
                <w:rFonts w:hint="eastAsia" w:ascii="Times New Roman" w:hAnsi="Times New Roman" w:eastAsia="方正仿宋_GBK"/>
                <w:sz w:val="28"/>
                <w:szCs w:val="28"/>
              </w:rPr>
              <w:t>300</w:t>
            </w:r>
            <w:r>
              <w:rPr>
                <w:rFonts w:hint="eastAsia" w:hAnsi="宋体" w:eastAsia="方正仿宋_GBK"/>
                <w:sz w:val="28"/>
                <w:szCs w:val="28"/>
              </w:rPr>
              <w:t>余台电脑进行监管。</w:t>
            </w:r>
          </w:p>
          <w:p>
            <w:pPr>
              <w:pStyle w:val="8"/>
              <w:spacing w:line="560" w:lineRule="exact"/>
              <w:ind w:firstLine="562" w:firstLineChars="200"/>
              <w:jc w:val="left"/>
              <w:rPr>
                <w:rFonts w:hint="eastAsia" w:hAnsi="宋体" w:eastAsia="方正仿宋_GBK"/>
                <w:sz w:val="28"/>
                <w:szCs w:val="28"/>
              </w:rPr>
            </w:pPr>
            <w:r>
              <w:rPr>
                <w:rFonts w:hint="eastAsia" w:hAnsi="宋体" w:eastAsia="方正仿宋_GBK"/>
                <w:b/>
                <w:bCs/>
                <w:sz w:val="28"/>
                <w:szCs w:val="28"/>
              </w:rPr>
              <w:t>智慧法院。</w:t>
            </w:r>
            <w:r>
              <w:rPr>
                <w:rFonts w:hint="eastAsia" w:hAnsi="宋体" w:eastAsia="方正仿宋_GBK"/>
                <w:sz w:val="28"/>
                <w:szCs w:val="28"/>
              </w:rPr>
              <w:t>构建以审判全量数据覆盖为目标构建审判信息资源库，推进全区法院案件信息、文书信息、电子卷宗和庭审音视频数据汇聚；拓展大数据与人工智能融合应用，探索研发智能化辅助功能，提升全区法院审判能力现代化水平；探索建设内网、外网司法区块链平台，加快推进全业务数据上链，推广智能合约、跨链互认等链上应用。</w:t>
            </w:r>
          </w:p>
          <w:p>
            <w:pPr>
              <w:pStyle w:val="8"/>
              <w:spacing w:line="560" w:lineRule="exact"/>
              <w:ind w:firstLine="562" w:firstLineChars="200"/>
              <w:jc w:val="left"/>
              <w:rPr>
                <w:rFonts w:hint="eastAsia" w:hAnsi="宋体" w:eastAsia="方正仿宋_GBK"/>
                <w:sz w:val="28"/>
                <w:szCs w:val="28"/>
              </w:rPr>
            </w:pPr>
            <w:r>
              <w:rPr>
                <w:rFonts w:hint="eastAsia" w:hAnsi="宋体" w:eastAsia="方正仿宋_GBK"/>
                <w:b/>
                <w:bCs/>
                <w:sz w:val="28"/>
                <w:szCs w:val="28"/>
              </w:rPr>
              <w:t>智慧检务。</w:t>
            </w:r>
            <w:r>
              <w:rPr>
                <w:rFonts w:hint="eastAsia" w:hAnsi="宋体" w:eastAsia="方正仿宋_GBK"/>
                <w:sz w:val="28"/>
                <w:szCs w:val="28"/>
              </w:rPr>
              <w:t>构建智慧检务应用体系，打造典型智能化应用，积极应用统一业务应用系统，推进AI技术、阅卷辅助、证据审查、量刑建议、出庭一体化等只能辅助工具的广泛应用；推动</w:t>
            </w:r>
            <w:r>
              <w:rPr>
                <w:rFonts w:hint="eastAsia" w:ascii="Times New Roman" w:hAnsi="Times New Roman" w:eastAsia="方正仿宋_GBK"/>
                <w:sz w:val="28"/>
                <w:szCs w:val="28"/>
              </w:rPr>
              <w:t>5</w:t>
            </w:r>
            <w:r>
              <w:rPr>
                <w:rFonts w:hint="eastAsia" w:hAnsi="宋体" w:eastAsia="方正仿宋_GBK"/>
                <w:sz w:val="28"/>
                <w:szCs w:val="28"/>
              </w:rPr>
              <w:t>G等移动技术应用，建设移动办公办案平台；加强支撑体系建设，打造一体化的检察服务云。构建三远一网”系统，即结合远程提讯、远程庭审、远程送达于一体，办案人员“足不出户”便可办理相关案件，而群众也可以少跑腿，进一步通过微信公众号等大众平台推广应用</w:t>
            </w:r>
            <w:r>
              <w:rPr>
                <w:rFonts w:hint="eastAsia" w:ascii="Times New Roman" w:hAnsi="Times New Roman" w:eastAsia="方正仿宋_GBK"/>
                <w:sz w:val="28"/>
                <w:szCs w:val="28"/>
              </w:rPr>
              <w:t>12309</w:t>
            </w:r>
            <w:r>
              <w:rPr>
                <w:rFonts w:hint="eastAsia" w:hAnsi="宋体" w:eastAsia="方正仿宋_GBK"/>
                <w:sz w:val="28"/>
                <w:szCs w:val="28"/>
              </w:rPr>
              <w:t>中国检察网，着实提高群众知晓率，全力提升群众查询案件信息、信访等便利程度。</w:t>
            </w:r>
          </w:p>
          <w:p>
            <w:pPr>
              <w:pStyle w:val="8"/>
              <w:spacing w:line="560" w:lineRule="exact"/>
              <w:ind w:firstLine="562" w:firstLineChars="200"/>
              <w:jc w:val="left"/>
              <w:rPr>
                <w:rFonts w:hint="eastAsia" w:hAnsi="宋体" w:eastAsia="方正仿宋_GBK"/>
                <w:sz w:val="28"/>
                <w:szCs w:val="28"/>
              </w:rPr>
            </w:pPr>
            <w:r>
              <w:rPr>
                <w:rFonts w:hint="eastAsia" w:hAnsi="宋体" w:eastAsia="方正仿宋_GBK"/>
                <w:b/>
                <w:bCs/>
                <w:sz w:val="28"/>
                <w:szCs w:val="28"/>
              </w:rPr>
              <w:t>智慧公安。</w:t>
            </w:r>
            <w:r>
              <w:rPr>
                <w:rFonts w:hint="eastAsia" w:hAnsi="宋体" w:eastAsia="方正仿宋_GBK"/>
                <w:sz w:val="28"/>
                <w:szCs w:val="28"/>
              </w:rPr>
              <w:t>完善全区自然人信息数据库，提升“警务云”网络、存储、处理和共享交互能力，建设完善新一代公安信息网大数据支撑体系；构建全区统一的执法办案监督管理平台，增强执法监督的及时性、针对性、有效性、全面性；完善可视化侦勘指挥实战平台；完善情报信息综合应用平台功能，强化重点人员管控、重大事件预警防范；加快大数据、物联网、人工智能等新技术在公安派出所的应用，加速公安派出所综合指挥室智能化建设；深化“互联网+”民生警务，扩大公安政务服务网上办理事项范围；建立统一的智慧辅助办案平台，提升智能辅助办案、智能证据审查、智能审核等能力。着力解决移动支付、邮政寄递、电子印章和信息共享等关键问题，健全完善网上业务落地机制，确保</w:t>
            </w:r>
            <w:r>
              <w:rPr>
                <w:rFonts w:hint="eastAsia" w:ascii="Times New Roman" w:hAnsi="Times New Roman" w:eastAsia="方正仿宋_GBK"/>
                <w:sz w:val="28"/>
                <w:szCs w:val="28"/>
              </w:rPr>
              <w:t>2021</w:t>
            </w:r>
            <w:r>
              <w:rPr>
                <w:rFonts w:hint="eastAsia" w:hAnsi="宋体" w:eastAsia="方正仿宋_GBK"/>
                <w:sz w:val="28"/>
                <w:szCs w:val="28"/>
              </w:rPr>
              <w:t>年</w:t>
            </w:r>
            <w:r>
              <w:rPr>
                <w:rFonts w:hint="eastAsia" w:ascii="Times New Roman" w:hAnsi="Times New Roman" w:eastAsia="方正仿宋_GBK"/>
                <w:sz w:val="28"/>
                <w:szCs w:val="28"/>
              </w:rPr>
              <w:t>6</w:t>
            </w:r>
            <w:r>
              <w:rPr>
                <w:rFonts w:hint="eastAsia" w:hAnsi="宋体" w:eastAsia="方正仿宋_GBK"/>
                <w:sz w:val="28"/>
                <w:szCs w:val="28"/>
              </w:rPr>
              <w:t>月底之前所有网上事项全部实现“不见面”“零跑路”办理。同时，推动打通川渝公安政务服务平台，逐步向周边其他省份拓展，实现“一地注册、跨域通用”和“跨省市通办”。</w:t>
            </w:r>
          </w:p>
          <w:p>
            <w:pPr>
              <w:pStyle w:val="8"/>
              <w:spacing w:line="560" w:lineRule="exact"/>
              <w:ind w:firstLine="562" w:firstLineChars="200"/>
              <w:jc w:val="left"/>
              <w:rPr>
                <w:rFonts w:hint="eastAsia" w:hAnsi="宋体" w:eastAsia="方正仿宋_GBK"/>
                <w:sz w:val="28"/>
                <w:szCs w:val="28"/>
              </w:rPr>
            </w:pPr>
            <w:r>
              <w:rPr>
                <w:rFonts w:hint="eastAsia" w:hAnsi="宋体" w:eastAsia="方正仿宋_GBK"/>
                <w:b/>
                <w:bCs/>
                <w:sz w:val="28"/>
                <w:szCs w:val="28"/>
              </w:rPr>
              <w:t>智慧司法行政。</w:t>
            </w:r>
            <w:r>
              <w:rPr>
                <w:rFonts w:hint="eastAsia" w:hAnsi="宋体" w:eastAsia="方正仿宋_GBK"/>
                <w:sz w:val="28"/>
                <w:szCs w:val="28"/>
              </w:rPr>
              <w:t>构建全区司法行政系统“数字法治·智慧司法”信息化体系，建设一体化公共法律服务平台；建设矛盾纠纷多元化解统一平台；加快“人工智能支撑平台”建设，集成人脸识别、语音识别、文字识别、材料识别、智能终端等人工智能技术，基于司法行政业务场景，构建业务+场景+用户的全联动体系，提升司法行政智能化应用水平。借助公众号、小程序、网页等，实现公共法律服务的标准化、智能化、精准化助推公共法律服务均等。</w:t>
            </w:r>
          </w:p>
          <w:p>
            <w:pPr>
              <w:pStyle w:val="8"/>
              <w:spacing w:line="560" w:lineRule="exact"/>
              <w:ind w:firstLine="562" w:firstLineChars="200"/>
              <w:jc w:val="left"/>
              <w:rPr>
                <w:rFonts w:hint="eastAsia" w:hAnsi="宋体" w:eastAsia="方正仿宋_GBK"/>
                <w:sz w:val="28"/>
                <w:szCs w:val="28"/>
              </w:rPr>
            </w:pPr>
            <w:r>
              <w:rPr>
                <w:rFonts w:hint="eastAsia" w:hAnsi="宋体" w:eastAsia="方正仿宋_GBK"/>
                <w:b/>
                <w:bCs/>
                <w:sz w:val="28"/>
                <w:szCs w:val="28"/>
              </w:rPr>
              <w:t>智慧监狱。</w:t>
            </w:r>
            <w:r>
              <w:rPr>
                <w:rFonts w:hint="eastAsia" w:hAnsi="宋体" w:eastAsia="方正仿宋_GBK"/>
                <w:sz w:val="28"/>
                <w:szCs w:val="28"/>
              </w:rPr>
              <w:t>通过运用大数据、物联网、人工智能等现代科技手段，将现代信息技术与监狱各项业务融合，最大限度地整合感测分析监管改造信息资源和社会信息资源，达到对监狱工作的各项需求做出智慧判断响应的标准。构建信息技术与监狱各项业务深度融合，汇聚整合信息资源，为监狱规范执法、安全防控、监管改造、政务警务等工作提供技术支撑和保障。</w:t>
            </w:r>
          </w:p>
          <w:p>
            <w:pPr>
              <w:pStyle w:val="8"/>
              <w:spacing w:line="560" w:lineRule="exact"/>
              <w:ind w:firstLine="562" w:firstLineChars="200"/>
              <w:jc w:val="left"/>
              <w:rPr>
                <w:rFonts w:hint="eastAsia" w:hAnsi="宋体" w:eastAsia="方正仿宋_GBK"/>
                <w:sz w:val="28"/>
                <w:szCs w:val="28"/>
              </w:rPr>
            </w:pPr>
            <w:r>
              <w:rPr>
                <w:rFonts w:hint="eastAsia" w:hAnsi="宋体" w:eastAsia="方正仿宋_GBK"/>
                <w:b/>
                <w:bCs/>
                <w:sz w:val="28"/>
                <w:szCs w:val="28"/>
              </w:rPr>
              <w:t>智慧戒毒。</w:t>
            </w:r>
            <w:r>
              <w:rPr>
                <w:rFonts w:hint="eastAsia" w:hAnsi="宋体" w:eastAsia="方正仿宋_GBK"/>
                <w:sz w:val="28"/>
                <w:szCs w:val="28"/>
              </w:rPr>
              <w:t>构建“智慧戒毒”执法管理平台，实现数据自动采集、自动分析和戒毒执法过程全留痕；建设智慧戒毒安防指挥平台，实现智能动态监测、智能辅助分析、智能协同联动、智能可视化指挥；建设智慧戒治物联平台，集成戒毒医疗、心理咨询、运动康复等各类戒治物联设施，通过物联设施自动感知、自动采集、自动获取等非接触方式汇集整合戒毒人员基本数据，提升戒治设施设备和数据采集分析协同应用的智能化水平。</w:t>
            </w:r>
          </w:p>
          <w:p>
            <w:pPr>
              <w:pStyle w:val="8"/>
              <w:spacing w:line="560" w:lineRule="exact"/>
              <w:ind w:firstLine="562" w:firstLineChars="200"/>
              <w:jc w:val="left"/>
              <w:rPr>
                <w:rFonts w:hint="eastAsia" w:hAnsi="宋体" w:eastAsia="方正仿宋_GBK"/>
                <w:sz w:val="28"/>
                <w:szCs w:val="28"/>
              </w:rPr>
            </w:pPr>
            <w:r>
              <w:rPr>
                <w:rFonts w:hint="eastAsia" w:hAnsi="宋体" w:eastAsia="方正仿宋_GBK"/>
                <w:b/>
                <w:bCs/>
                <w:sz w:val="28"/>
                <w:szCs w:val="28"/>
              </w:rPr>
              <w:t>“智慧社区矫正”建设。</w:t>
            </w:r>
            <w:r>
              <w:rPr>
                <w:rFonts w:hint="eastAsia" w:hAnsi="宋体" w:eastAsia="方正仿宋_GBK"/>
                <w:sz w:val="28"/>
                <w:szCs w:val="28"/>
              </w:rPr>
              <w:t>按照“一切业务数据化，一切数据业务化”原则，动态感知、自动采集社区矫正工作数据，实现数据的汇聚和互通。深度挖掘有关部门特别是法院、检察院、公安等的海量数据，形成社区矫正数据的有机整体，为数据应用提供基础支撑及决策辅助。利用现代信息技术对传统社区矫正工作模式进行再造，构建集自动化数据采集与共享、精准化大数据分析与研判、智能化管理与决策于一体的工作模式，推动社区矫正工作从人工管理到智能化管理，从粗犷管理到精准化管理，从单一管理到集约化管理。依托互联网、物联网、智能感知和识别技术，构建各类移动轻应用，将社区矫正信息化平台功能移植到手机、自助矫正终端，实现随时随地随身的智能应用，有效整合共享社区矫正人力资源和业务信息，提高社区矫正工作效率。完善各级可视化指挥调度管理平台和移动执法终端设备，使社区矫正场所可视、执法情形可视、罪犯轨迹可视，提升全局指挥、精准处置、快速响应的能力。</w:t>
            </w:r>
            <w:r>
              <w:rPr>
                <w:rFonts w:hint="eastAsia" w:ascii="Times New Roman" w:hAnsi="Times New Roman" w:eastAsia="方正仿宋_GBK"/>
                <w:sz w:val="28"/>
                <w:szCs w:val="28"/>
              </w:rPr>
              <w:t>2020</w:t>
            </w:r>
            <w:r>
              <w:rPr>
                <w:rFonts w:hint="eastAsia" w:hAnsi="宋体" w:eastAsia="方正仿宋_GBK"/>
                <w:sz w:val="28"/>
                <w:szCs w:val="28"/>
              </w:rPr>
              <w:t>年，力争实现司法行政机关与公安部门社区矫正信息化对接，实现数据交换、信息共享，实现社区矫正执法监管工作的全方位、立体化。</w:t>
            </w:r>
            <w:r>
              <w:rPr>
                <w:rFonts w:hint="eastAsia" w:ascii="Times New Roman" w:hAnsi="Times New Roman" w:eastAsia="方正仿宋_GBK"/>
                <w:sz w:val="28"/>
                <w:szCs w:val="28"/>
              </w:rPr>
              <w:t>2021</w:t>
            </w:r>
            <w:r>
              <w:rPr>
                <w:rFonts w:hint="eastAsia" w:hAnsi="宋体" w:eastAsia="方正仿宋_GBK"/>
                <w:sz w:val="28"/>
                <w:szCs w:val="28"/>
              </w:rPr>
              <w:t>年，建成集社区矫正大数据分析、日常监管、突发事件应急处置和远程视频督察等于一体的综合信息管理平台，提升社区矫正智能化水平。</w:t>
            </w:r>
          </w:p>
        </w:tc>
      </w:tr>
    </w:tbl>
    <w:p>
      <w:pPr>
        <w:pStyle w:val="5"/>
        <w:keepNext w:val="0"/>
        <w:keepLines w:val="0"/>
        <w:spacing w:before="0" w:after="0" w:line="574" w:lineRule="exact"/>
        <w:ind w:firstLine="642" w:firstLineChars="200"/>
        <w:rPr>
          <w:rFonts w:hint="eastAsia" w:ascii="宋体" w:hAnsi="宋体" w:eastAsia="方正仿宋_GBK"/>
          <w:kern w:val="0"/>
        </w:rPr>
      </w:pPr>
      <w:bookmarkStart w:id="166" w:name="_Toc20764"/>
      <w:bookmarkStart w:id="167" w:name="_Toc26608"/>
      <w:r>
        <w:rPr>
          <w:rFonts w:hint="eastAsia" w:ascii="Times New Roman" w:hAnsi="Times New Roman" w:eastAsia="方正仿宋_GBK"/>
          <w:kern w:val="0"/>
        </w:rPr>
        <w:t>2</w:t>
      </w:r>
      <w:r>
        <w:rPr>
          <w:rFonts w:hint="eastAsia" w:ascii="宋体" w:hAnsi="宋体" w:eastAsia="方正仿宋_GBK"/>
          <w:kern w:val="0"/>
        </w:rPr>
        <w:t>．信息化项目管理</w:t>
      </w:r>
      <w:bookmarkEnd w:id="166"/>
      <w:bookmarkEnd w:id="167"/>
    </w:p>
    <w:p>
      <w:pPr>
        <w:spacing w:line="574" w:lineRule="exact"/>
        <w:ind w:firstLine="640" w:firstLineChars="200"/>
        <w:rPr>
          <w:rFonts w:hint="eastAsia"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依托黔</w:t>
      </w:r>
      <w:r>
        <w:rPr>
          <w:rFonts w:ascii="宋体" w:hAnsi="宋体" w:eastAsia="方正仿宋_GBK" w:cs="方正仿宋_GBK"/>
          <w:snapToGrid w:val="0"/>
          <w:kern w:val="0"/>
          <w:sz w:val="32"/>
          <w:szCs w:val="32"/>
        </w:rPr>
        <w:t>江</w:t>
      </w:r>
      <w:r>
        <w:rPr>
          <w:rFonts w:hint="eastAsia" w:ascii="宋体" w:hAnsi="宋体" w:eastAsia="方正仿宋_GBK" w:cs="方正仿宋_GBK"/>
          <w:snapToGrid w:val="0"/>
          <w:kern w:val="0"/>
          <w:sz w:val="32"/>
          <w:szCs w:val="32"/>
        </w:rPr>
        <w:t>区政务信息资源共享交换平台，综合运用大数据、物联网、人工智能、神经网络等先进信息技术，以信息化项目为核心，以数据共享交换为纽带，构建全区政务信息化系统从申报、评审、立项、实施到运维的投资全过程精细化管理体系。通过对信息化项目的基础设施、软件平台、数据等内容进行量化评审、全景画像、应用监测、智能评估，有效提升信息化资金使用效率，实现信息化项目管理向精细化管理的转变，信息化项目投资全过程监测、预警与分析，促进全区各部门公共信息的共享交换，推动信息化项目的统筹规划、集约化建设。</w:t>
      </w:r>
    </w:p>
    <w:p>
      <w:pPr>
        <w:spacing w:line="574" w:lineRule="exact"/>
        <w:jc w:val="center"/>
        <w:rPr>
          <w:rFonts w:ascii="宋体" w:hAnsi="宋体" w:eastAsia="方正黑体_GBK"/>
          <w:bCs/>
          <w:snapToGrid w:val="0"/>
          <w:kern w:val="0"/>
          <w:sz w:val="32"/>
          <w:szCs w:val="32"/>
        </w:rPr>
      </w:pPr>
      <w:r>
        <w:rPr>
          <w:rFonts w:ascii="宋体" w:hAnsi="宋体" w:eastAsia="方正黑体_GBK"/>
          <w:bCs/>
          <w:snapToGrid w:val="0"/>
          <w:kern w:val="0"/>
          <w:sz w:val="32"/>
          <w:szCs w:val="32"/>
        </w:rPr>
        <w:t>专栏</w:t>
      </w:r>
      <w:r>
        <w:rPr>
          <w:rFonts w:hint="eastAsia" w:ascii="Times New Roman" w:hAnsi="Times New Roman" w:eastAsia="方正黑体_GBK"/>
          <w:bCs/>
          <w:snapToGrid w:val="0"/>
          <w:kern w:val="0"/>
          <w:sz w:val="32"/>
          <w:szCs w:val="32"/>
        </w:rPr>
        <w:t>31</w:t>
      </w:r>
      <w:r>
        <w:rPr>
          <w:rFonts w:ascii="宋体" w:hAnsi="宋体" w:eastAsia="方正黑体_GBK"/>
          <w:bCs/>
          <w:snapToGrid w:val="0"/>
          <w:kern w:val="0"/>
          <w:sz w:val="32"/>
          <w:szCs w:val="32"/>
        </w:rPr>
        <w:t>：信息化项目管理重点工程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adjustRightInd w:val="0"/>
              <w:snapToGrid w:val="0"/>
              <w:spacing w:line="540" w:lineRule="exact"/>
              <w:ind w:firstLine="562" w:firstLineChars="200"/>
              <w:rPr>
                <w:rFonts w:ascii="宋体" w:hAnsi="宋体" w:eastAsia="方正仿宋_GBK"/>
                <w:snapToGrid w:val="0"/>
                <w:kern w:val="0"/>
                <w:sz w:val="28"/>
                <w:szCs w:val="28"/>
              </w:rPr>
            </w:pPr>
            <w:r>
              <w:rPr>
                <w:rFonts w:hint="eastAsia" w:ascii="宋体" w:hAnsi="宋体" w:eastAsia="方正仿宋_GBK"/>
                <w:b/>
                <w:snapToGrid w:val="0"/>
                <w:kern w:val="0"/>
                <w:sz w:val="28"/>
                <w:szCs w:val="28"/>
              </w:rPr>
              <w:t>黔</w:t>
            </w:r>
            <w:r>
              <w:rPr>
                <w:rFonts w:ascii="宋体" w:hAnsi="宋体" w:eastAsia="方正仿宋_GBK"/>
                <w:b/>
                <w:snapToGrid w:val="0"/>
                <w:kern w:val="0"/>
                <w:sz w:val="28"/>
                <w:szCs w:val="28"/>
              </w:rPr>
              <w:t>江区信息化项目管理</w:t>
            </w:r>
            <w:r>
              <w:rPr>
                <w:rFonts w:hint="eastAsia" w:ascii="宋体" w:hAnsi="宋体" w:eastAsia="方正仿宋_GBK"/>
                <w:b/>
                <w:snapToGrid w:val="0"/>
                <w:kern w:val="0"/>
                <w:sz w:val="28"/>
                <w:szCs w:val="28"/>
              </w:rPr>
              <w:t>平台</w:t>
            </w:r>
            <w:r>
              <w:rPr>
                <w:rFonts w:ascii="宋体" w:hAnsi="宋体" w:eastAsia="方正仿宋_GBK"/>
                <w:snapToGrid w:val="0"/>
                <w:kern w:val="0"/>
                <w:sz w:val="28"/>
                <w:szCs w:val="28"/>
              </w:rPr>
              <w:t>。构建支撑项目申报、评审、全过程管理所需的相关申报、项目监管对应的指标库，对项目进行评审、后评估的机构与专家库，支撑智能辅助管理、项目监管所需的模型库，以及全区所有信息化项目库；实现政务信息化项目登记、项目评审与评估管理、政务信息化项目监管；同时建立相关的政务信息化项目管理标准体系。</w:t>
            </w:r>
          </w:p>
        </w:tc>
      </w:tr>
    </w:tbl>
    <w:p>
      <w:pPr>
        <w:pStyle w:val="5"/>
        <w:keepNext w:val="0"/>
        <w:keepLines w:val="0"/>
        <w:spacing w:before="0" w:after="0" w:line="574" w:lineRule="exact"/>
        <w:ind w:firstLine="642" w:firstLineChars="200"/>
        <w:rPr>
          <w:rFonts w:hint="eastAsia" w:ascii="宋体" w:hAnsi="宋体" w:eastAsia="方正仿宋_GBK"/>
          <w:kern w:val="0"/>
        </w:rPr>
      </w:pPr>
      <w:bookmarkStart w:id="168" w:name="_Toc27533"/>
      <w:bookmarkStart w:id="169" w:name="_Toc12483"/>
      <w:r>
        <w:rPr>
          <w:rFonts w:hint="eastAsia" w:ascii="Times New Roman" w:hAnsi="Times New Roman" w:eastAsia="方正仿宋_GBK"/>
          <w:kern w:val="0"/>
        </w:rPr>
        <w:t>3</w:t>
      </w:r>
      <w:r>
        <w:rPr>
          <w:rFonts w:hint="eastAsia" w:ascii="宋体" w:hAnsi="宋体" w:eastAsia="方正仿宋_GBK"/>
          <w:kern w:val="0"/>
        </w:rPr>
        <w:t>．互联网+监管</w:t>
      </w:r>
      <w:bookmarkEnd w:id="168"/>
      <w:bookmarkEnd w:id="169"/>
    </w:p>
    <w:p>
      <w:pPr>
        <w:spacing w:line="574" w:lineRule="exact"/>
        <w:ind w:firstLine="640" w:firstLineChars="200"/>
        <w:rPr>
          <w:rFonts w:hint="eastAsia"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按照全市“互联网+监管”系统接入要求，充分运用互联网、大数据、区块链等信息技术手段，联通区级有关部门监管业务系统，汇聚重点领域、重点行业和重点企业监管数据，同时接入社会投诉举报数据、互联网及第三方相关数据，构建黔江区“互联网+监管”系统。开展重点领域监管应用创新，重点推进涉及市场主体、食品药品、卫生健康、生态环境、安全生产、交通运输、文化旅游等重点领域监管数据接入和监管业务模型构建，构建重点领域的预警防控、态势分析、事件跟踪、舆情监控等机制，及早发现防范苗头性和跨行业跨区域风险，提升监管水平，逐步推动实现精准监管和“智慧监管”。强化大数据分析利用，逐步实现监管数据可共享、可分析和风险可预警，提升事中事后监管规范化、精准化、智能化水平，为加强和创新“双随机、一公开”监管、重点监管、信用监管和综合监管、协同监管、“智慧监管”提供强有力的平台支撑。</w:t>
      </w:r>
    </w:p>
    <w:p>
      <w:pPr>
        <w:spacing w:line="574" w:lineRule="exact"/>
        <w:jc w:val="center"/>
        <w:rPr>
          <w:rFonts w:hint="eastAsia" w:ascii="宋体" w:hAnsi="宋体" w:eastAsia="方正黑体_GBK"/>
          <w:kern w:val="0"/>
          <w:sz w:val="32"/>
          <w:szCs w:val="32"/>
        </w:rPr>
      </w:pPr>
      <w:r>
        <w:rPr>
          <w:rFonts w:ascii="宋体" w:hAnsi="宋体" w:eastAsia="方正黑体_GBK" w:cs="宋体"/>
          <w:kern w:val="0"/>
          <w:sz w:val="32"/>
          <w:szCs w:val="32"/>
        </w:rPr>
        <w:t>专栏</w:t>
      </w:r>
      <w:r>
        <w:rPr>
          <w:rFonts w:hint="eastAsia" w:ascii="Times New Roman" w:hAnsi="Times New Roman" w:eastAsia="方正黑体_GBK" w:cs="宋体"/>
          <w:kern w:val="0"/>
          <w:sz w:val="32"/>
          <w:szCs w:val="32"/>
        </w:rPr>
        <w:t>32</w:t>
      </w:r>
      <w:r>
        <w:rPr>
          <w:rFonts w:ascii="宋体" w:hAnsi="宋体" w:eastAsia="方正黑体_GBK" w:cs="宋体"/>
          <w:kern w:val="0"/>
          <w:sz w:val="32"/>
          <w:szCs w:val="32"/>
        </w:rPr>
        <w:t>：“互联网+监管”重点工程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adjustRightInd w:val="0"/>
              <w:snapToGrid w:val="0"/>
              <w:spacing w:line="540" w:lineRule="exact"/>
              <w:ind w:firstLine="562" w:firstLineChars="200"/>
              <w:rPr>
                <w:rFonts w:hint="eastAsia" w:ascii="宋体" w:hAnsi="宋体" w:eastAsia="方正仿宋_GBK" w:cs="宋体"/>
                <w:kern w:val="0"/>
                <w:sz w:val="28"/>
                <w:szCs w:val="28"/>
              </w:rPr>
            </w:pPr>
            <w:r>
              <w:rPr>
                <w:rFonts w:hint="eastAsia" w:ascii="宋体" w:hAnsi="宋体" w:eastAsia="方正仿宋_GBK"/>
                <w:b/>
                <w:sz w:val="28"/>
                <w:szCs w:val="28"/>
              </w:rPr>
              <w:t>黔江区“互联网+监管”平台。</w:t>
            </w:r>
            <w:r>
              <w:rPr>
                <w:rFonts w:hint="eastAsia" w:ascii="宋体" w:hAnsi="宋体" w:eastAsia="方正仿宋_GBK"/>
                <w:sz w:val="28"/>
                <w:szCs w:val="28"/>
              </w:rPr>
              <w:t>全面梳理区级有关部门已有监管业务信息资源和应用系统，充分依托全区一体化政务服务平台和政务数据资源共享系统，建立全区统一的“互联网+监管”系统。系统主要包括通用业务、综合分析、风险预警和监管评估等子系统，不替代区级有关部门监管业务系统和监管职责，主要辅助领导同志大数据决策支撑服务，对区级有关部门协同监管、重点监管提供数据可视化展示，实现对“监管”的监管。</w:t>
            </w:r>
          </w:p>
        </w:tc>
      </w:tr>
    </w:tbl>
    <w:p>
      <w:pPr>
        <w:pStyle w:val="5"/>
        <w:keepNext w:val="0"/>
        <w:keepLines w:val="0"/>
        <w:spacing w:before="0" w:after="0" w:line="574" w:lineRule="exact"/>
        <w:ind w:firstLine="642" w:firstLineChars="200"/>
        <w:rPr>
          <w:rFonts w:hint="eastAsia" w:ascii="宋体" w:hAnsi="宋体" w:eastAsia="方正仿宋_GBK"/>
          <w:kern w:val="0"/>
        </w:rPr>
      </w:pPr>
      <w:bookmarkStart w:id="170" w:name="_Toc5006"/>
      <w:bookmarkStart w:id="171" w:name="_Toc28117"/>
      <w:r>
        <w:rPr>
          <w:rFonts w:hint="eastAsia" w:ascii="Times New Roman" w:hAnsi="Times New Roman" w:eastAsia="方正仿宋_GBK"/>
          <w:kern w:val="0"/>
        </w:rPr>
        <w:t>4</w:t>
      </w:r>
      <w:r>
        <w:rPr>
          <w:rFonts w:hint="eastAsia" w:ascii="宋体" w:hAnsi="宋体" w:eastAsia="方正仿宋_GBK"/>
          <w:kern w:val="0"/>
        </w:rPr>
        <w:t>．智慧市场监管。</w:t>
      </w:r>
      <w:bookmarkEnd w:id="170"/>
      <w:bookmarkEnd w:id="171"/>
      <w:r>
        <w:rPr>
          <w:rFonts w:hint="eastAsia" w:ascii="宋体" w:hAnsi="宋体" w:eastAsia="方正仿宋_GBK"/>
          <w:kern w:val="0"/>
        </w:rPr>
        <w:t xml:space="preserve"> </w:t>
      </w:r>
    </w:p>
    <w:p>
      <w:pPr>
        <w:spacing w:line="574" w:lineRule="exact"/>
        <w:ind w:firstLine="640" w:firstLineChars="200"/>
        <w:rPr>
          <w:rFonts w:hint="eastAsia" w:ascii="宋体" w:hAnsi="宋体" w:eastAsia="方正仿宋_GBK" w:cs="微软雅黑"/>
          <w:kern w:val="0"/>
          <w:sz w:val="32"/>
          <w:szCs w:val="32"/>
        </w:rPr>
      </w:pPr>
      <w:r>
        <w:rPr>
          <w:rFonts w:hint="eastAsia" w:ascii="宋体" w:hAnsi="宋体" w:eastAsia="方正仿宋_GBK" w:cs="微软雅黑"/>
          <w:kern w:val="0"/>
          <w:sz w:val="32"/>
          <w:szCs w:val="32"/>
        </w:rPr>
        <w:t>利用大数据、云计算、物联网、区块链等先进成熟的移动互联网新技术，全面整合黔江区市场监管局各个独立应用系统，建立涉及市场综合监督管理、市场主体统一登记注册、组织和指导市场监管综合执法工作、监督管理市场秩序、宏观质量管理以及产品质量安全监督管理等市场综合管理工作的综合管理主题数据库。统计市场监控业务数据，实现监管对象信息精准推送、执法工作可溯留痕和执法过程全程监控，达到及时发现各类风险隐患，增强安全处置和应急联动效率，提升市场监管现代化水平，逐步推动实现“智慧市场监管”。</w:t>
      </w:r>
    </w:p>
    <w:p>
      <w:pPr>
        <w:spacing w:line="574" w:lineRule="exact"/>
        <w:jc w:val="center"/>
        <w:rPr>
          <w:rFonts w:ascii="宋体" w:hAnsi="宋体" w:eastAsia="方正黑体_GBK" w:cs="宋体"/>
          <w:kern w:val="0"/>
          <w:sz w:val="32"/>
          <w:szCs w:val="32"/>
        </w:rPr>
      </w:pPr>
      <w:r>
        <w:rPr>
          <w:rFonts w:ascii="宋体" w:hAnsi="宋体" w:eastAsia="方正黑体_GBK" w:cs="宋体"/>
          <w:kern w:val="0"/>
          <w:sz w:val="32"/>
          <w:szCs w:val="32"/>
        </w:rPr>
        <w:t>专栏</w:t>
      </w:r>
      <w:r>
        <w:rPr>
          <w:rFonts w:hint="eastAsia" w:ascii="Times New Roman" w:hAnsi="Times New Roman" w:eastAsia="方正黑体_GBK" w:cs="宋体"/>
          <w:kern w:val="0"/>
          <w:sz w:val="32"/>
          <w:szCs w:val="32"/>
        </w:rPr>
        <w:t>33</w:t>
      </w:r>
      <w:r>
        <w:rPr>
          <w:rFonts w:ascii="宋体" w:hAnsi="宋体" w:eastAsia="方正黑体_GBK" w:cs="宋体"/>
          <w:kern w:val="0"/>
          <w:sz w:val="32"/>
          <w:szCs w:val="32"/>
        </w:rPr>
        <w:t>：智慧市场监管重点工程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center"/>
          </w:tcPr>
          <w:p>
            <w:pPr>
              <w:spacing w:line="540" w:lineRule="exact"/>
              <w:ind w:firstLine="562" w:firstLineChars="200"/>
              <w:rPr>
                <w:rFonts w:hint="eastAsia" w:ascii="宋体" w:hAnsi="宋体" w:eastAsia="PMingLiU"/>
                <w:snapToGrid w:val="0"/>
                <w:sz w:val="28"/>
                <w:szCs w:val="28"/>
              </w:rPr>
            </w:pPr>
            <w:r>
              <w:rPr>
                <w:rFonts w:hint="eastAsia" w:ascii="宋体" w:hAnsi="宋体" w:eastAsia="方正仿宋_GBK"/>
                <w:b/>
                <w:sz w:val="28"/>
                <w:szCs w:val="28"/>
              </w:rPr>
              <w:t>黔江</w:t>
            </w:r>
            <w:r>
              <w:rPr>
                <w:rFonts w:ascii="宋体" w:hAnsi="宋体" w:eastAsia="方正仿宋_GBK"/>
                <w:b/>
                <w:sz w:val="28"/>
                <w:szCs w:val="28"/>
              </w:rPr>
              <w:t>区市场监管主题数据库。</w:t>
            </w:r>
            <w:r>
              <w:rPr>
                <w:rFonts w:hint="eastAsia" w:ascii="宋体" w:hAnsi="宋体" w:eastAsia="方正仿宋_GBK"/>
                <w:sz w:val="28"/>
                <w:szCs w:val="28"/>
              </w:rPr>
              <w:t>在市级平台的基础上，整合黔江区市场监管局内工商、质监、食药监等市场监管相关部门数据，形成市场监管大数据主题库，打通生产、流通、消费三个环节，链接市场主体、市场客体、市场行为三个对象，推进事前、事中、事后一体化监管。通过收集市场监管综合数据，建设包含黔江区市场主体登记注册、商户信用管理、空间可视、执法管理、市场预警防控、事件跟踪、舆情控制和应急指挥等业务模块的主题数据库，实现分级分类管控、智能风险预判、经营违规行为提醒以及商户信用管理等目的。</w:t>
            </w:r>
          </w:p>
        </w:tc>
      </w:tr>
    </w:tbl>
    <w:p>
      <w:pPr>
        <w:pStyle w:val="3"/>
        <w:keepNext w:val="0"/>
        <w:keepLines w:val="0"/>
        <w:spacing w:before="0" w:after="0" w:line="574" w:lineRule="exact"/>
        <w:ind w:firstLine="640" w:firstLineChars="200"/>
        <w:rPr>
          <w:rFonts w:hint="eastAsia" w:ascii="宋体" w:hAnsi="宋体" w:eastAsia="方正黑体_GBK"/>
          <w:b w:val="0"/>
          <w:sz w:val="32"/>
          <w:szCs w:val="32"/>
        </w:rPr>
      </w:pPr>
      <w:bookmarkStart w:id="172" w:name="_Toc9263135"/>
      <w:bookmarkStart w:id="173" w:name="_Toc4613"/>
      <w:bookmarkStart w:id="174" w:name="_Toc22335"/>
      <w:bookmarkStart w:id="175" w:name="_Toc15337"/>
      <w:bookmarkStart w:id="176" w:name="_Toc13987"/>
      <w:bookmarkStart w:id="177" w:name="_Toc18135"/>
      <w:bookmarkStart w:id="178" w:name="_Toc14443"/>
      <w:bookmarkStart w:id="179" w:name="_Toc26676"/>
      <w:bookmarkStart w:id="180" w:name="_Toc25209"/>
      <w:bookmarkStart w:id="181" w:name="_Toc27668"/>
      <w:bookmarkStart w:id="182" w:name="_Toc11741"/>
      <w:r>
        <w:rPr>
          <w:rFonts w:hint="eastAsia" w:ascii="宋体" w:hAnsi="宋体" w:eastAsia="方正黑体_GBK"/>
          <w:b w:val="0"/>
          <w:sz w:val="32"/>
          <w:szCs w:val="32"/>
        </w:rPr>
        <w:t>五、保障措施</w:t>
      </w:r>
      <w:bookmarkEnd w:id="172"/>
      <w:bookmarkEnd w:id="173"/>
      <w:bookmarkEnd w:id="174"/>
      <w:bookmarkEnd w:id="175"/>
      <w:bookmarkEnd w:id="176"/>
      <w:bookmarkEnd w:id="177"/>
      <w:bookmarkEnd w:id="178"/>
      <w:bookmarkEnd w:id="179"/>
      <w:bookmarkEnd w:id="180"/>
      <w:bookmarkEnd w:id="181"/>
      <w:bookmarkEnd w:id="182"/>
    </w:p>
    <w:p>
      <w:pPr>
        <w:pStyle w:val="4"/>
        <w:keepNext w:val="0"/>
        <w:keepLines w:val="0"/>
        <w:spacing w:before="0" w:after="0" w:line="574" w:lineRule="exact"/>
        <w:ind w:firstLine="640" w:firstLineChars="200"/>
        <w:rPr>
          <w:rFonts w:ascii="宋体" w:hAnsi="宋体" w:eastAsia="方正楷体_GBK"/>
          <w:b w:val="0"/>
        </w:rPr>
      </w:pPr>
      <w:bookmarkStart w:id="183" w:name="_Toc24735"/>
      <w:bookmarkStart w:id="184" w:name="_Toc5972"/>
      <w:bookmarkStart w:id="185" w:name="_Toc5301"/>
      <w:bookmarkStart w:id="186" w:name="_Toc15382"/>
      <w:bookmarkStart w:id="187" w:name="_Toc12242"/>
      <w:bookmarkStart w:id="188" w:name="_Toc23313"/>
      <w:bookmarkStart w:id="189" w:name="_Toc5948"/>
      <w:bookmarkStart w:id="190" w:name="_Toc7154"/>
      <w:bookmarkStart w:id="191" w:name="_Toc24488"/>
      <w:bookmarkStart w:id="192" w:name="_Toc27898"/>
      <w:bookmarkStart w:id="193" w:name="_Toc9263136"/>
      <w:bookmarkStart w:id="194" w:name="_Toc2386"/>
      <w:r>
        <w:rPr>
          <w:rFonts w:ascii="宋体" w:hAnsi="宋体" w:eastAsia="方正楷体_GBK"/>
          <w:b w:val="0"/>
        </w:rPr>
        <w:t>（一）加强组织领导</w:t>
      </w:r>
      <w:bookmarkEnd w:id="183"/>
      <w:bookmarkEnd w:id="184"/>
      <w:bookmarkEnd w:id="185"/>
      <w:bookmarkEnd w:id="186"/>
      <w:bookmarkEnd w:id="187"/>
      <w:bookmarkEnd w:id="188"/>
      <w:bookmarkEnd w:id="189"/>
      <w:bookmarkEnd w:id="190"/>
      <w:bookmarkEnd w:id="191"/>
      <w:bookmarkEnd w:id="192"/>
      <w:bookmarkEnd w:id="193"/>
      <w:bookmarkEnd w:id="194"/>
    </w:p>
    <w:p>
      <w:pPr>
        <w:spacing w:line="574" w:lineRule="exact"/>
        <w:ind w:firstLine="640" w:firstLineChars="200"/>
        <w:rPr>
          <w:rFonts w:hint="eastAsia"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成立由区政府主要领导任主任的新型智慧城市建设工作委员会，负责研究部署、统筹协调全区新型智慧城市建设工作。</w:t>
      </w:r>
      <w:r>
        <w:rPr>
          <w:rFonts w:hint="eastAsia" w:ascii="宋体" w:hAnsi="宋体" w:eastAsia="方正仿宋_GBK" w:cs="方正仿宋_GBK"/>
          <w:snapToGrid w:val="0"/>
          <w:spacing w:val="4"/>
          <w:kern w:val="0"/>
          <w:sz w:val="32"/>
          <w:szCs w:val="32"/>
        </w:rPr>
        <w:t>通过实行联席会议制度，强化对全区新型智慧城市建设工作的统一规划、统一部署、标杆引领、安全防护，分级分类推进新型智慧城市建设；强化对多部门联合承担新型智慧城市建设项目的协同推进、数据融合，着力解决跨系统、跨部门、跨业务的重大问题；鼓励探索创新和试点先行，总结推广经验，积极稳妥扎实有序推进全区新型智慧城市建设。</w:t>
      </w:r>
    </w:p>
    <w:p>
      <w:pPr>
        <w:pStyle w:val="4"/>
        <w:keepNext w:val="0"/>
        <w:keepLines w:val="0"/>
        <w:spacing w:before="0" w:after="0" w:line="574" w:lineRule="exact"/>
        <w:ind w:firstLine="640" w:firstLineChars="200"/>
        <w:rPr>
          <w:rFonts w:ascii="宋体" w:hAnsi="宋体" w:eastAsia="方正楷体_GBK"/>
          <w:b w:val="0"/>
        </w:rPr>
      </w:pPr>
      <w:bookmarkStart w:id="195" w:name="_Toc10335"/>
      <w:bookmarkStart w:id="196" w:name="_Toc20944"/>
      <w:bookmarkStart w:id="197" w:name="_Toc30129"/>
      <w:bookmarkStart w:id="198" w:name="_Toc11173"/>
      <w:bookmarkStart w:id="199" w:name="_Toc24271"/>
      <w:bookmarkStart w:id="200" w:name="_Toc9263137"/>
      <w:bookmarkStart w:id="201" w:name="_Toc27033"/>
      <w:bookmarkStart w:id="202" w:name="_Toc32309"/>
      <w:bookmarkStart w:id="203" w:name="_Toc7814"/>
      <w:bookmarkStart w:id="204" w:name="_Toc26268"/>
      <w:bookmarkStart w:id="205" w:name="_Toc4365"/>
      <w:r>
        <w:rPr>
          <w:rFonts w:ascii="宋体" w:hAnsi="宋体" w:eastAsia="方正楷体_GBK"/>
          <w:b w:val="0"/>
        </w:rPr>
        <w:t>（二）</w:t>
      </w:r>
      <w:bookmarkEnd w:id="195"/>
      <w:bookmarkEnd w:id="196"/>
      <w:bookmarkEnd w:id="197"/>
      <w:bookmarkEnd w:id="198"/>
      <w:bookmarkEnd w:id="199"/>
      <w:bookmarkEnd w:id="200"/>
      <w:r>
        <w:rPr>
          <w:rFonts w:ascii="宋体" w:hAnsi="宋体" w:eastAsia="方正楷体_GBK"/>
          <w:b w:val="0"/>
        </w:rPr>
        <w:t>建立责任体系</w:t>
      </w:r>
      <w:bookmarkEnd w:id="201"/>
      <w:bookmarkEnd w:id="202"/>
      <w:bookmarkEnd w:id="203"/>
      <w:bookmarkEnd w:id="204"/>
      <w:bookmarkEnd w:id="205"/>
    </w:p>
    <w:p>
      <w:pPr>
        <w:spacing w:line="574" w:lineRule="exact"/>
        <w:ind w:firstLine="640" w:firstLineChars="200"/>
        <w:rPr>
          <w:rFonts w:hint="eastAsia" w:ascii="宋体" w:hAnsi="宋体" w:eastAsia="方正仿宋_GBK" w:cs="方正仿宋_GBK"/>
          <w:snapToGrid w:val="0"/>
          <w:kern w:val="0"/>
          <w:sz w:val="32"/>
          <w:szCs w:val="32"/>
        </w:rPr>
      </w:pPr>
      <w:r>
        <w:rPr>
          <w:rFonts w:hint="eastAsia" w:ascii="宋体" w:hAnsi="宋体" w:eastAsia="方正仿宋_GBK"/>
          <w:sz w:val="32"/>
          <w:szCs w:val="32"/>
        </w:rPr>
        <w:t>绩效评估导向，根据具体实际情况，</w:t>
      </w:r>
      <w:r>
        <w:rPr>
          <w:rFonts w:ascii="宋体" w:hAnsi="宋体" w:eastAsia="方正仿宋_GBK"/>
          <w:sz w:val="32"/>
          <w:szCs w:val="32"/>
        </w:rPr>
        <w:t>参照《新型智慧城市评价指标（</w:t>
      </w:r>
      <w:r>
        <w:rPr>
          <w:rFonts w:ascii="Times New Roman" w:hAnsi="Times New Roman" w:eastAsia="方正仿宋_GBK"/>
          <w:sz w:val="32"/>
          <w:szCs w:val="32"/>
        </w:rPr>
        <w:t>2018</w:t>
      </w:r>
      <w:r>
        <w:rPr>
          <w:rFonts w:ascii="宋体" w:hAnsi="宋体" w:eastAsia="方正仿宋_GBK"/>
          <w:sz w:val="32"/>
          <w:szCs w:val="32"/>
        </w:rPr>
        <w:t>年）》（发改办高技〔</w:t>
      </w:r>
      <w:r>
        <w:rPr>
          <w:rFonts w:ascii="Times New Roman" w:hAnsi="Times New Roman" w:eastAsia="方正仿宋_GBK"/>
          <w:sz w:val="32"/>
          <w:szCs w:val="32"/>
        </w:rPr>
        <w:t>2018</w:t>
      </w:r>
      <w:r>
        <w:rPr>
          <w:rFonts w:ascii="宋体" w:hAnsi="宋体" w:eastAsia="方正仿宋_GBK"/>
          <w:sz w:val="32"/>
          <w:szCs w:val="32"/>
        </w:rPr>
        <w:t>〕</w:t>
      </w:r>
      <w:r>
        <w:rPr>
          <w:rFonts w:ascii="Times New Roman" w:hAnsi="Times New Roman" w:eastAsia="方正仿宋_GBK"/>
          <w:sz w:val="32"/>
          <w:szCs w:val="32"/>
        </w:rPr>
        <w:t>1688</w:t>
      </w:r>
      <w:r>
        <w:rPr>
          <w:rFonts w:ascii="宋体" w:hAnsi="宋体" w:eastAsia="方正仿宋_GBK"/>
          <w:sz w:val="32"/>
          <w:szCs w:val="32"/>
        </w:rPr>
        <w:t>号）和《重庆市新型智慧城市建设方案（</w:t>
      </w:r>
      <w:r>
        <w:rPr>
          <w:rFonts w:ascii="Times New Roman" w:hAnsi="Times New Roman" w:eastAsia="方正仿宋_GBK"/>
          <w:sz w:val="32"/>
          <w:szCs w:val="32"/>
        </w:rPr>
        <w:t>2019</w:t>
      </w:r>
      <w:r>
        <w:rPr>
          <w:rFonts w:ascii="宋体" w:hAnsi="宋体" w:eastAsia="方正仿宋_GBK"/>
          <w:sz w:val="32"/>
          <w:szCs w:val="32"/>
        </w:rPr>
        <w:t>—</w:t>
      </w:r>
      <w:r>
        <w:rPr>
          <w:rFonts w:ascii="Times New Roman" w:hAnsi="Times New Roman" w:eastAsia="方正仿宋_GBK"/>
          <w:sz w:val="32"/>
          <w:szCs w:val="32"/>
        </w:rPr>
        <w:t>2022</w:t>
      </w:r>
      <w:r>
        <w:rPr>
          <w:rFonts w:ascii="宋体" w:hAnsi="宋体" w:eastAsia="方正仿宋_GBK"/>
          <w:sz w:val="32"/>
          <w:szCs w:val="32"/>
        </w:rPr>
        <w:t>年）》（渝府办发〔</w:t>
      </w:r>
      <w:r>
        <w:rPr>
          <w:rFonts w:ascii="Times New Roman" w:hAnsi="Times New Roman" w:eastAsia="方正仿宋_GBK"/>
          <w:sz w:val="32"/>
          <w:szCs w:val="32"/>
        </w:rPr>
        <w:t>2019</w:t>
      </w:r>
      <w:r>
        <w:rPr>
          <w:rFonts w:ascii="宋体" w:hAnsi="宋体" w:eastAsia="方正仿宋_GBK"/>
          <w:sz w:val="32"/>
          <w:szCs w:val="32"/>
        </w:rPr>
        <w:t>〕</w:t>
      </w:r>
      <w:r>
        <w:rPr>
          <w:rFonts w:ascii="Times New Roman" w:hAnsi="Times New Roman" w:eastAsia="方正仿宋_GBK"/>
          <w:sz w:val="32"/>
          <w:szCs w:val="32"/>
        </w:rPr>
        <w:t>66</w:t>
      </w:r>
      <w:r>
        <w:rPr>
          <w:rFonts w:ascii="宋体" w:hAnsi="宋体" w:eastAsia="方正仿宋_GBK"/>
          <w:sz w:val="32"/>
          <w:szCs w:val="32"/>
        </w:rPr>
        <w:t>号）</w:t>
      </w:r>
      <w:r>
        <w:rPr>
          <w:rFonts w:hint="eastAsia" w:ascii="宋体" w:hAnsi="宋体" w:eastAsia="方正仿宋_GBK"/>
          <w:sz w:val="32"/>
          <w:szCs w:val="32"/>
        </w:rPr>
        <w:t>，构建智慧黔江关键指标体系，加大智慧城市建设考核力度，检查和督促智慧城市建设规划、方案和年度计划的落实情况，法规、标准的执行情况，把智慧城市建设任务落实情况纳入部门和领导班子考核；结合短期、中期目标，根据不同智慧城市发展阶段，分阶段对智慧城市建设推进绩效情况进行评估，定期发布评估信息和白皮书，为智慧城市建设决策提供科学依据。落实主体责任，新型智慧城市建设各政府部门要明确责任主体，细化任务分工，密切协调配合，加强协同、形成合力，将新型智慧城市建设工作摆到重要议事日程，按照“项目化、清单化”和“定人、定责、定目标、定时间、定任务、定标准”要求，明确新型智慧城市推进计划、项目安排以及预期成效。</w:t>
      </w:r>
    </w:p>
    <w:p>
      <w:pPr>
        <w:pStyle w:val="4"/>
        <w:keepNext w:val="0"/>
        <w:keepLines w:val="0"/>
        <w:spacing w:before="0" w:after="0" w:line="574" w:lineRule="exact"/>
        <w:ind w:firstLine="640" w:firstLineChars="200"/>
        <w:rPr>
          <w:rFonts w:ascii="宋体" w:hAnsi="宋体" w:eastAsia="方正楷体_GBK"/>
          <w:b w:val="0"/>
        </w:rPr>
      </w:pPr>
      <w:bookmarkStart w:id="206" w:name="_Toc26373"/>
      <w:bookmarkStart w:id="207" w:name="_Toc24447"/>
      <w:bookmarkStart w:id="208" w:name="_Toc10393"/>
      <w:bookmarkStart w:id="209" w:name="_Toc18689"/>
      <w:bookmarkStart w:id="210" w:name="_Toc8568"/>
      <w:bookmarkStart w:id="211" w:name="_Toc28657"/>
      <w:bookmarkStart w:id="212" w:name="_Toc29999"/>
      <w:bookmarkStart w:id="213" w:name="_Toc28381"/>
      <w:bookmarkStart w:id="214" w:name="_Toc9263138"/>
      <w:bookmarkStart w:id="215" w:name="_Toc8449"/>
      <w:bookmarkStart w:id="216" w:name="_Toc20339"/>
      <w:r>
        <w:rPr>
          <w:rFonts w:ascii="宋体" w:hAnsi="宋体" w:eastAsia="方正楷体_GBK"/>
          <w:b w:val="0"/>
        </w:rPr>
        <w:t>（三）推进重点突破</w:t>
      </w:r>
      <w:bookmarkEnd w:id="206"/>
      <w:bookmarkEnd w:id="207"/>
      <w:bookmarkEnd w:id="208"/>
      <w:bookmarkEnd w:id="209"/>
      <w:bookmarkEnd w:id="210"/>
    </w:p>
    <w:p>
      <w:pPr>
        <w:spacing w:line="574" w:lineRule="exact"/>
        <w:ind w:firstLine="640" w:firstLineChars="200"/>
        <w:rPr>
          <w:rFonts w:hint="eastAsia"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加强项目统筹力度，各类政府投资信息化项目须与全区新型智慧城市建设方案衔接。智慧城市建设要全面推进，重点突破，务求实效。鼓励和积极推动跨部门数据融合和业务协同。突出重大战略落地项目，深入实施以大数据智能化为引领的创新驱动发展战略行动计划。突出问题导向项目，聚焦城市提升和乡村振兴两个基本面，优先推进智慧城管、智慧交通、智慧农业和智慧文旅等领域项目，突出特色品牌项目，打造全市智能化典型示范应用，优先推进智慧医疗、智慧教育、智慧文旅等特色亮点类项目。突出智能中枢项目，构建智慧城市建设智能插座、神经中枢和赋能平台，优先推进黔江区“数智中枢“”项目等基础性、枢纽性、集约性项目。突出支撑体系项目，为新型智慧城市高效有序的建设运行提供坚实支撑，优先推进</w:t>
      </w:r>
      <w:r>
        <w:rPr>
          <w:rFonts w:hint="eastAsia" w:ascii="Times New Roman" w:hAnsi="Times New Roman" w:eastAsia="方正仿宋_GBK" w:cs="方正仿宋_GBK"/>
          <w:snapToGrid w:val="0"/>
          <w:kern w:val="0"/>
          <w:sz w:val="32"/>
          <w:szCs w:val="32"/>
        </w:rPr>
        <w:t>5</w:t>
      </w:r>
      <w:r>
        <w:rPr>
          <w:rFonts w:hint="eastAsia" w:ascii="宋体" w:hAnsi="宋体" w:eastAsia="方正仿宋_GBK" w:cs="方正仿宋_GBK"/>
          <w:snapToGrid w:val="0"/>
          <w:kern w:val="0"/>
          <w:sz w:val="32"/>
          <w:szCs w:val="32"/>
        </w:rPr>
        <w:t>G网络规模商用、网络安全技术防护等领域项目。</w:t>
      </w:r>
    </w:p>
    <w:p>
      <w:pPr>
        <w:pStyle w:val="4"/>
        <w:keepNext w:val="0"/>
        <w:keepLines w:val="0"/>
        <w:numPr>
          <w:ilvl w:val="0"/>
          <w:numId w:val="3"/>
        </w:numPr>
        <w:spacing w:before="0" w:after="0" w:line="574" w:lineRule="exact"/>
        <w:ind w:firstLine="640" w:firstLineChars="200"/>
        <w:rPr>
          <w:rFonts w:hint="eastAsia" w:ascii="宋体" w:hAnsi="宋体" w:eastAsia="方正楷体_GBK"/>
          <w:b w:val="0"/>
          <w:bCs w:val="0"/>
        </w:rPr>
      </w:pPr>
      <w:bookmarkStart w:id="217" w:name="_Toc10948"/>
      <w:r>
        <w:rPr>
          <w:rFonts w:hint="eastAsia" w:ascii="宋体" w:hAnsi="宋体" w:eastAsia="方正楷体_GBK"/>
          <w:b w:val="0"/>
          <w:bCs w:val="0"/>
        </w:rPr>
        <w:t>强化区域引领</w:t>
      </w:r>
      <w:bookmarkEnd w:id="217"/>
    </w:p>
    <w:p>
      <w:pPr>
        <w:spacing w:line="574" w:lineRule="exact"/>
        <w:ind w:firstLine="640" w:firstLineChars="200"/>
        <w:rPr>
          <w:rFonts w:hint="eastAsia"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大力发展数字产业，促进数字经济和实体经济深度融合。重点推进黔江区数据湖科技园、重庆数据中心渝东南存储分中心、重庆水土数据中心异地灾备中心等重大信息基础设施项目落地，力争将黔江区打造成独具特色的中国西部数字经济产业发展高地，充分发挥渝东南中心城市区位优势，带动渝东南乃至武陵山地区数字经济发展，助力成渝双城经济圈建设。</w:t>
      </w:r>
    </w:p>
    <w:p>
      <w:pPr>
        <w:pStyle w:val="4"/>
        <w:keepNext w:val="0"/>
        <w:keepLines w:val="0"/>
        <w:spacing w:before="0" w:after="0" w:line="574" w:lineRule="exact"/>
        <w:ind w:firstLine="640" w:firstLineChars="200"/>
        <w:rPr>
          <w:rFonts w:hint="eastAsia" w:ascii="宋体" w:hAnsi="宋体" w:eastAsia="方正楷体_GBK"/>
          <w:b w:val="0"/>
        </w:rPr>
      </w:pPr>
      <w:bookmarkStart w:id="218" w:name="_Toc15782"/>
      <w:bookmarkStart w:id="219" w:name="_Toc31527"/>
      <w:bookmarkStart w:id="220" w:name="_Toc2762"/>
      <w:bookmarkStart w:id="221" w:name="_Toc19059"/>
      <w:bookmarkStart w:id="222" w:name="_Toc24542"/>
      <w:r>
        <w:rPr>
          <w:rFonts w:ascii="宋体" w:hAnsi="宋体" w:eastAsia="方正楷体_GBK"/>
          <w:b w:val="0"/>
        </w:rPr>
        <w:t>（</w:t>
      </w:r>
      <w:r>
        <w:rPr>
          <w:rFonts w:hint="eastAsia" w:ascii="宋体" w:hAnsi="宋体" w:eastAsia="方正楷体_GBK"/>
          <w:b w:val="0"/>
        </w:rPr>
        <w:t>五</w:t>
      </w:r>
      <w:r>
        <w:rPr>
          <w:rFonts w:ascii="宋体" w:hAnsi="宋体" w:eastAsia="方正楷体_GBK"/>
          <w:b w:val="0"/>
        </w:rPr>
        <w:t>）创新建设运营</w:t>
      </w:r>
      <w:bookmarkEnd w:id="211"/>
      <w:bookmarkEnd w:id="212"/>
      <w:bookmarkEnd w:id="213"/>
      <w:bookmarkEnd w:id="214"/>
      <w:bookmarkEnd w:id="215"/>
      <w:bookmarkEnd w:id="216"/>
      <w:bookmarkEnd w:id="218"/>
      <w:bookmarkEnd w:id="219"/>
      <w:bookmarkEnd w:id="220"/>
      <w:bookmarkEnd w:id="221"/>
      <w:bookmarkEnd w:id="222"/>
    </w:p>
    <w:p>
      <w:pPr>
        <w:spacing w:line="574" w:lineRule="exact"/>
        <w:ind w:firstLine="640" w:firstLineChars="200"/>
        <w:rPr>
          <w:rFonts w:hint="eastAsia"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坚持政府引导、市场运作的原则，建立健全政府、企业等多方参与、市场化运作的投融资运营机制，支持金融机构信贷投放向智慧城市基础平台建设领域倾斜，发挥现有政府投资基金的引领带动作用，利用天使、风投、私募等多种资金渠道，引导社会资本支持新型智慧城市建设。推进PPP（政府与社会资本合作）、政府购买服务等模式的应用，鼓励社会资本和专业机构探索市场化经营。大力发展融合规划咨询、投融资、应用、平台、建设、运营等专业服务商的智慧城市生态圈。</w:t>
      </w:r>
    </w:p>
    <w:p>
      <w:pPr>
        <w:spacing w:line="574" w:lineRule="exact"/>
        <w:ind w:firstLine="640" w:firstLineChars="200"/>
        <w:outlineLvl w:val="1"/>
        <w:rPr>
          <w:rFonts w:ascii="宋体" w:hAnsi="宋体" w:eastAsia="方正楷体_GBK"/>
          <w:bCs/>
          <w:sz w:val="32"/>
          <w:szCs w:val="32"/>
        </w:rPr>
      </w:pPr>
      <w:bookmarkStart w:id="223" w:name="_Toc26197"/>
      <w:bookmarkStart w:id="224" w:name="_Toc10026"/>
      <w:bookmarkStart w:id="225" w:name="_Toc14931"/>
      <w:bookmarkStart w:id="226" w:name="_Toc15334"/>
      <w:r>
        <w:rPr>
          <w:rFonts w:ascii="宋体" w:hAnsi="宋体" w:eastAsia="方正楷体_GBK"/>
          <w:bCs/>
          <w:sz w:val="32"/>
          <w:szCs w:val="32"/>
        </w:rPr>
        <w:t>（</w:t>
      </w:r>
      <w:r>
        <w:rPr>
          <w:rFonts w:hint="eastAsia" w:ascii="宋体" w:hAnsi="宋体" w:eastAsia="方正楷体_GBK"/>
          <w:bCs/>
          <w:sz w:val="32"/>
          <w:szCs w:val="32"/>
        </w:rPr>
        <w:t>六</w:t>
      </w:r>
      <w:r>
        <w:rPr>
          <w:rFonts w:ascii="宋体" w:hAnsi="宋体" w:eastAsia="方正楷体_GBK"/>
          <w:bCs/>
          <w:sz w:val="32"/>
          <w:szCs w:val="32"/>
        </w:rPr>
        <w:t>）</w:t>
      </w:r>
      <w:r>
        <w:rPr>
          <w:rFonts w:hint="eastAsia" w:ascii="宋体" w:hAnsi="宋体" w:eastAsia="方正楷体_GBK"/>
          <w:bCs/>
          <w:sz w:val="32"/>
          <w:szCs w:val="32"/>
        </w:rPr>
        <w:t>拓展资金来源</w:t>
      </w:r>
      <w:bookmarkEnd w:id="223"/>
      <w:bookmarkEnd w:id="224"/>
      <w:bookmarkEnd w:id="225"/>
      <w:bookmarkEnd w:id="226"/>
    </w:p>
    <w:p>
      <w:pPr>
        <w:spacing w:line="574" w:lineRule="exact"/>
        <w:ind w:firstLine="640" w:firstLineChars="200"/>
        <w:rPr>
          <w:rFonts w:hint="eastAsia"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积极争取国家和市级财政专项资金对黔江区智慧城市建设的重大招商、能力建设、技术开发、示范应用、投融资体系建设和人才培育引进等项目给予支持。坚持“资金跟着项目走”，统筹做好项目资金平衡。根据项目类别系统梳理中央预算内和中央财政专项转移支付资金，精准争取支持。加强对口衔接汇报，积极争取市级基本建设统筹和财政有关专项资金支持。对符合方向的有一定收益但难以商业化合规融资、确需举债的项目，采用公益性与有经济效益的建设内容合理搭配实现资金平衡的运作模式，争取市财政加大对我区地方政府专项债、抗</w:t>
      </w:r>
      <w:r>
        <w:rPr>
          <w:rFonts w:hint="eastAsia" w:ascii="宋体" w:hAnsi="宋体" w:eastAsia="方正仿宋_GBK" w:cs="方正仿宋_GBK"/>
          <w:snapToGrid w:val="0"/>
          <w:kern w:val="0"/>
          <w:sz w:val="32"/>
          <w:szCs w:val="32"/>
          <w:lang w:eastAsia="zh-CN"/>
        </w:rPr>
        <w:t>疫</w:t>
      </w:r>
      <w:bookmarkStart w:id="270" w:name="_GoBack"/>
      <w:bookmarkEnd w:id="270"/>
      <w:r>
        <w:rPr>
          <w:rFonts w:hint="eastAsia" w:ascii="宋体" w:hAnsi="宋体" w:eastAsia="方正仿宋_GBK" w:cs="方正仿宋_GBK"/>
          <w:snapToGrid w:val="0"/>
          <w:kern w:val="0"/>
          <w:sz w:val="32"/>
          <w:szCs w:val="32"/>
        </w:rPr>
        <w:t>特别国债的分配额度。对符合条件的项目规范有序推广PPP模式，带动社会资本参与项目投资和运营。争取中央企业和市级企业集团来垫投资建设和拓展市场，通过“以市场换产业”带动相关产业发展。健全政银企对接机制，围绕新型基础设施以及符合国家要求的领域，抓紧策划储备符合信贷要求的项目，纳入市发展改革委推荐清单，争取国开行、农发行等六家银行中长期低成本融资，符合条件的申请国家城乡融合发展基金融资资金支持。</w:t>
      </w:r>
    </w:p>
    <w:p>
      <w:pPr>
        <w:pStyle w:val="4"/>
        <w:keepNext w:val="0"/>
        <w:keepLines w:val="0"/>
        <w:spacing w:before="0" w:after="0" w:line="574" w:lineRule="exact"/>
        <w:ind w:firstLine="640" w:firstLineChars="200"/>
        <w:rPr>
          <w:rFonts w:ascii="宋体" w:hAnsi="宋体" w:eastAsia="方正楷体_GBK"/>
          <w:b w:val="0"/>
        </w:rPr>
      </w:pPr>
      <w:bookmarkStart w:id="227" w:name="_Toc22413"/>
      <w:bookmarkStart w:id="228" w:name="_Toc8419"/>
      <w:bookmarkStart w:id="229" w:name="_Toc14852"/>
      <w:bookmarkStart w:id="230" w:name="_Toc23821"/>
      <w:bookmarkStart w:id="231" w:name="_Toc22148"/>
      <w:bookmarkStart w:id="232" w:name="_Toc286"/>
      <w:bookmarkStart w:id="233" w:name="_Toc12737"/>
      <w:bookmarkStart w:id="234" w:name="_Toc29528"/>
      <w:bookmarkStart w:id="235" w:name="_Toc25251"/>
      <w:bookmarkStart w:id="236" w:name="_Toc9263139"/>
      <w:bookmarkStart w:id="237" w:name="_Toc18608"/>
      <w:bookmarkStart w:id="238" w:name="_Toc10480"/>
      <w:r>
        <w:rPr>
          <w:rFonts w:ascii="宋体" w:hAnsi="宋体" w:eastAsia="方正楷体_GBK"/>
          <w:b w:val="0"/>
        </w:rPr>
        <w:t>（</w:t>
      </w:r>
      <w:r>
        <w:rPr>
          <w:rFonts w:hint="eastAsia" w:ascii="宋体" w:hAnsi="宋体" w:eastAsia="方正楷体_GBK"/>
          <w:b w:val="0"/>
        </w:rPr>
        <w:t>七</w:t>
      </w:r>
      <w:r>
        <w:rPr>
          <w:rFonts w:ascii="宋体" w:hAnsi="宋体" w:eastAsia="方正楷体_GBK"/>
          <w:b w:val="0"/>
        </w:rPr>
        <w:t>）强化人才支撑</w:t>
      </w:r>
      <w:bookmarkEnd w:id="227"/>
      <w:bookmarkEnd w:id="228"/>
      <w:bookmarkEnd w:id="229"/>
      <w:bookmarkEnd w:id="230"/>
      <w:bookmarkEnd w:id="231"/>
      <w:bookmarkEnd w:id="232"/>
      <w:bookmarkEnd w:id="233"/>
      <w:bookmarkEnd w:id="234"/>
      <w:bookmarkEnd w:id="235"/>
      <w:bookmarkEnd w:id="236"/>
      <w:bookmarkEnd w:id="237"/>
      <w:bookmarkEnd w:id="238"/>
    </w:p>
    <w:p>
      <w:pPr>
        <w:spacing w:line="574" w:lineRule="exact"/>
        <w:ind w:firstLine="640" w:firstLineChars="200"/>
        <w:rPr>
          <w:rFonts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 xml:space="preserve">建立专家咨询顾问机制，成立黔江区新型智慧城市建设专家咨询委员会，为新型智慧城市建设提供技术、信息、管理、评估等方面的专业服务和保障。统筹实施各类人才优惠政策，积极引进智慧城市建设过程中需要的复合型高层次信息化专业技术人才。创新人才培养模式，依托在渝高等院校、科研机构及信息产业重点企业科研工作站，加强专业人才培养，支持创新创业。加强领军人才、核心技术研发人才、复合型人才等高端人才的培养引进。加大信息化培训力度，以岗位培训和继续教育为重点，提高在职人员信息技术的应用技能。 </w:t>
      </w:r>
    </w:p>
    <w:p>
      <w:pPr>
        <w:pStyle w:val="4"/>
        <w:keepNext w:val="0"/>
        <w:keepLines w:val="0"/>
        <w:spacing w:before="0" w:after="0" w:line="574" w:lineRule="exact"/>
        <w:ind w:firstLine="640" w:firstLineChars="200"/>
        <w:rPr>
          <w:rFonts w:ascii="宋体" w:hAnsi="宋体" w:eastAsia="方正楷体_GBK"/>
          <w:b w:val="0"/>
        </w:rPr>
      </w:pPr>
      <w:bookmarkStart w:id="239" w:name="_Toc32182"/>
      <w:bookmarkStart w:id="240" w:name="_Toc3610"/>
      <w:bookmarkStart w:id="241" w:name="_Toc148"/>
      <w:bookmarkStart w:id="242" w:name="_Toc11392"/>
      <w:bookmarkStart w:id="243" w:name="_Toc30499573"/>
      <w:bookmarkStart w:id="244" w:name="_Toc6474"/>
      <w:r>
        <w:rPr>
          <w:rFonts w:hint="eastAsia" w:ascii="宋体" w:hAnsi="宋体" w:eastAsia="方正楷体_GBK"/>
          <w:b w:val="0"/>
        </w:rPr>
        <w:t>（八）加大宣传推广</w:t>
      </w:r>
      <w:bookmarkEnd w:id="239"/>
      <w:bookmarkEnd w:id="240"/>
      <w:bookmarkEnd w:id="241"/>
      <w:bookmarkEnd w:id="242"/>
      <w:bookmarkEnd w:id="243"/>
      <w:bookmarkEnd w:id="244"/>
    </w:p>
    <w:p>
      <w:pPr>
        <w:spacing w:line="574" w:lineRule="exact"/>
        <w:ind w:firstLine="640" w:firstLineChars="200"/>
        <w:rPr>
          <w:rFonts w:ascii="宋体" w:hAnsi="宋体" w:eastAsia="方正仿宋_GBK" w:cs="方正仿宋_GBK"/>
          <w:snapToGrid w:val="0"/>
          <w:spacing w:val="-4"/>
          <w:kern w:val="0"/>
          <w:sz w:val="32"/>
          <w:szCs w:val="32"/>
        </w:rPr>
      </w:pPr>
      <w:r>
        <w:rPr>
          <w:rFonts w:ascii="宋体" w:hAnsi="宋体" w:eastAsia="方正仿宋_GBK" w:cs="方正仿宋_GBK"/>
          <w:snapToGrid w:val="0"/>
          <w:kern w:val="0"/>
          <w:sz w:val="32"/>
          <w:szCs w:val="32"/>
        </w:rPr>
        <w:t>扩宽宣传渠道，持续办好开辟专栏、专版、专题，大力宣传先进典型和案例，借力中国国际智能产业博览会，做好</w:t>
      </w:r>
      <w:r>
        <w:rPr>
          <w:rFonts w:hint="eastAsia" w:ascii="宋体" w:hAnsi="宋体" w:eastAsia="方正仿宋_GBK" w:cs="方正仿宋_GBK"/>
          <w:snapToGrid w:val="0"/>
          <w:kern w:val="0"/>
          <w:sz w:val="32"/>
          <w:szCs w:val="32"/>
        </w:rPr>
        <w:t>黔江</w:t>
      </w:r>
      <w:r>
        <w:rPr>
          <w:rFonts w:ascii="宋体" w:hAnsi="宋体" w:eastAsia="方正仿宋_GBK" w:cs="方正仿宋_GBK"/>
          <w:snapToGrid w:val="0"/>
          <w:kern w:val="0"/>
          <w:sz w:val="32"/>
          <w:szCs w:val="32"/>
        </w:rPr>
        <w:t>区新型智慧城市窗口展示，积极参与国际国内交流，加大对智慧城市重点项目和示范应用的宣传报道力度；注重发挥人民群众的主体作用，充分利用电视、广播、报刊、网络等多种渠道和媒体，广泛开展多层次、多形式的智慧城市相关知识和技能的普及工作，提高市民科技素养和智慧技术应用能力，提升公众对智慧城市的认知度和参与度。</w:t>
      </w:r>
      <w:r>
        <w:rPr>
          <w:rFonts w:ascii="宋体" w:hAnsi="宋体" w:eastAsia="方正仿宋_GBK" w:cs="方正仿宋_GBK"/>
          <w:snapToGrid w:val="0"/>
          <w:spacing w:val="-4"/>
          <w:kern w:val="0"/>
          <w:sz w:val="32"/>
          <w:szCs w:val="32"/>
        </w:rPr>
        <w:t>加快智慧成果普及，各单位积极配合市智慧城市领导小组办公室向社区居民推广智慧城市的各项应用，让居民亲身体验智慧城市带来的便捷，使市民了解、接受、适应直至习惯智慧生活，提高群众对智慧城市建设的认同度，形成政府主导、全社会关心支持、广大人民群众积极参与智慧城市建设的良好氛围。</w:t>
      </w:r>
    </w:p>
    <w:p>
      <w:pPr>
        <w:pStyle w:val="3"/>
        <w:keepNext w:val="0"/>
        <w:keepLines w:val="0"/>
        <w:spacing w:before="0" w:after="0" w:line="574" w:lineRule="exact"/>
        <w:ind w:firstLine="640" w:firstLineChars="200"/>
        <w:rPr>
          <w:rFonts w:hint="eastAsia" w:ascii="宋体" w:hAnsi="宋体" w:eastAsia="方正黑体_GBK"/>
          <w:b w:val="0"/>
          <w:sz w:val="32"/>
          <w:szCs w:val="32"/>
        </w:rPr>
      </w:pPr>
      <w:bookmarkStart w:id="245" w:name="_Toc14846"/>
      <w:bookmarkStart w:id="246" w:name="_Toc32721"/>
      <w:bookmarkStart w:id="247" w:name="_Toc518486936"/>
      <w:bookmarkStart w:id="248" w:name="_Toc32655"/>
      <w:bookmarkStart w:id="249" w:name="_Toc5111"/>
      <w:bookmarkStart w:id="250" w:name="_Toc22096"/>
      <w:bookmarkStart w:id="251" w:name="_Toc15168"/>
      <w:r>
        <w:rPr>
          <w:rFonts w:hint="eastAsia" w:ascii="宋体" w:hAnsi="宋体" w:eastAsia="方正黑体_GBK"/>
          <w:b w:val="0"/>
          <w:sz w:val="32"/>
          <w:szCs w:val="32"/>
        </w:rPr>
        <w:t>六、实施计划</w:t>
      </w:r>
      <w:bookmarkEnd w:id="245"/>
      <w:bookmarkEnd w:id="246"/>
      <w:bookmarkEnd w:id="247"/>
      <w:bookmarkEnd w:id="248"/>
      <w:bookmarkEnd w:id="249"/>
      <w:bookmarkEnd w:id="250"/>
      <w:bookmarkEnd w:id="251"/>
    </w:p>
    <w:p>
      <w:pPr>
        <w:spacing w:line="574" w:lineRule="exact"/>
        <w:ind w:firstLine="640" w:firstLineChars="200"/>
        <w:rPr>
          <w:rFonts w:hint="eastAsia"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按照“基础先行，民生优先”的原则，把提升信息基础设施能级和夯实智慧应用基础放在突出位置，与民生息息相关的项目先行建设。通过分阶段发展，滚动推进实施计划，促进智慧城市建设持续深入发展。</w:t>
      </w:r>
    </w:p>
    <w:p>
      <w:pPr>
        <w:spacing w:line="574" w:lineRule="exact"/>
        <w:ind w:firstLine="640" w:firstLineChars="200"/>
        <w:rPr>
          <w:rFonts w:hint="eastAsia"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根据智慧城市建设的规律和黔江现状,黔江智慧城市的建设可分为三期。各期建设项目选择的参考指标包括如下几个方面：基础优先性、时间紧迫性、民生相关性、是否展现城市新形象、是否有利于产业发展、是否有利于城市管理等方面。智慧城市保障体系建设，如保密安全体系、标准体系、考核机制、评估体系等贯穿智慧城市建设全过程。</w:t>
      </w:r>
    </w:p>
    <w:p>
      <w:pPr>
        <w:spacing w:line="574" w:lineRule="exact"/>
        <w:ind w:firstLine="640" w:firstLineChars="200"/>
        <w:outlineLvl w:val="1"/>
        <w:rPr>
          <w:rFonts w:hint="eastAsia" w:ascii="方正楷体_GBK" w:hAnsi="宋体" w:eastAsia="方正楷体_GBK" w:cs="方正仿宋_GBK"/>
          <w:snapToGrid w:val="0"/>
          <w:kern w:val="0"/>
          <w:sz w:val="32"/>
          <w:szCs w:val="32"/>
        </w:rPr>
      </w:pPr>
      <w:bookmarkStart w:id="252" w:name="_Toc27524"/>
      <w:bookmarkStart w:id="253" w:name="_Toc518486937"/>
      <w:bookmarkStart w:id="254" w:name="_Toc13932"/>
      <w:bookmarkStart w:id="255" w:name="_Toc1932"/>
      <w:r>
        <w:rPr>
          <w:rFonts w:hint="eastAsia" w:ascii="方正楷体_GBK" w:hAnsi="宋体" w:eastAsia="方正楷体_GBK" w:cs="方正仿宋_GBK"/>
          <w:snapToGrid w:val="0"/>
          <w:kern w:val="0"/>
          <w:sz w:val="32"/>
          <w:szCs w:val="32"/>
        </w:rPr>
        <w:t>（一）第一期（</w:t>
      </w:r>
      <w:r>
        <w:rPr>
          <w:rFonts w:hint="eastAsia" w:ascii="方正楷体_GBK" w:hAnsi="Times New Roman" w:eastAsia="方正楷体_GBK" w:cs="方正仿宋_GBK"/>
          <w:snapToGrid w:val="0"/>
          <w:kern w:val="0"/>
          <w:sz w:val="32"/>
          <w:szCs w:val="32"/>
        </w:rPr>
        <w:t>2020</w:t>
      </w:r>
      <w:r>
        <w:rPr>
          <w:rFonts w:hint="eastAsia" w:ascii="方正楷体_GBK" w:hAnsi="宋体" w:eastAsia="方正楷体_GBK" w:cs="方正仿宋_GBK"/>
          <w:snapToGrid w:val="0"/>
          <w:kern w:val="0"/>
          <w:sz w:val="32"/>
          <w:szCs w:val="32"/>
        </w:rPr>
        <w:t>-</w:t>
      </w:r>
      <w:r>
        <w:rPr>
          <w:rFonts w:hint="eastAsia" w:ascii="方正楷体_GBK" w:hAnsi="Times New Roman" w:eastAsia="方正楷体_GBK" w:cs="方正仿宋_GBK"/>
          <w:snapToGrid w:val="0"/>
          <w:kern w:val="0"/>
          <w:sz w:val="32"/>
          <w:szCs w:val="32"/>
        </w:rPr>
        <w:t>2021</w:t>
      </w:r>
      <w:r>
        <w:rPr>
          <w:rFonts w:hint="eastAsia" w:ascii="方正楷体_GBK" w:hAnsi="宋体" w:eastAsia="方正楷体_GBK" w:cs="方正仿宋_GBK"/>
          <w:snapToGrid w:val="0"/>
          <w:kern w:val="0"/>
          <w:sz w:val="32"/>
          <w:szCs w:val="32"/>
        </w:rPr>
        <w:t>）——强基础、搭框架、促民生</w:t>
      </w:r>
      <w:bookmarkEnd w:id="252"/>
      <w:bookmarkEnd w:id="253"/>
      <w:bookmarkEnd w:id="254"/>
      <w:bookmarkEnd w:id="255"/>
    </w:p>
    <w:p>
      <w:pPr>
        <w:spacing w:line="574" w:lineRule="exact"/>
        <w:ind w:firstLine="640" w:firstLineChars="200"/>
        <w:rPr>
          <w:rFonts w:hint="eastAsia"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第一期，重点建设智慧黔江基础体系，基础体系包括城市数智中枢云平台、智慧城市大数据资源云中心、智慧城市综合服务平台等；搭建智慧黔江框架，并就交通、环保、气象、水务、能源等重大民生领域项目进行建设；同时启动智慧保障体系建设（标准、安全、考核评估等），智慧保障体系贯穿智慧城市建设全过程。</w:t>
      </w:r>
    </w:p>
    <w:p>
      <w:pPr>
        <w:spacing w:line="574" w:lineRule="exact"/>
        <w:ind w:firstLine="640" w:firstLineChars="200"/>
        <w:outlineLvl w:val="1"/>
        <w:rPr>
          <w:rFonts w:hint="eastAsia" w:ascii="方正楷体_GBK" w:hAnsi="宋体" w:eastAsia="方正楷体_GBK" w:cs="方正仿宋_GBK"/>
          <w:snapToGrid w:val="0"/>
          <w:kern w:val="0"/>
          <w:sz w:val="32"/>
          <w:szCs w:val="32"/>
        </w:rPr>
      </w:pPr>
      <w:bookmarkStart w:id="256" w:name="_Toc3939"/>
      <w:bookmarkStart w:id="257" w:name="_Toc27197"/>
      <w:bookmarkStart w:id="258" w:name="_Toc9546"/>
      <w:bookmarkStart w:id="259" w:name="_Toc518486938"/>
      <w:r>
        <w:rPr>
          <w:rFonts w:hint="eastAsia" w:ascii="方正楷体_GBK" w:hAnsi="宋体" w:eastAsia="方正楷体_GBK" w:cs="方正仿宋_GBK"/>
          <w:snapToGrid w:val="0"/>
          <w:kern w:val="0"/>
          <w:sz w:val="32"/>
          <w:szCs w:val="32"/>
        </w:rPr>
        <w:t>（二）第二期（</w:t>
      </w:r>
      <w:r>
        <w:rPr>
          <w:rFonts w:hint="eastAsia" w:ascii="方正楷体_GBK" w:hAnsi="Times New Roman" w:eastAsia="方正楷体_GBK" w:cs="方正仿宋_GBK"/>
          <w:snapToGrid w:val="0"/>
          <w:kern w:val="0"/>
          <w:sz w:val="32"/>
          <w:szCs w:val="32"/>
        </w:rPr>
        <w:t>2022</w:t>
      </w:r>
      <w:r>
        <w:rPr>
          <w:rFonts w:hint="eastAsia" w:ascii="方正楷体_GBK" w:hAnsi="宋体" w:eastAsia="方正楷体_GBK" w:cs="方正仿宋_GBK"/>
          <w:snapToGrid w:val="0"/>
          <w:kern w:val="0"/>
          <w:sz w:val="32"/>
          <w:szCs w:val="32"/>
        </w:rPr>
        <w:t>-</w:t>
      </w:r>
      <w:r>
        <w:rPr>
          <w:rFonts w:hint="eastAsia" w:ascii="方正楷体_GBK" w:hAnsi="Times New Roman" w:eastAsia="方正楷体_GBK" w:cs="方正仿宋_GBK"/>
          <w:snapToGrid w:val="0"/>
          <w:kern w:val="0"/>
          <w:sz w:val="32"/>
          <w:szCs w:val="32"/>
        </w:rPr>
        <w:t>2023</w:t>
      </w:r>
      <w:r>
        <w:rPr>
          <w:rFonts w:hint="eastAsia" w:ascii="方正楷体_GBK" w:hAnsi="宋体" w:eastAsia="方正楷体_GBK" w:cs="方正仿宋_GBK"/>
          <w:snapToGrid w:val="0"/>
          <w:kern w:val="0"/>
          <w:sz w:val="32"/>
          <w:szCs w:val="32"/>
        </w:rPr>
        <w:t>）——建体系、推应用、强产业</w:t>
      </w:r>
      <w:bookmarkEnd w:id="256"/>
      <w:bookmarkEnd w:id="257"/>
      <w:bookmarkEnd w:id="258"/>
      <w:bookmarkEnd w:id="259"/>
    </w:p>
    <w:p>
      <w:pPr>
        <w:spacing w:line="574" w:lineRule="exact"/>
        <w:ind w:firstLine="640" w:firstLineChars="200"/>
        <w:rPr>
          <w:rFonts w:hint="eastAsia" w:ascii="宋体" w:hAnsi="宋体" w:eastAsia="方正仿宋_GBK" w:cs="方正仿宋_GBK"/>
          <w:snapToGrid w:val="0"/>
          <w:kern w:val="0"/>
          <w:sz w:val="32"/>
          <w:szCs w:val="32"/>
        </w:rPr>
      </w:pPr>
      <w:r>
        <w:rPr>
          <w:rFonts w:hint="eastAsia" w:ascii="宋体" w:hAnsi="宋体" w:eastAsia="方正仿宋_GBK" w:cs="方正仿宋_GBK"/>
          <w:snapToGrid w:val="0"/>
          <w:kern w:val="0"/>
          <w:sz w:val="32"/>
          <w:szCs w:val="32"/>
        </w:rPr>
        <w:t>第二期，在第一期搭建的智慧城市框架基础上，进一步巩固智慧城市基础，同时扩大和深化教育、医疗、社保、民政等民生服务，强化人民福祉；同时加强产业发展，聚焦智能化与产业发展深度融合，承接发展智能制造、智慧农业、智慧文旅、智慧招商等市级重点工程，促进黔江经济发展。</w:t>
      </w:r>
    </w:p>
    <w:p>
      <w:pPr>
        <w:spacing w:line="574" w:lineRule="exact"/>
        <w:ind w:firstLine="640" w:firstLineChars="200"/>
        <w:outlineLvl w:val="1"/>
        <w:rPr>
          <w:rFonts w:hint="eastAsia" w:ascii="方正楷体_GBK" w:hAnsi="宋体" w:eastAsia="方正楷体_GBK" w:cs="方正仿宋_GBK"/>
          <w:snapToGrid w:val="0"/>
          <w:kern w:val="0"/>
          <w:sz w:val="32"/>
          <w:szCs w:val="32"/>
        </w:rPr>
      </w:pPr>
      <w:bookmarkStart w:id="260" w:name="_Toc16078"/>
      <w:bookmarkStart w:id="261" w:name="_Toc26396"/>
      <w:bookmarkStart w:id="262" w:name="_Toc27233"/>
      <w:bookmarkStart w:id="263" w:name="_Toc518486939"/>
      <w:r>
        <w:rPr>
          <w:rFonts w:hint="eastAsia" w:ascii="方正楷体_GBK" w:hAnsi="宋体" w:eastAsia="方正楷体_GBK" w:cs="方正仿宋_GBK"/>
          <w:snapToGrid w:val="0"/>
          <w:kern w:val="0"/>
          <w:sz w:val="32"/>
          <w:szCs w:val="32"/>
        </w:rPr>
        <w:t>（三）第三期（</w:t>
      </w:r>
      <w:r>
        <w:rPr>
          <w:rFonts w:hint="eastAsia" w:ascii="方正楷体_GBK" w:hAnsi="Times New Roman" w:eastAsia="方正楷体_GBK" w:cs="方正仿宋_GBK"/>
          <w:snapToGrid w:val="0"/>
          <w:kern w:val="0"/>
          <w:sz w:val="32"/>
          <w:szCs w:val="32"/>
        </w:rPr>
        <w:t>2024</w:t>
      </w:r>
      <w:r>
        <w:rPr>
          <w:rFonts w:hint="eastAsia" w:ascii="方正楷体_GBK" w:hAnsi="宋体" w:eastAsia="方正楷体_GBK" w:cs="方正仿宋_GBK"/>
          <w:snapToGrid w:val="0"/>
          <w:kern w:val="0"/>
          <w:sz w:val="32"/>
          <w:szCs w:val="32"/>
        </w:rPr>
        <w:t>-</w:t>
      </w:r>
      <w:r>
        <w:rPr>
          <w:rFonts w:hint="eastAsia" w:ascii="方正楷体_GBK" w:hAnsi="Times New Roman" w:eastAsia="方正楷体_GBK" w:cs="方正仿宋_GBK"/>
          <w:snapToGrid w:val="0"/>
          <w:kern w:val="0"/>
          <w:sz w:val="32"/>
          <w:szCs w:val="32"/>
        </w:rPr>
        <w:t>2025</w:t>
      </w:r>
      <w:r>
        <w:rPr>
          <w:rFonts w:hint="eastAsia" w:ascii="方正楷体_GBK" w:hAnsi="宋体" w:eastAsia="方正楷体_GBK" w:cs="方正仿宋_GBK"/>
          <w:snapToGrid w:val="0"/>
          <w:kern w:val="0"/>
          <w:sz w:val="32"/>
          <w:szCs w:val="32"/>
        </w:rPr>
        <w:t>）——促完善、丰内涵、达智慧</w:t>
      </w:r>
      <w:bookmarkEnd w:id="260"/>
      <w:bookmarkEnd w:id="261"/>
      <w:bookmarkEnd w:id="262"/>
      <w:bookmarkEnd w:id="263"/>
    </w:p>
    <w:p>
      <w:pPr>
        <w:spacing w:line="560" w:lineRule="exact"/>
        <w:ind w:firstLine="640" w:firstLineChars="200"/>
        <w:rPr>
          <w:rFonts w:hint="eastAsia" w:ascii="宋体" w:hAnsi="宋体"/>
        </w:rPr>
      </w:pPr>
      <w:r>
        <w:rPr>
          <w:rFonts w:hint="eastAsia" w:ascii="宋体" w:hAnsi="宋体" w:eastAsia="方正仿宋_GBK" w:cs="方正仿宋_GBK"/>
          <w:snapToGrid w:val="0"/>
          <w:kern w:val="0"/>
          <w:sz w:val="32"/>
          <w:szCs w:val="32"/>
        </w:rPr>
        <w:t>第三期为全面深化和完善阶段，巩固和加强已有智慧城市建设成果，不断深化智慧城市应用范围和效果，在新型智慧城市</w:t>
      </w:r>
      <w:r>
        <w:rPr>
          <w:rFonts w:hint="eastAsia" w:ascii="宋体" w:hAnsi="宋体" w:eastAsia="方正仿宋_GBK"/>
          <w:sz w:val="32"/>
          <w:szCs w:val="32"/>
        </w:rPr>
        <w:t>整体</w:t>
      </w:r>
      <w:r>
        <w:rPr>
          <w:rFonts w:hint="eastAsia" w:ascii="宋体" w:hAnsi="宋体" w:eastAsia="方正仿宋_GBK" w:cs="方正仿宋_GBK"/>
          <w:snapToGrid w:val="0"/>
          <w:kern w:val="0"/>
          <w:sz w:val="32"/>
          <w:szCs w:val="32"/>
        </w:rPr>
        <w:t>架构下，建立治安防控、信息化项目管理、互联网+监管、智慧市场监管和雪亮工程等城市公共安全管理综合体系，形成全面覆盖、移动互联、智能应用、信息共享的“智慧黔江”建设新模式。</w:t>
      </w:r>
    </w:p>
    <w:p>
      <w:pPr>
        <w:pStyle w:val="8"/>
        <w:rPr>
          <w:rFonts w:hint="eastAsia" w:hAnsi="宋体"/>
        </w:rPr>
      </w:pPr>
    </w:p>
    <w:p>
      <w:pPr>
        <w:pStyle w:val="8"/>
        <w:rPr>
          <w:rFonts w:hint="eastAsia" w:hAnsi="宋体"/>
        </w:rPr>
      </w:pPr>
    </w:p>
    <w:p>
      <w:pPr>
        <w:pStyle w:val="8"/>
        <w:rPr>
          <w:rFonts w:hint="eastAsia" w:hAnsi="宋体"/>
        </w:rPr>
      </w:pPr>
    </w:p>
    <w:p>
      <w:pPr>
        <w:pStyle w:val="8"/>
        <w:rPr>
          <w:rFonts w:hint="eastAsia" w:hAnsi="宋体"/>
        </w:rPr>
        <w:sectPr>
          <w:footerReference r:id="rId5" w:type="default"/>
          <w:footerReference r:id="rId6" w:type="even"/>
          <w:pgSz w:w="11906" w:h="16838"/>
          <w:pgMar w:top="1985" w:right="1446" w:bottom="1644" w:left="1446" w:header="1134" w:footer="1134" w:gutter="0"/>
          <w:pgNumType w:start="1"/>
          <w:cols w:space="720" w:num="1"/>
          <w:docGrid w:linePitch="312" w:charSpace="0"/>
        </w:sectPr>
      </w:pPr>
    </w:p>
    <w:p>
      <w:pPr>
        <w:pStyle w:val="3"/>
        <w:keepNext w:val="0"/>
        <w:keepLines w:val="0"/>
        <w:spacing w:before="0" w:after="0" w:line="240" w:lineRule="auto"/>
        <w:rPr>
          <w:rFonts w:hint="eastAsia" w:ascii="宋体" w:hAnsi="宋体" w:eastAsia="方正黑体_GBK"/>
          <w:b w:val="0"/>
          <w:sz w:val="32"/>
          <w:szCs w:val="32"/>
        </w:rPr>
      </w:pPr>
      <w:bookmarkStart w:id="264" w:name="_Toc17720"/>
      <w:bookmarkStart w:id="265" w:name="_Toc4065"/>
      <w:bookmarkStart w:id="266" w:name="_Toc26394"/>
      <w:bookmarkStart w:id="267" w:name="_Toc17629"/>
      <w:bookmarkStart w:id="268" w:name="_Toc12447"/>
      <w:r>
        <w:rPr>
          <w:rFonts w:hint="eastAsia" w:ascii="宋体" w:hAnsi="宋体" w:eastAsia="方正黑体_GBK"/>
          <w:b w:val="0"/>
          <w:sz w:val="32"/>
          <w:szCs w:val="32"/>
        </w:rPr>
        <w:t>附件</w:t>
      </w:r>
      <w:bookmarkEnd w:id="264"/>
      <w:bookmarkEnd w:id="265"/>
      <w:bookmarkEnd w:id="266"/>
      <w:bookmarkEnd w:id="267"/>
      <w:bookmarkEnd w:id="268"/>
    </w:p>
    <w:p>
      <w:pPr>
        <w:jc w:val="center"/>
        <w:outlineLvl w:val="0"/>
        <w:rPr>
          <w:rFonts w:hint="eastAsia" w:ascii="宋体" w:hAnsi="宋体" w:eastAsia="方正小标宋_GBK" w:cs="方正小标宋_GBK"/>
          <w:sz w:val="44"/>
          <w:szCs w:val="44"/>
        </w:rPr>
      </w:pPr>
      <w:bookmarkStart w:id="269" w:name="_Toc27665"/>
      <w:r>
        <w:rPr>
          <w:rFonts w:hint="eastAsia" w:ascii="宋体" w:hAnsi="宋体" w:eastAsia="方正小标宋_GBK" w:cs="方正小标宋_GBK"/>
          <w:sz w:val="44"/>
          <w:szCs w:val="44"/>
        </w:rPr>
        <w:t>智慧黔江“十四五”专项规划项目明细表</w:t>
      </w:r>
      <w:bookmarkEnd w:id="269"/>
    </w:p>
    <w:p>
      <w:pPr>
        <w:pStyle w:val="8"/>
        <w:rPr>
          <w:rFonts w:hint="eastAsia" w:hAnsi="宋体"/>
        </w:rPr>
      </w:pPr>
    </w:p>
    <w:tbl>
      <w:tblPr>
        <w:tblStyle w:val="16"/>
        <w:tblW w:w="5000" w:type="pct"/>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autofit"/>
        <w:tblCellMar>
          <w:top w:w="0" w:type="dxa"/>
          <w:left w:w="108" w:type="dxa"/>
          <w:bottom w:w="0" w:type="dxa"/>
          <w:right w:w="108" w:type="dxa"/>
        </w:tblCellMar>
      </w:tblPr>
      <w:tblGrid>
        <w:gridCol w:w="489"/>
        <w:gridCol w:w="981"/>
        <w:gridCol w:w="847"/>
        <w:gridCol w:w="872"/>
        <w:gridCol w:w="1096"/>
        <w:gridCol w:w="1722"/>
        <w:gridCol w:w="1345"/>
        <w:gridCol w:w="3014"/>
        <w:gridCol w:w="671"/>
        <w:gridCol w:w="909"/>
        <w:gridCol w:w="1113"/>
        <w:gridCol w:w="921"/>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0" w:hRule="atLeast"/>
          <w:tblHeader/>
          <w:jc w:val="center"/>
        </w:trPr>
        <w:tc>
          <w:tcPr>
            <w:tcW w:w="175" w:type="pct"/>
            <w:noWrap w:val="0"/>
            <w:tcMar>
              <w:left w:w="17" w:type="dxa"/>
              <w:right w:w="17" w:type="dxa"/>
            </w:tcMar>
            <w:vAlign w:val="center"/>
          </w:tcPr>
          <w:p>
            <w:pPr>
              <w:jc w:val="center"/>
              <w:rPr>
                <w:rFonts w:ascii="宋体" w:hAnsi="宋体" w:eastAsia="方正黑体_GBK"/>
                <w:szCs w:val="21"/>
              </w:rPr>
            </w:pPr>
            <w:r>
              <w:rPr>
                <w:rFonts w:hint="eastAsia" w:ascii="宋体" w:hAnsi="宋体" w:eastAsia="方正黑体_GBK"/>
                <w:szCs w:val="21"/>
              </w:rPr>
              <w:t>序号</w:t>
            </w:r>
          </w:p>
        </w:tc>
        <w:tc>
          <w:tcPr>
            <w:tcW w:w="351" w:type="pct"/>
            <w:noWrap w:val="0"/>
            <w:tcMar>
              <w:left w:w="17" w:type="dxa"/>
              <w:right w:w="17" w:type="dxa"/>
            </w:tcMar>
            <w:vAlign w:val="center"/>
          </w:tcPr>
          <w:p>
            <w:pPr>
              <w:jc w:val="center"/>
              <w:rPr>
                <w:rFonts w:ascii="宋体" w:hAnsi="宋体" w:eastAsia="方正黑体_GBK"/>
                <w:szCs w:val="21"/>
              </w:rPr>
            </w:pPr>
            <w:r>
              <w:rPr>
                <w:rFonts w:hint="eastAsia" w:ascii="宋体" w:hAnsi="宋体" w:eastAsia="方正黑体_GBK"/>
                <w:szCs w:val="21"/>
              </w:rPr>
              <w:t>项目名称</w:t>
            </w:r>
          </w:p>
        </w:tc>
        <w:tc>
          <w:tcPr>
            <w:tcW w:w="303" w:type="pct"/>
            <w:noWrap w:val="0"/>
            <w:tcMar>
              <w:left w:w="17" w:type="dxa"/>
              <w:right w:w="17" w:type="dxa"/>
            </w:tcMar>
            <w:vAlign w:val="center"/>
          </w:tcPr>
          <w:p>
            <w:pPr>
              <w:jc w:val="center"/>
              <w:rPr>
                <w:rFonts w:hint="eastAsia" w:ascii="宋体" w:hAnsi="宋体" w:eastAsia="方正黑体_GBK"/>
                <w:szCs w:val="21"/>
              </w:rPr>
            </w:pPr>
            <w:r>
              <w:rPr>
                <w:rFonts w:hint="eastAsia" w:ascii="宋体" w:hAnsi="宋体" w:eastAsia="方正黑体_GBK"/>
                <w:szCs w:val="21"/>
              </w:rPr>
              <w:t>一级</w:t>
            </w:r>
          </w:p>
          <w:p>
            <w:pPr>
              <w:jc w:val="center"/>
              <w:rPr>
                <w:rFonts w:ascii="宋体" w:hAnsi="宋体" w:eastAsia="方正黑体_GBK"/>
                <w:szCs w:val="21"/>
              </w:rPr>
            </w:pPr>
            <w:r>
              <w:rPr>
                <w:rFonts w:hint="eastAsia" w:ascii="宋体" w:hAnsi="宋体" w:eastAsia="方正黑体_GBK"/>
                <w:szCs w:val="21"/>
              </w:rPr>
              <w:t>分类</w:t>
            </w:r>
          </w:p>
        </w:tc>
        <w:tc>
          <w:tcPr>
            <w:tcW w:w="312" w:type="pct"/>
            <w:noWrap w:val="0"/>
            <w:tcMar>
              <w:left w:w="17" w:type="dxa"/>
              <w:right w:w="17" w:type="dxa"/>
            </w:tcMar>
            <w:vAlign w:val="center"/>
          </w:tcPr>
          <w:p>
            <w:pPr>
              <w:jc w:val="center"/>
              <w:rPr>
                <w:rFonts w:hint="eastAsia" w:ascii="宋体" w:hAnsi="宋体" w:eastAsia="方正黑体_GBK"/>
                <w:szCs w:val="21"/>
              </w:rPr>
            </w:pPr>
            <w:r>
              <w:rPr>
                <w:rFonts w:hint="eastAsia" w:ascii="宋体" w:hAnsi="宋体" w:eastAsia="方正黑体_GBK"/>
                <w:szCs w:val="21"/>
              </w:rPr>
              <w:t>二级</w:t>
            </w:r>
          </w:p>
          <w:p>
            <w:pPr>
              <w:jc w:val="center"/>
              <w:rPr>
                <w:rFonts w:ascii="宋体" w:hAnsi="宋体" w:eastAsia="方正黑体_GBK"/>
                <w:szCs w:val="21"/>
              </w:rPr>
            </w:pPr>
            <w:r>
              <w:rPr>
                <w:rFonts w:hint="eastAsia" w:ascii="宋体" w:hAnsi="宋体" w:eastAsia="方正黑体_GBK"/>
                <w:szCs w:val="21"/>
              </w:rPr>
              <w:t>分类</w:t>
            </w:r>
          </w:p>
        </w:tc>
        <w:tc>
          <w:tcPr>
            <w:tcW w:w="392" w:type="pct"/>
            <w:noWrap w:val="0"/>
            <w:tcMar>
              <w:left w:w="17" w:type="dxa"/>
              <w:right w:w="17" w:type="dxa"/>
            </w:tcMar>
            <w:vAlign w:val="center"/>
          </w:tcPr>
          <w:p>
            <w:pPr>
              <w:jc w:val="center"/>
              <w:rPr>
                <w:rFonts w:hint="eastAsia" w:ascii="宋体" w:hAnsi="宋体" w:eastAsia="方正黑体_GBK"/>
                <w:szCs w:val="21"/>
              </w:rPr>
            </w:pPr>
            <w:r>
              <w:rPr>
                <w:rFonts w:hint="eastAsia" w:ascii="宋体" w:hAnsi="宋体" w:eastAsia="方正黑体_GBK"/>
                <w:szCs w:val="21"/>
              </w:rPr>
              <w:t>三级</w:t>
            </w:r>
          </w:p>
          <w:p>
            <w:pPr>
              <w:jc w:val="center"/>
              <w:rPr>
                <w:rFonts w:ascii="宋体" w:hAnsi="宋体" w:eastAsia="方正黑体_GBK"/>
                <w:szCs w:val="21"/>
              </w:rPr>
            </w:pPr>
            <w:r>
              <w:rPr>
                <w:rFonts w:hint="eastAsia" w:ascii="宋体" w:hAnsi="宋体" w:eastAsia="方正黑体_GBK"/>
                <w:szCs w:val="21"/>
              </w:rPr>
              <w:t>分类</w:t>
            </w:r>
          </w:p>
        </w:tc>
        <w:tc>
          <w:tcPr>
            <w:tcW w:w="616" w:type="pct"/>
            <w:noWrap w:val="0"/>
            <w:tcMar>
              <w:left w:w="17" w:type="dxa"/>
              <w:right w:w="17" w:type="dxa"/>
            </w:tcMar>
            <w:vAlign w:val="center"/>
          </w:tcPr>
          <w:p>
            <w:pPr>
              <w:jc w:val="center"/>
              <w:rPr>
                <w:rFonts w:ascii="宋体" w:hAnsi="宋体" w:eastAsia="方正黑体_GBK"/>
                <w:szCs w:val="21"/>
              </w:rPr>
            </w:pPr>
            <w:r>
              <w:rPr>
                <w:rFonts w:hint="eastAsia" w:ascii="宋体" w:hAnsi="宋体" w:eastAsia="方正黑体_GBK"/>
                <w:szCs w:val="21"/>
              </w:rPr>
              <w:t>项目牵头单位</w:t>
            </w:r>
          </w:p>
        </w:tc>
        <w:tc>
          <w:tcPr>
            <w:tcW w:w="481" w:type="pct"/>
            <w:noWrap w:val="0"/>
            <w:tcMar>
              <w:left w:w="17" w:type="dxa"/>
              <w:right w:w="17" w:type="dxa"/>
            </w:tcMar>
            <w:vAlign w:val="center"/>
          </w:tcPr>
          <w:p>
            <w:pPr>
              <w:jc w:val="center"/>
              <w:rPr>
                <w:rFonts w:hint="eastAsia" w:ascii="宋体" w:hAnsi="宋体" w:eastAsia="方正黑体_GBK"/>
                <w:szCs w:val="21"/>
              </w:rPr>
            </w:pPr>
            <w:r>
              <w:rPr>
                <w:rFonts w:hint="eastAsia" w:ascii="宋体" w:hAnsi="宋体" w:eastAsia="方正黑体_GBK"/>
                <w:szCs w:val="21"/>
              </w:rPr>
              <w:t>项目建设</w:t>
            </w:r>
          </w:p>
          <w:p>
            <w:pPr>
              <w:jc w:val="center"/>
              <w:rPr>
                <w:rFonts w:hint="eastAsia" w:ascii="宋体" w:hAnsi="宋体" w:eastAsia="方正黑体_GBK"/>
                <w:szCs w:val="21"/>
              </w:rPr>
            </w:pPr>
            <w:r>
              <w:rPr>
                <w:rFonts w:hint="eastAsia" w:ascii="宋体" w:hAnsi="宋体" w:eastAsia="方正黑体_GBK"/>
                <w:szCs w:val="21"/>
              </w:rPr>
              <w:t>起止时间</w:t>
            </w:r>
          </w:p>
        </w:tc>
        <w:tc>
          <w:tcPr>
            <w:tcW w:w="1078" w:type="pct"/>
            <w:noWrap w:val="0"/>
            <w:tcMar>
              <w:left w:w="17" w:type="dxa"/>
              <w:right w:w="17" w:type="dxa"/>
            </w:tcMar>
            <w:vAlign w:val="center"/>
          </w:tcPr>
          <w:p>
            <w:pPr>
              <w:jc w:val="center"/>
              <w:rPr>
                <w:rFonts w:ascii="宋体" w:hAnsi="宋体" w:eastAsia="方正黑体_GBK"/>
                <w:szCs w:val="21"/>
              </w:rPr>
            </w:pPr>
            <w:r>
              <w:rPr>
                <w:rFonts w:hint="eastAsia" w:ascii="宋体" w:hAnsi="宋体" w:eastAsia="方正黑体_GBK"/>
                <w:szCs w:val="21"/>
              </w:rPr>
              <w:t>主要建设内容及规模</w:t>
            </w:r>
          </w:p>
        </w:tc>
        <w:tc>
          <w:tcPr>
            <w:tcW w:w="240" w:type="pct"/>
            <w:noWrap w:val="0"/>
            <w:tcMar>
              <w:left w:w="17" w:type="dxa"/>
              <w:right w:w="17" w:type="dxa"/>
            </w:tcMar>
            <w:vAlign w:val="center"/>
          </w:tcPr>
          <w:p>
            <w:pPr>
              <w:jc w:val="center"/>
              <w:rPr>
                <w:rFonts w:ascii="宋体" w:hAnsi="宋体" w:eastAsia="方正黑体_GBK"/>
                <w:szCs w:val="21"/>
              </w:rPr>
            </w:pPr>
            <w:r>
              <w:rPr>
                <w:rFonts w:hint="eastAsia" w:ascii="宋体" w:hAnsi="宋体" w:eastAsia="方正黑体_GBK"/>
                <w:szCs w:val="21"/>
              </w:rPr>
              <w:t>建设性质</w:t>
            </w:r>
          </w:p>
        </w:tc>
        <w:tc>
          <w:tcPr>
            <w:tcW w:w="325" w:type="pct"/>
            <w:noWrap w:val="0"/>
            <w:tcMar>
              <w:left w:w="17" w:type="dxa"/>
              <w:right w:w="17" w:type="dxa"/>
            </w:tcMar>
            <w:vAlign w:val="center"/>
          </w:tcPr>
          <w:p>
            <w:pPr>
              <w:jc w:val="center"/>
              <w:rPr>
                <w:rFonts w:hint="eastAsia" w:ascii="宋体" w:hAnsi="宋体" w:eastAsia="方正黑体_GBK"/>
                <w:szCs w:val="21"/>
              </w:rPr>
            </w:pPr>
            <w:r>
              <w:rPr>
                <w:rFonts w:hint="eastAsia" w:ascii="宋体" w:hAnsi="宋体" w:eastAsia="方正黑体_GBK"/>
                <w:szCs w:val="21"/>
              </w:rPr>
              <w:t>总投资</w:t>
            </w:r>
          </w:p>
          <w:p>
            <w:pPr>
              <w:jc w:val="center"/>
              <w:rPr>
                <w:rFonts w:ascii="宋体" w:hAnsi="宋体" w:eastAsia="方正黑体_GBK"/>
                <w:szCs w:val="21"/>
              </w:rPr>
            </w:pPr>
            <w:r>
              <w:rPr>
                <w:rFonts w:hint="eastAsia" w:ascii="宋体" w:hAnsi="宋体" w:eastAsia="方正黑体_GBK"/>
                <w:szCs w:val="21"/>
              </w:rPr>
              <w:t>（万元）</w:t>
            </w:r>
          </w:p>
        </w:tc>
        <w:tc>
          <w:tcPr>
            <w:tcW w:w="398" w:type="pct"/>
            <w:noWrap w:val="0"/>
            <w:tcMar>
              <w:left w:w="17" w:type="dxa"/>
              <w:right w:w="17" w:type="dxa"/>
            </w:tcMar>
            <w:vAlign w:val="center"/>
          </w:tcPr>
          <w:p>
            <w:pPr>
              <w:jc w:val="center"/>
              <w:rPr>
                <w:rFonts w:ascii="宋体" w:hAnsi="宋体" w:eastAsia="方正黑体_GBK"/>
                <w:szCs w:val="21"/>
              </w:rPr>
            </w:pPr>
            <w:r>
              <w:rPr>
                <w:rFonts w:hint="eastAsia" w:ascii="宋体" w:hAnsi="宋体" w:eastAsia="方正黑体_GBK"/>
                <w:szCs w:val="21"/>
              </w:rPr>
              <w:t>主管（责任）部门</w:t>
            </w:r>
          </w:p>
        </w:tc>
        <w:tc>
          <w:tcPr>
            <w:tcW w:w="329" w:type="pct"/>
            <w:noWrap w:val="0"/>
            <w:tcMar>
              <w:left w:w="17" w:type="dxa"/>
              <w:right w:w="17" w:type="dxa"/>
            </w:tcMar>
            <w:vAlign w:val="center"/>
          </w:tcPr>
          <w:p>
            <w:pPr>
              <w:jc w:val="center"/>
              <w:rPr>
                <w:rFonts w:hint="eastAsia" w:ascii="宋体" w:hAnsi="宋体" w:eastAsia="方正黑体_GBK"/>
                <w:szCs w:val="21"/>
              </w:rPr>
            </w:pPr>
            <w:r>
              <w:rPr>
                <w:rFonts w:hint="eastAsia" w:ascii="宋体" w:hAnsi="宋体" w:eastAsia="方正黑体_GBK"/>
                <w:szCs w:val="21"/>
              </w:rPr>
              <w:t>实施</w:t>
            </w:r>
          </w:p>
          <w:p>
            <w:pPr>
              <w:jc w:val="center"/>
              <w:rPr>
                <w:rFonts w:ascii="宋体" w:hAnsi="宋体" w:eastAsia="方正黑体_GBK"/>
                <w:szCs w:val="21"/>
              </w:rPr>
            </w:pPr>
            <w:r>
              <w:rPr>
                <w:rFonts w:hint="eastAsia" w:ascii="宋体" w:hAnsi="宋体" w:eastAsia="方正黑体_GBK"/>
                <w:szCs w:val="21"/>
              </w:rPr>
              <w:t>计划</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35" w:hRule="atLeast"/>
          <w:jc w:val="center"/>
        </w:trPr>
        <w:tc>
          <w:tcPr>
            <w:tcW w:w="175" w:type="pct"/>
            <w:tcBorders>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1</w:t>
            </w:r>
          </w:p>
        </w:tc>
        <w:tc>
          <w:tcPr>
            <w:tcW w:w="351" w:type="pct"/>
            <w:tcBorders>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黔江</w:t>
            </w:r>
            <w:r>
              <w:rPr>
                <w:rFonts w:hint="eastAsia" w:ascii="Times New Roman" w:hAnsi="Times New Roman" w:eastAsia="方正仿宋_GBK" w:cs="方正仿宋_GBK"/>
                <w:kern w:val="0"/>
                <w:szCs w:val="21"/>
                <w:lang w:bidi="ar"/>
              </w:rPr>
              <w:t>5</w:t>
            </w:r>
            <w:r>
              <w:rPr>
                <w:rFonts w:hint="eastAsia" w:ascii="宋体" w:hAnsi="宋体" w:eastAsia="方正仿宋_GBK" w:cs="方正仿宋_GBK"/>
                <w:kern w:val="0"/>
                <w:szCs w:val="21"/>
                <w:lang w:bidi="ar"/>
              </w:rPr>
              <w:t>G网络建设</w:t>
            </w:r>
          </w:p>
        </w:tc>
        <w:tc>
          <w:tcPr>
            <w:tcW w:w="303" w:type="pct"/>
            <w:tcBorders>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信息基础设施</w:t>
            </w:r>
          </w:p>
        </w:tc>
        <w:tc>
          <w:tcPr>
            <w:tcW w:w="312" w:type="pct"/>
            <w:tcBorders>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新型网络基础设施</w:t>
            </w:r>
          </w:p>
        </w:tc>
        <w:tc>
          <w:tcPr>
            <w:tcW w:w="392" w:type="pct"/>
            <w:tcBorders>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基础网络设施</w:t>
            </w:r>
          </w:p>
        </w:tc>
        <w:tc>
          <w:tcPr>
            <w:tcW w:w="616" w:type="pct"/>
            <w:tcBorders>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中国电信黔江公司、中国移动黔江公司、中国联通黔江分公司、中国铁塔黔江分公司、黔江区通信发展办公室</w:t>
            </w:r>
          </w:p>
        </w:tc>
        <w:tc>
          <w:tcPr>
            <w:tcW w:w="481" w:type="pct"/>
            <w:tcBorders>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2020</w:t>
            </w:r>
            <w:r>
              <w:rPr>
                <w:rFonts w:hint="eastAsia" w:ascii="宋体" w:hAnsi="宋体" w:eastAsia="方正仿宋_GBK" w:cs="方正仿宋_GBK"/>
                <w:kern w:val="0"/>
                <w:szCs w:val="21"/>
                <w:lang w:bidi="ar"/>
              </w:rPr>
              <w:t>-</w:t>
            </w:r>
            <w:r>
              <w:rPr>
                <w:rStyle w:val="33"/>
                <w:rFonts w:hint="eastAsia" w:eastAsia="方正仿宋_GBK" w:cs="方正仿宋_GBK"/>
                <w:color w:val="auto"/>
                <w:lang w:bidi="ar"/>
              </w:rPr>
              <w:t>2025</w:t>
            </w:r>
            <w:r>
              <w:rPr>
                <w:rStyle w:val="30"/>
                <w:rFonts w:hint="eastAsia" w:ascii="宋体" w:hAnsi="宋体" w:eastAsia="方正仿宋_GBK" w:cs="方正仿宋_GBK"/>
                <w:color w:val="auto"/>
                <w:lang w:bidi="ar"/>
              </w:rPr>
              <w:t>年</w:t>
            </w:r>
          </w:p>
        </w:tc>
        <w:tc>
          <w:tcPr>
            <w:tcW w:w="1078" w:type="pct"/>
            <w:tcBorders>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新建或改建</w:t>
            </w:r>
            <w:r>
              <w:rPr>
                <w:rFonts w:hint="eastAsia" w:ascii="Times New Roman" w:hAnsi="Times New Roman" w:eastAsia="方正仿宋_GBK" w:cs="方正仿宋_GBK"/>
                <w:kern w:val="0"/>
                <w:szCs w:val="21"/>
                <w:lang w:bidi="ar"/>
              </w:rPr>
              <w:t>5</w:t>
            </w:r>
            <w:r>
              <w:rPr>
                <w:rFonts w:hint="eastAsia" w:ascii="宋体" w:hAnsi="宋体" w:eastAsia="方正仿宋_GBK" w:cs="方正仿宋_GBK"/>
                <w:kern w:val="0"/>
                <w:szCs w:val="21"/>
                <w:lang w:bidi="ar"/>
              </w:rPr>
              <w:t>G基站</w:t>
            </w:r>
            <w:r>
              <w:rPr>
                <w:rFonts w:hint="eastAsia" w:ascii="Times New Roman" w:hAnsi="Times New Roman" w:eastAsia="方正仿宋_GBK" w:cs="方正仿宋_GBK"/>
                <w:kern w:val="0"/>
                <w:szCs w:val="21"/>
                <w:lang w:bidi="ar"/>
              </w:rPr>
              <w:t>2000</w:t>
            </w:r>
            <w:r>
              <w:rPr>
                <w:rFonts w:hint="eastAsia" w:ascii="宋体" w:hAnsi="宋体" w:eastAsia="方正仿宋_GBK" w:cs="方正仿宋_GBK"/>
                <w:kern w:val="0"/>
                <w:szCs w:val="21"/>
                <w:lang w:bidi="ar"/>
              </w:rPr>
              <w:t>个；新增改造机房</w:t>
            </w:r>
            <w:r>
              <w:rPr>
                <w:rFonts w:hint="eastAsia" w:ascii="Times New Roman" w:hAnsi="Times New Roman" w:eastAsia="方正仿宋_GBK" w:cs="方正仿宋_GBK"/>
                <w:kern w:val="0"/>
                <w:szCs w:val="21"/>
                <w:lang w:bidi="ar"/>
              </w:rPr>
              <w:t>300</w:t>
            </w:r>
            <w:r>
              <w:rPr>
                <w:rFonts w:hint="eastAsia" w:ascii="宋体" w:hAnsi="宋体" w:eastAsia="方正仿宋_GBK" w:cs="方正仿宋_GBK"/>
                <w:kern w:val="0"/>
                <w:szCs w:val="21"/>
                <w:lang w:bidi="ar"/>
              </w:rPr>
              <w:t>个。</w:t>
            </w:r>
          </w:p>
        </w:tc>
        <w:tc>
          <w:tcPr>
            <w:tcW w:w="240" w:type="pct"/>
            <w:tcBorders>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在建</w:t>
            </w:r>
          </w:p>
        </w:tc>
        <w:tc>
          <w:tcPr>
            <w:tcW w:w="325" w:type="pct"/>
            <w:tcBorders>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35000</w:t>
            </w:r>
          </w:p>
        </w:tc>
        <w:tc>
          <w:tcPr>
            <w:tcW w:w="398" w:type="pct"/>
            <w:tcBorders>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w:t>
            </w:r>
            <w:r>
              <w:rPr>
                <w:rStyle w:val="30"/>
                <w:rFonts w:hint="eastAsia" w:ascii="宋体" w:hAnsi="宋体" w:eastAsia="方正仿宋_GBK" w:cs="方正仿宋_GBK"/>
                <w:color w:val="auto"/>
                <w:lang w:bidi="ar"/>
              </w:rPr>
              <w:t>经济信息委</w:t>
            </w:r>
          </w:p>
        </w:tc>
        <w:tc>
          <w:tcPr>
            <w:tcW w:w="329" w:type="pct"/>
            <w:tcBorders>
              <w:bottom w:val="single" w:color="auto" w:sz="4" w:space="0"/>
            </w:tcBorders>
            <w:noWrap w:val="0"/>
            <w:tcMar>
              <w:left w:w="17" w:type="dxa"/>
              <w:right w:w="17" w:type="dxa"/>
            </w:tcMar>
            <w:vAlign w:val="center"/>
          </w:tcPr>
          <w:p>
            <w:pPr>
              <w:jc w:val="center"/>
              <w:textAlignment w:val="bottom"/>
              <w:rPr>
                <w:rFonts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一期、二期、三期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86" w:hRule="atLeast"/>
          <w:jc w:val="center"/>
        </w:trPr>
        <w:tc>
          <w:tcPr>
            <w:tcW w:w="175"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w:t>
            </w:r>
          </w:p>
        </w:tc>
        <w:tc>
          <w:tcPr>
            <w:tcW w:w="351"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5</w:t>
            </w:r>
            <w:r>
              <w:rPr>
                <w:rFonts w:hint="eastAsia" w:ascii="宋体" w:hAnsi="宋体" w:eastAsia="方正仿宋_GBK" w:cs="方正仿宋_GBK"/>
                <w:kern w:val="0"/>
                <w:szCs w:val="21"/>
                <w:lang w:bidi="ar"/>
              </w:rPr>
              <w:t>G基站配套建设</w:t>
            </w:r>
          </w:p>
        </w:tc>
        <w:tc>
          <w:tcPr>
            <w:tcW w:w="303"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信息基础设施</w:t>
            </w:r>
          </w:p>
        </w:tc>
        <w:tc>
          <w:tcPr>
            <w:tcW w:w="312"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新型网络基础设施</w:t>
            </w:r>
          </w:p>
        </w:tc>
        <w:tc>
          <w:tcPr>
            <w:tcW w:w="392"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基础网络设施</w:t>
            </w:r>
          </w:p>
        </w:tc>
        <w:tc>
          <w:tcPr>
            <w:tcW w:w="616"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中国电信黔江公司、中国移动黔江公司、中国联通黔江分公司、中国铁塔黔江分公司、黔江区通信发展办公室</w:t>
            </w:r>
          </w:p>
        </w:tc>
        <w:tc>
          <w:tcPr>
            <w:tcW w:w="481"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2020</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2025</w:t>
            </w:r>
            <w:r>
              <w:rPr>
                <w:rFonts w:hint="eastAsia" w:ascii="宋体" w:hAnsi="宋体" w:eastAsia="方正仿宋_GBK" w:cs="方正仿宋_GBK"/>
                <w:kern w:val="0"/>
                <w:szCs w:val="21"/>
                <w:lang w:bidi="ar"/>
              </w:rPr>
              <w:t>年</w:t>
            </w:r>
          </w:p>
        </w:tc>
        <w:tc>
          <w:tcPr>
            <w:tcW w:w="1078"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新建</w:t>
            </w:r>
            <w:r>
              <w:rPr>
                <w:rStyle w:val="30"/>
                <w:rFonts w:hint="eastAsia" w:ascii="Times New Roman" w:hAnsi="Times New Roman" w:eastAsia="方正仿宋_GBK" w:cs="方正仿宋_GBK"/>
                <w:color w:val="auto"/>
                <w:lang w:bidi="ar"/>
              </w:rPr>
              <w:t>2000</w:t>
            </w:r>
            <w:r>
              <w:rPr>
                <w:rStyle w:val="30"/>
                <w:rFonts w:hint="eastAsia" w:ascii="宋体" w:hAnsi="宋体" w:eastAsia="方正仿宋_GBK" w:cs="方正仿宋_GBK"/>
                <w:color w:val="auto"/>
                <w:lang w:bidi="ar"/>
              </w:rPr>
              <w:t>个基站天面挂载及动力配套。</w:t>
            </w:r>
          </w:p>
        </w:tc>
        <w:tc>
          <w:tcPr>
            <w:tcW w:w="240"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在建</w:t>
            </w:r>
          </w:p>
        </w:tc>
        <w:tc>
          <w:tcPr>
            <w:tcW w:w="325"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15000</w:t>
            </w:r>
          </w:p>
        </w:tc>
        <w:tc>
          <w:tcPr>
            <w:tcW w:w="398"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w:t>
            </w:r>
            <w:r>
              <w:rPr>
                <w:rStyle w:val="30"/>
                <w:rFonts w:hint="eastAsia" w:ascii="宋体" w:hAnsi="宋体" w:eastAsia="方正仿宋_GBK" w:cs="方正仿宋_GBK"/>
                <w:color w:val="auto"/>
                <w:lang w:bidi="ar"/>
              </w:rPr>
              <w:t>经济信息委</w:t>
            </w:r>
          </w:p>
        </w:tc>
        <w:tc>
          <w:tcPr>
            <w:tcW w:w="329"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一期、二期、三期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778" w:hRule="atLeast"/>
          <w:jc w:val="center"/>
        </w:trPr>
        <w:tc>
          <w:tcPr>
            <w:tcW w:w="175"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3</w:t>
            </w:r>
          </w:p>
        </w:tc>
        <w:tc>
          <w:tcPr>
            <w:tcW w:w="351"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千兆光纤宽带网络</w:t>
            </w:r>
          </w:p>
        </w:tc>
        <w:tc>
          <w:tcPr>
            <w:tcW w:w="303"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信息基础设施</w:t>
            </w:r>
          </w:p>
        </w:tc>
        <w:tc>
          <w:tcPr>
            <w:tcW w:w="312"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新型网络基础设施</w:t>
            </w:r>
          </w:p>
        </w:tc>
        <w:tc>
          <w:tcPr>
            <w:tcW w:w="392"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基础网络设施</w:t>
            </w:r>
          </w:p>
        </w:tc>
        <w:tc>
          <w:tcPr>
            <w:tcW w:w="616"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中国电信黔江公司、中国移动黔江公司、中国联通黔江分公司，黔江区通信发展办公室</w:t>
            </w:r>
          </w:p>
        </w:tc>
        <w:tc>
          <w:tcPr>
            <w:tcW w:w="481"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2020</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2025</w:t>
            </w:r>
            <w:r>
              <w:rPr>
                <w:rFonts w:hint="eastAsia" w:ascii="宋体" w:hAnsi="宋体" w:eastAsia="方正仿宋_GBK" w:cs="方正仿宋_GBK"/>
                <w:kern w:val="0"/>
                <w:szCs w:val="21"/>
                <w:lang w:bidi="ar"/>
              </w:rPr>
              <w:t>年</w:t>
            </w:r>
          </w:p>
        </w:tc>
        <w:tc>
          <w:tcPr>
            <w:tcW w:w="1078"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推进全区千兆宽带建设。实现工业园区、商区及景区等重点场所千兆宽带全覆盖。</w:t>
            </w:r>
          </w:p>
        </w:tc>
        <w:tc>
          <w:tcPr>
            <w:tcW w:w="240"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在建</w:t>
            </w:r>
          </w:p>
        </w:tc>
        <w:tc>
          <w:tcPr>
            <w:tcW w:w="325"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2000</w:t>
            </w:r>
          </w:p>
        </w:tc>
        <w:tc>
          <w:tcPr>
            <w:tcW w:w="398"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w:t>
            </w:r>
            <w:r>
              <w:rPr>
                <w:rStyle w:val="30"/>
                <w:rFonts w:hint="eastAsia" w:ascii="宋体" w:hAnsi="宋体" w:eastAsia="方正仿宋_GBK" w:cs="方正仿宋_GBK"/>
                <w:color w:val="auto"/>
                <w:lang w:bidi="ar"/>
              </w:rPr>
              <w:t>经济信息委</w:t>
            </w:r>
          </w:p>
        </w:tc>
        <w:tc>
          <w:tcPr>
            <w:tcW w:w="329"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一期、二期、三期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422" w:hRule="atLeast"/>
          <w:jc w:val="center"/>
        </w:trPr>
        <w:tc>
          <w:tcPr>
            <w:tcW w:w="175"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4</w:t>
            </w:r>
          </w:p>
        </w:tc>
        <w:tc>
          <w:tcPr>
            <w:tcW w:w="351"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智能无线局域网建设</w:t>
            </w:r>
          </w:p>
        </w:tc>
        <w:tc>
          <w:tcPr>
            <w:tcW w:w="303"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信息基础设施</w:t>
            </w:r>
          </w:p>
        </w:tc>
        <w:tc>
          <w:tcPr>
            <w:tcW w:w="312"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新型网络基础设施</w:t>
            </w:r>
          </w:p>
        </w:tc>
        <w:tc>
          <w:tcPr>
            <w:tcW w:w="392"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基础网络设施</w:t>
            </w:r>
          </w:p>
        </w:tc>
        <w:tc>
          <w:tcPr>
            <w:tcW w:w="616"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中国电信黔江公司、中国移动黔江公司、中国联通黔江分公司，黔江区通信发展办公室</w:t>
            </w:r>
          </w:p>
        </w:tc>
        <w:tc>
          <w:tcPr>
            <w:tcW w:w="481"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2023</w:t>
            </w:r>
            <w:r>
              <w:rPr>
                <w:rFonts w:hint="eastAsia" w:ascii="宋体" w:hAnsi="宋体" w:eastAsia="方正仿宋_GBK" w:cs="方正仿宋_GBK"/>
                <w:kern w:val="0"/>
                <w:szCs w:val="21"/>
                <w:lang w:bidi="ar"/>
              </w:rPr>
              <w:t>年</w:t>
            </w:r>
          </w:p>
        </w:tc>
        <w:tc>
          <w:tcPr>
            <w:tcW w:w="1078"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建成全区公共区域免费</w:t>
            </w:r>
            <w:r>
              <w:rPr>
                <w:rStyle w:val="33"/>
                <w:rFonts w:hint="eastAsia" w:eastAsia="方正仿宋_GBK" w:cs="方正仿宋_GBK"/>
                <w:color w:val="auto"/>
                <w:lang w:bidi="ar"/>
              </w:rPr>
              <w:t>Wi-Fi</w:t>
            </w:r>
            <w:r>
              <w:rPr>
                <w:rStyle w:val="30"/>
                <w:rFonts w:hint="eastAsia" w:ascii="宋体" w:hAnsi="宋体" w:eastAsia="方正仿宋_GBK" w:cs="方正仿宋_GBK"/>
                <w:color w:val="auto"/>
                <w:lang w:bidi="ar"/>
              </w:rPr>
              <w:t>局域网，并接入全市统一的爱重庆免费</w:t>
            </w:r>
            <w:r>
              <w:rPr>
                <w:rStyle w:val="33"/>
                <w:rFonts w:hint="eastAsia" w:eastAsia="方正仿宋_GBK" w:cs="方正仿宋_GBK"/>
                <w:color w:val="auto"/>
                <w:lang w:bidi="ar"/>
              </w:rPr>
              <w:t>Wi-Fi</w:t>
            </w:r>
            <w:r>
              <w:rPr>
                <w:rStyle w:val="30"/>
                <w:rFonts w:hint="eastAsia" w:ascii="宋体" w:hAnsi="宋体" w:eastAsia="方正仿宋_GBK" w:cs="方正仿宋_GBK"/>
                <w:color w:val="auto"/>
                <w:lang w:bidi="ar"/>
              </w:rPr>
              <w:t>运营管理平台，实现全区</w:t>
            </w:r>
            <w:r>
              <w:rPr>
                <w:rStyle w:val="33"/>
                <w:rFonts w:hint="eastAsia" w:eastAsia="方正仿宋_GBK" w:cs="方正仿宋_GBK"/>
                <w:color w:val="auto"/>
                <w:lang w:bidi="ar"/>
              </w:rPr>
              <w:t>3</w:t>
            </w:r>
            <w:r>
              <w:rPr>
                <w:rStyle w:val="33"/>
                <w:rFonts w:hint="eastAsia" w:ascii="宋体" w:hAnsi="宋体" w:eastAsia="方正仿宋_GBK" w:cs="方正仿宋_GBK"/>
                <w:color w:val="auto"/>
                <w:lang w:bidi="ar"/>
              </w:rPr>
              <w:t>A</w:t>
            </w:r>
            <w:r>
              <w:rPr>
                <w:rStyle w:val="30"/>
                <w:rFonts w:hint="eastAsia" w:ascii="宋体" w:hAnsi="宋体" w:eastAsia="方正仿宋_GBK" w:cs="方正仿宋_GBK"/>
                <w:color w:val="auto"/>
                <w:lang w:bidi="ar"/>
              </w:rPr>
              <w:t>以上旅游景区、主要行政服务大厅、核心商圈、二甲以上医院、星级酒店等公共服务场所免费</w:t>
            </w:r>
            <w:r>
              <w:rPr>
                <w:rStyle w:val="33"/>
                <w:rFonts w:hint="eastAsia" w:eastAsia="方正仿宋_GBK" w:cs="方正仿宋_GBK"/>
                <w:color w:val="auto"/>
                <w:lang w:bidi="ar"/>
              </w:rPr>
              <w:t>Wi-Fi</w:t>
            </w:r>
            <w:r>
              <w:rPr>
                <w:rStyle w:val="30"/>
                <w:rFonts w:hint="eastAsia" w:ascii="宋体" w:hAnsi="宋体" w:eastAsia="方正仿宋_GBK" w:cs="方正仿宋_GBK"/>
                <w:color w:val="auto"/>
                <w:lang w:bidi="ar"/>
              </w:rPr>
              <w:t>覆盖。</w:t>
            </w:r>
          </w:p>
        </w:tc>
        <w:tc>
          <w:tcPr>
            <w:tcW w:w="240"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在建</w:t>
            </w:r>
          </w:p>
        </w:tc>
        <w:tc>
          <w:tcPr>
            <w:tcW w:w="325"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10000</w:t>
            </w:r>
          </w:p>
        </w:tc>
        <w:tc>
          <w:tcPr>
            <w:tcW w:w="398"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区大数据发展局</w:t>
            </w:r>
          </w:p>
        </w:tc>
        <w:tc>
          <w:tcPr>
            <w:tcW w:w="329"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728" w:hRule="atLeast"/>
          <w:jc w:val="center"/>
        </w:trPr>
        <w:tc>
          <w:tcPr>
            <w:tcW w:w="175"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5</w:t>
            </w:r>
          </w:p>
        </w:tc>
        <w:tc>
          <w:tcPr>
            <w:tcW w:w="351"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互联网协议第六版（</w:t>
            </w:r>
            <w:r>
              <w:rPr>
                <w:rStyle w:val="33"/>
                <w:rFonts w:hint="eastAsia" w:ascii="宋体" w:hAnsi="宋体" w:eastAsia="方正仿宋_GBK" w:cs="方正仿宋_GBK"/>
                <w:color w:val="auto"/>
                <w:kern w:val="0"/>
                <w:lang w:bidi="ar"/>
              </w:rPr>
              <w:t>IPv</w:t>
            </w:r>
            <w:r>
              <w:rPr>
                <w:rStyle w:val="33"/>
                <w:rFonts w:hint="eastAsia" w:eastAsia="方正仿宋_GBK" w:cs="方正仿宋_GBK"/>
                <w:color w:val="auto"/>
                <w:kern w:val="0"/>
                <w:lang w:bidi="ar"/>
              </w:rPr>
              <w:t>6</w:t>
            </w:r>
            <w:r>
              <w:rPr>
                <w:rStyle w:val="30"/>
                <w:rFonts w:hint="eastAsia" w:ascii="宋体" w:hAnsi="宋体" w:eastAsia="方正仿宋_GBK" w:cs="方正仿宋_GBK"/>
                <w:color w:val="auto"/>
                <w:kern w:val="0"/>
                <w:lang w:bidi="ar"/>
              </w:rPr>
              <w:t>）规模部署工程</w:t>
            </w:r>
          </w:p>
        </w:tc>
        <w:tc>
          <w:tcPr>
            <w:tcW w:w="303"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信息基础设施</w:t>
            </w:r>
          </w:p>
        </w:tc>
        <w:tc>
          <w:tcPr>
            <w:tcW w:w="312"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信息安全基础设施</w:t>
            </w:r>
          </w:p>
        </w:tc>
        <w:tc>
          <w:tcPr>
            <w:tcW w:w="392"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信息安全监测平台</w:t>
            </w:r>
          </w:p>
        </w:tc>
        <w:tc>
          <w:tcPr>
            <w:tcW w:w="616"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中国电信黔江公司、中国移动黔江公司、中国联通黔江分公司，黔江区通信发展办公室</w:t>
            </w:r>
          </w:p>
        </w:tc>
        <w:tc>
          <w:tcPr>
            <w:tcW w:w="481"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Times New Roman" w:hAnsi="Times New Roman" w:eastAsia="方正仿宋_GBK" w:cs="方正仿宋_GBK"/>
                <w:kern w:val="0"/>
                <w:szCs w:val="21"/>
                <w:lang w:bidi="ar"/>
              </w:rPr>
              <w:t>2020</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2023</w:t>
            </w:r>
            <w:r>
              <w:rPr>
                <w:rFonts w:hint="eastAsia" w:ascii="宋体" w:hAnsi="宋体" w:eastAsia="方正仿宋_GBK" w:cs="方正仿宋_GBK"/>
                <w:kern w:val="0"/>
                <w:szCs w:val="21"/>
                <w:lang w:bidi="ar"/>
              </w:rPr>
              <w:t>年</w:t>
            </w:r>
          </w:p>
        </w:tc>
        <w:tc>
          <w:tcPr>
            <w:tcW w:w="1078"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加快推进互联网协议第六版（</w:t>
            </w:r>
            <w:r>
              <w:rPr>
                <w:rStyle w:val="33"/>
                <w:rFonts w:hint="eastAsia" w:ascii="宋体" w:hAnsi="宋体" w:eastAsia="方正仿宋_GBK" w:cs="方正仿宋_GBK"/>
                <w:color w:val="auto"/>
                <w:kern w:val="0"/>
                <w:lang w:bidi="ar"/>
              </w:rPr>
              <w:t>IPv</w:t>
            </w:r>
            <w:r>
              <w:rPr>
                <w:rStyle w:val="33"/>
                <w:rFonts w:hint="eastAsia" w:eastAsia="方正仿宋_GBK" w:cs="方正仿宋_GBK"/>
                <w:color w:val="auto"/>
                <w:kern w:val="0"/>
                <w:lang w:bidi="ar"/>
              </w:rPr>
              <w:t>6</w:t>
            </w:r>
            <w:r>
              <w:rPr>
                <w:rStyle w:val="30"/>
                <w:rFonts w:hint="eastAsia" w:ascii="宋体" w:hAnsi="宋体" w:eastAsia="方正仿宋_GBK" w:cs="方正仿宋_GBK"/>
                <w:color w:val="auto"/>
                <w:kern w:val="0"/>
                <w:lang w:bidi="ar"/>
              </w:rPr>
              <w:t>）规模化部署，重点推进区级政府外网和新闻及广播电视媒体网站系统、重点内容分发网络和云服务平台的全部云产品、互联网骨干网及其网间互联体系、城域网和接入网、广电骨干网等由</w:t>
            </w:r>
            <w:r>
              <w:rPr>
                <w:rStyle w:val="33"/>
                <w:rFonts w:hint="eastAsia" w:ascii="宋体" w:hAnsi="宋体" w:eastAsia="方正仿宋_GBK" w:cs="方正仿宋_GBK"/>
                <w:color w:val="auto"/>
                <w:kern w:val="0"/>
                <w:lang w:bidi="ar"/>
              </w:rPr>
              <w:t>IPv</w:t>
            </w:r>
            <w:r>
              <w:rPr>
                <w:rStyle w:val="33"/>
                <w:rFonts w:hint="eastAsia" w:eastAsia="方正仿宋_GBK" w:cs="方正仿宋_GBK"/>
                <w:color w:val="auto"/>
                <w:kern w:val="0"/>
                <w:lang w:bidi="ar"/>
              </w:rPr>
              <w:t>4</w:t>
            </w:r>
            <w:r>
              <w:rPr>
                <w:rStyle w:val="30"/>
                <w:rFonts w:hint="eastAsia" w:ascii="宋体" w:hAnsi="宋体" w:eastAsia="方正仿宋_GBK" w:cs="方正仿宋_GBK"/>
                <w:color w:val="auto"/>
                <w:kern w:val="0"/>
                <w:lang w:bidi="ar"/>
              </w:rPr>
              <w:t>向</w:t>
            </w:r>
            <w:r>
              <w:rPr>
                <w:rStyle w:val="33"/>
                <w:rFonts w:hint="eastAsia" w:ascii="宋体" w:hAnsi="宋体" w:eastAsia="方正仿宋_GBK" w:cs="方正仿宋_GBK"/>
                <w:color w:val="auto"/>
                <w:kern w:val="0"/>
                <w:lang w:bidi="ar"/>
              </w:rPr>
              <w:t>IPv</w:t>
            </w:r>
            <w:r>
              <w:rPr>
                <w:rStyle w:val="33"/>
                <w:rFonts w:hint="eastAsia" w:eastAsia="方正仿宋_GBK" w:cs="方正仿宋_GBK"/>
                <w:color w:val="auto"/>
                <w:kern w:val="0"/>
                <w:lang w:bidi="ar"/>
              </w:rPr>
              <w:t>6</w:t>
            </w:r>
            <w:r>
              <w:rPr>
                <w:rStyle w:val="30"/>
                <w:rFonts w:hint="eastAsia" w:ascii="宋体" w:hAnsi="宋体" w:eastAsia="方正仿宋_GBK" w:cs="方正仿宋_GBK"/>
                <w:color w:val="auto"/>
                <w:kern w:val="0"/>
                <w:lang w:bidi="ar"/>
              </w:rPr>
              <w:t>演进升级。</w:t>
            </w:r>
          </w:p>
        </w:tc>
        <w:tc>
          <w:tcPr>
            <w:tcW w:w="240"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在建</w:t>
            </w:r>
          </w:p>
        </w:tc>
        <w:tc>
          <w:tcPr>
            <w:tcW w:w="325"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Times New Roman" w:hAnsi="Times New Roman" w:eastAsia="方正仿宋_GBK" w:cs="方正仿宋_GBK"/>
                <w:kern w:val="0"/>
                <w:szCs w:val="21"/>
                <w:lang w:bidi="ar"/>
              </w:rPr>
              <w:t>1000</w:t>
            </w:r>
          </w:p>
        </w:tc>
        <w:tc>
          <w:tcPr>
            <w:tcW w:w="398"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区委网信办</w:t>
            </w:r>
          </w:p>
        </w:tc>
        <w:tc>
          <w:tcPr>
            <w:tcW w:w="329"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323" w:hRule="atLeast"/>
          <w:jc w:val="center"/>
        </w:trPr>
        <w:tc>
          <w:tcPr>
            <w:tcW w:w="175"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6</w:t>
            </w:r>
          </w:p>
        </w:tc>
        <w:tc>
          <w:tcPr>
            <w:tcW w:w="351"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关键信息基础设施安全保卫系统</w:t>
            </w:r>
          </w:p>
        </w:tc>
        <w:tc>
          <w:tcPr>
            <w:tcW w:w="303"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信息基础设施</w:t>
            </w:r>
          </w:p>
        </w:tc>
        <w:tc>
          <w:tcPr>
            <w:tcW w:w="312"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信息安全基础设施</w:t>
            </w:r>
          </w:p>
        </w:tc>
        <w:tc>
          <w:tcPr>
            <w:tcW w:w="392"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信息安全监测平台</w:t>
            </w:r>
          </w:p>
        </w:tc>
        <w:tc>
          <w:tcPr>
            <w:tcW w:w="616"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待定</w:t>
            </w:r>
          </w:p>
        </w:tc>
        <w:tc>
          <w:tcPr>
            <w:tcW w:w="481"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2022</w:t>
            </w:r>
            <w:r>
              <w:rPr>
                <w:rFonts w:hint="eastAsia" w:ascii="宋体" w:hAnsi="宋体" w:eastAsia="方正仿宋_GBK" w:cs="方正仿宋_GBK"/>
                <w:kern w:val="0"/>
                <w:szCs w:val="21"/>
                <w:lang w:bidi="ar"/>
              </w:rPr>
              <w:t>年</w:t>
            </w:r>
          </w:p>
        </w:tc>
        <w:tc>
          <w:tcPr>
            <w:tcW w:w="1078"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对交通、金融、医疗、环保、能源等重点行业部门、重要企事业单位的关键信息基础开展安全检测和流量监测，汇聚各单位网络安全设备运行数据、承载的内容信息，及时发现问题隐患、安全线索。</w:t>
            </w:r>
          </w:p>
        </w:tc>
        <w:tc>
          <w:tcPr>
            <w:tcW w:w="240"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在建</w:t>
            </w:r>
          </w:p>
        </w:tc>
        <w:tc>
          <w:tcPr>
            <w:tcW w:w="325"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5000</w:t>
            </w:r>
          </w:p>
        </w:tc>
        <w:tc>
          <w:tcPr>
            <w:tcW w:w="398"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区公安局</w:t>
            </w:r>
          </w:p>
        </w:tc>
        <w:tc>
          <w:tcPr>
            <w:tcW w:w="329"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175"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7</w:t>
            </w:r>
          </w:p>
        </w:tc>
        <w:tc>
          <w:tcPr>
            <w:tcW w:w="351"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公共网络安全防护系统</w:t>
            </w:r>
          </w:p>
        </w:tc>
        <w:tc>
          <w:tcPr>
            <w:tcW w:w="303"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信息基础设施</w:t>
            </w:r>
          </w:p>
        </w:tc>
        <w:tc>
          <w:tcPr>
            <w:tcW w:w="312"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信息安全基础设施</w:t>
            </w:r>
          </w:p>
        </w:tc>
        <w:tc>
          <w:tcPr>
            <w:tcW w:w="392"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信息安全监测平台</w:t>
            </w:r>
          </w:p>
        </w:tc>
        <w:tc>
          <w:tcPr>
            <w:tcW w:w="616"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待定</w:t>
            </w:r>
          </w:p>
        </w:tc>
        <w:tc>
          <w:tcPr>
            <w:tcW w:w="481"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2022</w:t>
            </w:r>
            <w:r>
              <w:rPr>
                <w:rFonts w:hint="eastAsia" w:ascii="宋体" w:hAnsi="宋体" w:eastAsia="方正仿宋_GBK" w:cs="方正仿宋_GBK"/>
                <w:kern w:val="0"/>
                <w:szCs w:val="21"/>
                <w:lang w:bidi="ar"/>
              </w:rPr>
              <w:t>年</w:t>
            </w:r>
          </w:p>
        </w:tc>
        <w:tc>
          <w:tcPr>
            <w:tcW w:w="1078"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对群众生产生活密切相关的水、电、气等重要领域信息系统、大型互联网企业、物联网和工业互联网等开展网络安全监测预警，并督促整改，提升整体安全防护能力。</w:t>
            </w:r>
          </w:p>
        </w:tc>
        <w:tc>
          <w:tcPr>
            <w:tcW w:w="240"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在建</w:t>
            </w:r>
          </w:p>
        </w:tc>
        <w:tc>
          <w:tcPr>
            <w:tcW w:w="325"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1000</w:t>
            </w:r>
          </w:p>
        </w:tc>
        <w:tc>
          <w:tcPr>
            <w:tcW w:w="398"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区公安局</w:t>
            </w:r>
          </w:p>
        </w:tc>
        <w:tc>
          <w:tcPr>
            <w:tcW w:w="329"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175"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8</w:t>
            </w:r>
          </w:p>
        </w:tc>
        <w:tc>
          <w:tcPr>
            <w:tcW w:w="351"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城市物联网平台。</w:t>
            </w:r>
          </w:p>
        </w:tc>
        <w:tc>
          <w:tcPr>
            <w:tcW w:w="303"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信息基础设施</w:t>
            </w:r>
          </w:p>
        </w:tc>
        <w:tc>
          <w:tcPr>
            <w:tcW w:w="312"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新型网络基础设施</w:t>
            </w:r>
          </w:p>
        </w:tc>
        <w:tc>
          <w:tcPr>
            <w:tcW w:w="392"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基础网络设施</w:t>
            </w:r>
          </w:p>
        </w:tc>
        <w:tc>
          <w:tcPr>
            <w:tcW w:w="616"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待定</w:t>
            </w:r>
          </w:p>
        </w:tc>
        <w:tc>
          <w:tcPr>
            <w:tcW w:w="481"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2023</w:t>
            </w:r>
            <w:r>
              <w:rPr>
                <w:rFonts w:hint="eastAsia" w:ascii="宋体" w:hAnsi="宋体" w:eastAsia="方正仿宋_GBK" w:cs="方正仿宋_GBK"/>
                <w:kern w:val="0"/>
                <w:szCs w:val="21"/>
                <w:lang w:bidi="ar"/>
              </w:rPr>
              <w:t>年</w:t>
            </w:r>
          </w:p>
        </w:tc>
        <w:tc>
          <w:tcPr>
            <w:tcW w:w="1078"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建设视频共享交换平台、传感物联平台两部分。视频共享交换平台实现全区所有视频资源的汇聚共享，传感物联平台实现与全区所有要素类传感设备的对接。</w:t>
            </w:r>
          </w:p>
        </w:tc>
        <w:tc>
          <w:tcPr>
            <w:tcW w:w="240"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储备</w:t>
            </w:r>
          </w:p>
        </w:tc>
        <w:tc>
          <w:tcPr>
            <w:tcW w:w="325"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1000</w:t>
            </w:r>
          </w:p>
        </w:tc>
        <w:tc>
          <w:tcPr>
            <w:tcW w:w="398"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区大数据管理局</w:t>
            </w:r>
          </w:p>
        </w:tc>
        <w:tc>
          <w:tcPr>
            <w:tcW w:w="329"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175"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9</w:t>
            </w:r>
          </w:p>
        </w:tc>
        <w:tc>
          <w:tcPr>
            <w:tcW w:w="351"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黔江城区基础设施物联网建设示范项目</w:t>
            </w:r>
          </w:p>
        </w:tc>
        <w:tc>
          <w:tcPr>
            <w:tcW w:w="303"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信息基础设施</w:t>
            </w:r>
          </w:p>
        </w:tc>
        <w:tc>
          <w:tcPr>
            <w:tcW w:w="312"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新型网络基础设施</w:t>
            </w:r>
          </w:p>
        </w:tc>
        <w:tc>
          <w:tcPr>
            <w:tcW w:w="392"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基础网络设施</w:t>
            </w:r>
          </w:p>
        </w:tc>
        <w:tc>
          <w:tcPr>
            <w:tcW w:w="616"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重庆九钰智慧科技有限公司</w:t>
            </w:r>
          </w:p>
        </w:tc>
        <w:tc>
          <w:tcPr>
            <w:tcW w:w="481"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2023</w:t>
            </w:r>
            <w:r>
              <w:rPr>
                <w:rFonts w:hint="eastAsia" w:ascii="宋体" w:hAnsi="宋体" w:eastAsia="方正仿宋_GBK" w:cs="方正仿宋_GBK"/>
                <w:kern w:val="0"/>
                <w:szCs w:val="21"/>
                <w:lang w:bidi="ar"/>
              </w:rPr>
              <w:t>年</w:t>
            </w:r>
          </w:p>
        </w:tc>
        <w:tc>
          <w:tcPr>
            <w:tcW w:w="1078"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围绕三岔河片区建设城市信息模型（</w:t>
            </w:r>
            <w:r>
              <w:rPr>
                <w:rStyle w:val="33"/>
                <w:rFonts w:hint="eastAsia" w:ascii="宋体" w:hAnsi="宋体" w:eastAsia="方正仿宋_GBK" w:cs="方正仿宋_GBK"/>
                <w:color w:val="auto"/>
                <w:lang w:bidi="ar"/>
              </w:rPr>
              <w:t>CIM</w:t>
            </w:r>
            <w:r>
              <w:rPr>
                <w:rStyle w:val="30"/>
                <w:rFonts w:hint="eastAsia" w:ascii="宋体" w:hAnsi="宋体" w:eastAsia="方正仿宋_GBK" w:cs="方正仿宋_GBK"/>
                <w:color w:val="auto"/>
                <w:lang w:bidi="ar"/>
              </w:rPr>
              <w:t>）平台体系，推动物联网系统体系上线运营，逐步覆盖区主要商业街区。</w:t>
            </w:r>
          </w:p>
        </w:tc>
        <w:tc>
          <w:tcPr>
            <w:tcW w:w="240"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储备</w:t>
            </w:r>
          </w:p>
        </w:tc>
        <w:tc>
          <w:tcPr>
            <w:tcW w:w="325"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30000</w:t>
            </w:r>
          </w:p>
        </w:tc>
        <w:tc>
          <w:tcPr>
            <w:tcW w:w="398"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区经济信息委</w:t>
            </w:r>
          </w:p>
        </w:tc>
        <w:tc>
          <w:tcPr>
            <w:tcW w:w="329"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175" w:type="pct"/>
            <w:tcBorders>
              <w:top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10</w:t>
            </w:r>
          </w:p>
        </w:tc>
        <w:tc>
          <w:tcPr>
            <w:tcW w:w="351" w:type="pct"/>
            <w:tcBorders>
              <w:top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中国华录黔江数据湖科技园</w:t>
            </w:r>
          </w:p>
        </w:tc>
        <w:tc>
          <w:tcPr>
            <w:tcW w:w="303" w:type="pct"/>
            <w:tcBorders>
              <w:top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信息基础设施</w:t>
            </w:r>
          </w:p>
        </w:tc>
        <w:tc>
          <w:tcPr>
            <w:tcW w:w="312" w:type="pct"/>
            <w:tcBorders>
              <w:top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智能计算基础设施</w:t>
            </w:r>
          </w:p>
        </w:tc>
        <w:tc>
          <w:tcPr>
            <w:tcW w:w="392" w:type="pct"/>
            <w:tcBorders>
              <w:top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数据存储设施</w:t>
            </w:r>
          </w:p>
        </w:tc>
        <w:tc>
          <w:tcPr>
            <w:tcW w:w="616" w:type="pct"/>
            <w:tcBorders>
              <w:top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北京易华录信息技术股份公司</w:t>
            </w:r>
          </w:p>
        </w:tc>
        <w:tc>
          <w:tcPr>
            <w:tcW w:w="481" w:type="pct"/>
            <w:tcBorders>
              <w:top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年—</w:t>
            </w:r>
            <w:r>
              <w:rPr>
                <w:rStyle w:val="33"/>
                <w:rFonts w:hint="eastAsia" w:eastAsia="方正仿宋_GBK" w:cs="方正仿宋_GBK"/>
                <w:color w:val="auto"/>
                <w:lang w:bidi="ar"/>
              </w:rPr>
              <w:t>2025</w:t>
            </w:r>
            <w:r>
              <w:rPr>
                <w:rStyle w:val="30"/>
                <w:rFonts w:hint="eastAsia" w:ascii="宋体" w:hAnsi="宋体" w:eastAsia="方正仿宋_GBK" w:cs="方正仿宋_GBK"/>
                <w:color w:val="auto"/>
                <w:lang w:bidi="ar"/>
              </w:rPr>
              <w:t>年</w:t>
            </w:r>
          </w:p>
        </w:tc>
        <w:tc>
          <w:tcPr>
            <w:tcW w:w="1078" w:type="pct"/>
            <w:tcBorders>
              <w:top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建成数据湖基础设施、数据湖产业园</w:t>
            </w:r>
          </w:p>
        </w:tc>
        <w:tc>
          <w:tcPr>
            <w:tcW w:w="240" w:type="pct"/>
            <w:tcBorders>
              <w:top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新建</w:t>
            </w:r>
          </w:p>
        </w:tc>
        <w:tc>
          <w:tcPr>
            <w:tcW w:w="325" w:type="pct"/>
            <w:tcBorders>
              <w:top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300000</w:t>
            </w:r>
          </w:p>
        </w:tc>
        <w:tc>
          <w:tcPr>
            <w:tcW w:w="398" w:type="pct"/>
            <w:tcBorders>
              <w:top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正阳工业园区管委会</w:t>
            </w:r>
          </w:p>
        </w:tc>
        <w:tc>
          <w:tcPr>
            <w:tcW w:w="329" w:type="pct"/>
            <w:tcBorders>
              <w:top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一期、二期、三期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175"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11</w:t>
            </w:r>
          </w:p>
        </w:tc>
        <w:tc>
          <w:tcPr>
            <w:tcW w:w="351"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黔江区城市数智中枢</w:t>
            </w:r>
          </w:p>
        </w:tc>
        <w:tc>
          <w:tcPr>
            <w:tcW w:w="303"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信息基础设施</w:t>
            </w:r>
          </w:p>
        </w:tc>
        <w:tc>
          <w:tcPr>
            <w:tcW w:w="312"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智能计算基础设施</w:t>
            </w:r>
          </w:p>
        </w:tc>
        <w:tc>
          <w:tcPr>
            <w:tcW w:w="392"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数据存储设施</w:t>
            </w:r>
          </w:p>
        </w:tc>
        <w:tc>
          <w:tcPr>
            <w:tcW w:w="616"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区大数据中心</w:t>
            </w:r>
          </w:p>
        </w:tc>
        <w:tc>
          <w:tcPr>
            <w:tcW w:w="481"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2022</w:t>
            </w:r>
            <w:r>
              <w:rPr>
                <w:rFonts w:hint="eastAsia" w:ascii="宋体" w:hAnsi="宋体" w:eastAsia="方正仿宋_GBK" w:cs="方正仿宋_GBK"/>
                <w:kern w:val="0"/>
                <w:szCs w:val="21"/>
                <w:lang w:bidi="ar"/>
              </w:rPr>
              <w:t>年</w:t>
            </w:r>
          </w:p>
        </w:tc>
        <w:tc>
          <w:tcPr>
            <w:tcW w:w="1078"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建设云计算平台和服务器边缘计算节点；建设实现大数据资源中心、城市物联网平台、物联网采集体系、城市运行指挥中心及城市</w:t>
            </w:r>
            <w:r>
              <w:rPr>
                <w:rStyle w:val="33"/>
                <w:rFonts w:hint="eastAsia" w:eastAsia="方正仿宋_GBK" w:cs="方正仿宋_GBK"/>
                <w:color w:val="auto"/>
                <w:lang w:bidi="ar"/>
              </w:rPr>
              <w:t>APP</w:t>
            </w:r>
            <w:r>
              <w:rPr>
                <w:rStyle w:val="30"/>
                <w:rFonts w:hint="eastAsia" w:ascii="宋体" w:hAnsi="宋体" w:eastAsia="方正仿宋_GBK" w:cs="方正仿宋_GBK"/>
                <w:color w:val="auto"/>
                <w:lang w:bidi="ar"/>
              </w:rPr>
              <w:t>。</w:t>
            </w:r>
          </w:p>
        </w:tc>
        <w:tc>
          <w:tcPr>
            <w:tcW w:w="240"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新建</w:t>
            </w:r>
          </w:p>
        </w:tc>
        <w:tc>
          <w:tcPr>
            <w:tcW w:w="325"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11454</w:t>
            </w:r>
          </w:p>
        </w:tc>
        <w:tc>
          <w:tcPr>
            <w:tcW w:w="398"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区大数据管理局</w:t>
            </w:r>
          </w:p>
        </w:tc>
        <w:tc>
          <w:tcPr>
            <w:tcW w:w="329" w:type="pct"/>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175"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12</w:t>
            </w:r>
          </w:p>
        </w:tc>
        <w:tc>
          <w:tcPr>
            <w:tcW w:w="351"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重庆数据中心渝东南存储分中心</w:t>
            </w:r>
          </w:p>
        </w:tc>
        <w:tc>
          <w:tcPr>
            <w:tcW w:w="303"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信息基础设施</w:t>
            </w:r>
          </w:p>
        </w:tc>
        <w:tc>
          <w:tcPr>
            <w:tcW w:w="312"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智能计算基础设施</w:t>
            </w:r>
          </w:p>
        </w:tc>
        <w:tc>
          <w:tcPr>
            <w:tcW w:w="392"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数据存储设施</w:t>
            </w:r>
          </w:p>
        </w:tc>
        <w:tc>
          <w:tcPr>
            <w:tcW w:w="616"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正阳工业园区管委会、华录集团</w:t>
            </w:r>
          </w:p>
        </w:tc>
        <w:tc>
          <w:tcPr>
            <w:tcW w:w="481"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2025</w:t>
            </w:r>
            <w:r>
              <w:rPr>
                <w:rFonts w:hint="eastAsia" w:ascii="宋体" w:hAnsi="宋体" w:eastAsia="方正仿宋_GBK" w:cs="方正仿宋_GBK"/>
                <w:kern w:val="0"/>
                <w:szCs w:val="21"/>
                <w:lang w:bidi="ar"/>
              </w:rPr>
              <w:t>年</w:t>
            </w:r>
          </w:p>
        </w:tc>
        <w:tc>
          <w:tcPr>
            <w:tcW w:w="1078"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利用中国华录（重庆黔江）城市数据湖，建设区域数据存储分中心，为渝东南地区经济社会发展提供数据支撑作用，包括数据中心用地、机房装修、存储设备、供电、网络等内容建设。</w:t>
            </w:r>
          </w:p>
        </w:tc>
        <w:tc>
          <w:tcPr>
            <w:tcW w:w="240"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新建</w:t>
            </w:r>
          </w:p>
        </w:tc>
        <w:tc>
          <w:tcPr>
            <w:tcW w:w="325"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50000</w:t>
            </w:r>
          </w:p>
        </w:tc>
        <w:tc>
          <w:tcPr>
            <w:tcW w:w="398"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区大数据管理局</w:t>
            </w:r>
          </w:p>
        </w:tc>
        <w:tc>
          <w:tcPr>
            <w:tcW w:w="329" w:type="pct"/>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一期、二期、三期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825" w:hRule="atLeast"/>
          <w:jc w:val="center"/>
        </w:trPr>
        <w:tc>
          <w:tcPr>
            <w:tcW w:w="175"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13</w:t>
            </w:r>
          </w:p>
        </w:tc>
        <w:tc>
          <w:tcPr>
            <w:tcW w:w="351"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重庆水土数据中心异地灾备中心</w:t>
            </w:r>
          </w:p>
        </w:tc>
        <w:tc>
          <w:tcPr>
            <w:tcW w:w="303"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信息基础设施</w:t>
            </w:r>
          </w:p>
        </w:tc>
        <w:tc>
          <w:tcPr>
            <w:tcW w:w="312"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智能计算基础设施</w:t>
            </w:r>
          </w:p>
        </w:tc>
        <w:tc>
          <w:tcPr>
            <w:tcW w:w="392"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数据存储设施</w:t>
            </w:r>
          </w:p>
        </w:tc>
        <w:tc>
          <w:tcPr>
            <w:tcW w:w="616"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正阳工业园区管委会、华录集团</w:t>
            </w:r>
          </w:p>
        </w:tc>
        <w:tc>
          <w:tcPr>
            <w:tcW w:w="481"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2025</w:t>
            </w:r>
            <w:r>
              <w:rPr>
                <w:rFonts w:hint="eastAsia" w:ascii="宋体" w:hAnsi="宋体" w:eastAsia="方正仿宋_GBK" w:cs="方正仿宋_GBK"/>
                <w:kern w:val="0"/>
                <w:szCs w:val="21"/>
                <w:lang w:bidi="ar"/>
              </w:rPr>
              <w:t>年</w:t>
            </w:r>
          </w:p>
        </w:tc>
        <w:tc>
          <w:tcPr>
            <w:tcW w:w="1078"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建设承接水土数据中心异地灾备功能的光磁一体存储工程，利用黔江电力、气候、汉渝光缆一级节点等优势，建设重庆大数据灾备中心。</w:t>
            </w:r>
          </w:p>
        </w:tc>
        <w:tc>
          <w:tcPr>
            <w:tcW w:w="240"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新建</w:t>
            </w:r>
          </w:p>
        </w:tc>
        <w:tc>
          <w:tcPr>
            <w:tcW w:w="325"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100000</w:t>
            </w:r>
          </w:p>
        </w:tc>
        <w:tc>
          <w:tcPr>
            <w:tcW w:w="398"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区大数据管理局</w:t>
            </w:r>
          </w:p>
        </w:tc>
        <w:tc>
          <w:tcPr>
            <w:tcW w:w="329" w:type="pct"/>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一期、二期、三期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105" w:hRule="atLeast"/>
          <w:jc w:val="center"/>
        </w:trPr>
        <w:tc>
          <w:tcPr>
            <w:tcW w:w="175"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14</w:t>
            </w:r>
          </w:p>
        </w:tc>
        <w:tc>
          <w:tcPr>
            <w:tcW w:w="351"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黔江区农业“互联网</w:t>
            </w:r>
            <w:r>
              <w:rPr>
                <w:rStyle w:val="33"/>
                <w:rFonts w:hint="eastAsia" w:ascii="宋体" w:hAnsi="宋体" w:eastAsia="方正仿宋_GBK" w:cs="方正仿宋_GBK"/>
                <w:color w:val="auto"/>
                <w:lang w:bidi="ar"/>
              </w:rPr>
              <w:t>+</w:t>
            </w:r>
            <w:r>
              <w:rPr>
                <w:rStyle w:val="30"/>
                <w:rFonts w:hint="eastAsia" w:ascii="宋体" w:hAnsi="宋体" w:eastAsia="方正仿宋_GBK" w:cs="方正仿宋_GBK"/>
                <w:color w:val="auto"/>
                <w:lang w:bidi="ar"/>
              </w:rPr>
              <w:t>”示范项目</w:t>
            </w:r>
          </w:p>
        </w:tc>
        <w:tc>
          <w:tcPr>
            <w:tcW w:w="303"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转型促进基础设施</w:t>
            </w:r>
          </w:p>
        </w:tc>
        <w:tc>
          <w:tcPr>
            <w:tcW w:w="392"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农业互联网平台</w:t>
            </w:r>
          </w:p>
        </w:tc>
        <w:tc>
          <w:tcPr>
            <w:tcW w:w="616"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相关企业</w:t>
            </w:r>
          </w:p>
        </w:tc>
        <w:tc>
          <w:tcPr>
            <w:tcW w:w="481"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2025</w:t>
            </w:r>
            <w:r>
              <w:rPr>
                <w:rFonts w:hint="eastAsia" w:ascii="宋体" w:hAnsi="宋体" w:eastAsia="方正仿宋_GBK" w:cs="方正仿宋_GBK"/>
                <w:kern w:val="0"/>
                <w:szCs w:val="21"/>
                <w:lang w:bidi="ar"/>
              </w:rPr>
              <w:t>年</w:t>
            </w:r>
          </w:p>
        </w:tc>
        <w:tc>
          <w:tcPr>
            <w:tcW w:w="1078"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完善电子商务平台建设，深化电子商务进农村综合示范，实施“互联网</w:t>
            </w:r>
            <w:r>
              <w:rPr>
                <w:rStyle w:val="33"/>
                <w:rFonts w:hint="eastAsia" w:ascii="宋体" w:hAnsi="宋体" w:eastAsia="方正仿宋_GBK" w:cs="方正仿宋_GBK"/>
                <w:color w:val="auto"/>
                <w:lang w:bidi="ar"/>
              </w:rPr>
              <w:t>+</w:t>
            </w:r>
            <w:r>
              <w:rPr>
                <w:rStyle w:val="30"/>
                <w:rFonts w:hint="eastAsia" w:ascii="宋体" w:hAnsi="宋体" w:eastAsia="方正仿宋_GBK" w:cs="方正仿宋_GBK"/>
                <w:color w:val="auto"/>
                <w:lang w:bidi="ar"/>
              </w:rPr>
              <w:t>”农产品出村进城工程，打通农产品线上线下营销通道。发展共享农业、云农场等网络经营模式。</w:t>
            </w:r>
          </w:p>
        </w:tc>
        <w:tc>
          <w:tcPr>
            <w:tcW w:w="240"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储备</w:t>
            </w:r>
          </w:p>
        </w:tc>
        <w:tc>
          <w:tcPr>
            <w:tcW w:w="325"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3000</w:t>
            </w:r>
          </w:p>
        </w:tc>
        <w:tc>
          <w:tcPr>
            <w:tcW w:w="398"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区农业农村委</w:t>
            </w:r>
          </w:p>
        </w:tc>
        <w:tc>
          <w:tcPr>
            <w:tcW w:w="329" w:type="pct"/>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一期、二期、三期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175"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15</w:t>
            </w:r>
          </w:p>
        </w:tc>
        <w:tc>
          <w:tcPr>
            <w:tcW w:w="351"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农牧家禽养殖智慧化改造</w:t>
            </w:r>
          </w:p>
        </w:tc>
        <w:tc>
          <w:tcPr>
            <w:tcW w:w="303"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转型促进基础设施</w:t>
            </w:r>
          </w:p>
        </w:tc>
        <w:tc>
          <w:tcPr>
            <w:tcW w:w="392"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农业互联网平台</w:t>
            </w:r>
          </w:p>
        </w:tc>
        <w:tc>
          <w:tcPr>
            <w:tcW w:w="616"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相关企业</w:t>
            </w:r>
          </w:p>
        </w:tc>
        <w:tc>
          <w:tcPr>
            <w:tcW w:w="481"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2025</w:t>
            </w:r>
            <w:r>
              <w:rPr>
                <w:rFonts w:hint="eastAsia" w:ascii="宋体" w:hAnsi="宋体" w:eastAsia="方正仿宋_GBK" w:cs="方正仿宋_GBK"/>
                <w:kern w:val="0"/>
                <w:szCs w:val="21"/>
                <w:lang w:bidi="ar"/>
              </w:rPr>
              <w:t>年</w:t>
            </w:r>
          </w:p>
        </w:tc>
        <w:tc>
          <w:tcPr>
            <w:tcW w:w="1078"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新建设和改造一批</w:t>
            </w:r>
            <w:r>
              <w:rPr>
                <w:rStyle w:val="30"/>
                <w:rFonts w:hint="eastAsia" w:ascii="宋体" w:hAnsi="宋体" w:eastAsia="方正仿宋_GBK" w:cs="方正仿宋_GBK"/>
                <w:color w:val="auto"/>
                <w:lang w:bidi="ar"/>
              </w:rPr>
              <w:t>畜农牧、家禽智慧种养殖基地，构建基于物联网的养殖生产和管理系统，推进畜农牧家禽种养殖数字化、智能化。</w:t>
            </w:r>
          </w:p>
        </w:tc>
        <w:tc>
          <w:tcPr>
            <w:tcW w:w="240"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储备</w:t>
            </w:r>
          </w:p>
        </w:tc>
        <w:tc>
          <w:tcPr>
            <w:tcW w:w="325"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10000</w:t>
            </w:r>
          </w:p>
        </w:tc>
        <w:tc>
          <w:tcPr>
            <w:tcW w:w="398" w:type="pct"/>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区农业农村委</w:t>
            </w:r>
          </w:p>
        </w:tc>
        <w:tc>
          <w:tcPr>
            <w:tcW w:w="329" w:type="pct"/>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一期、二期、三期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62" w:hRule="atLeast"/>
          <w:jc w:val="center"/>
        </w:trPr>
        <w:tc>
          <w:tcPr>
            <w:tcW w:w="175" w:type="pct"/>
            <w:tcBorders>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16</w:t>
            </w:r>
          </w:p>
        </w:tc>
        <w:tc>
          <w:tcPr>
            <w:tcW w:w="351" w:type="pct"/>
            <w:tcBorders>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种植业信息化建设</w:t>
            </w:r>
          </w:p>
        </w:tc>
        <w:tc>
          <w:tcPr>
            <w:tcW w:w="303" w:type="pct"/>
            <w:tcBorders>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tcBorders>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转型促进基础设施</w:t>
            </w:r>
          </w:p>
        </w:tc>
        <w:tc>
          <w:tcPr>
            <w:tcW w:w="392" w:type="pct"/>
            <w:tcBorders>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农业互联网平台</w:t>
            </w:r>
          </w:p>
        </w:tc>
        <w:tc>
          <w:tcPr>
            <w:tcW w:w="616" w:type="pct"/>
            <w:tcBorders>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相关企业</w:t>
            </w:r>
          </w:p>
        </w:tc>
        <w:tc>
          <w:tcPr>
            <w:tcW w:w="481" w:type="pct"/>
            <w:tcBorders>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2025</w:t>
            </w:r>
            <w:r>
              <w:rPr>
                <w:rFonts w:hint="eastAsia" w:ascii="宋体" w:hAnsi="宋体" w:eastAsia="方正仿宋_GBK" w:cs="方正仿宋_GBK"/>
                <w:kern w:val="0"/>
                <w:szCs w:val="21"/>
                <w:lang w:bidi="ar"/>
              </w:rPr>
              <w:t>年</w:t>
            </w:r>
          </w:p>
        </w:tc>
        <w:tc>
          <w:tcPr>
            <w:tcW w:w="1078" w:type="pct"/>
            <w:tcBorders>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建设基于卫星遥感、航空遥感、地面物联网等手段</w:t>
            </w:r>
            <w:r>
              <w:rPr>
                <w:rStyle w:val="30"/>
                <w:rFonts w:hint="eastAsia" w:ascii="宋体" w:hAnsi="宋体" w:eastAsia="方正仿宋_GBK" w:cs="方正仿宋_GBK"/>
                <w:color w:val="auto"/>
                <w:lang w:bidi="ar"/>
              </w:rPr>
              <w:t>的动态监测系统，建设农业病虫害测报监测网络和数字植保防御体系，建设数字田园，推动智能感知、智能分析、智能控制技术与装备在大田种植和设施园艺上的集成应用，建设环境控制、水肥药精准施用、精准种植、农机智能作业与调度监控、智能分等分级决策系统，发展智能“车间农业”，实现种植业生产经营智能管理。</w:t>
            </w:r>
          </w:p>
        </w:tc>
        <w:tc>
          <w:tcPr>
            <w:tcW w:w="240" w:type="pct"/>
            <w:tcBorders>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储备</w:t>
            </w:r>
          </w:p>
        </w:tc>
        <w:tc>
          <w:tcPr>
            <w:tcW w:w="325" w:type="pct"/>
            <w:tcBorders>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3000</w:t>
            </w:r>
          </w:p>
        </w:tc>
        <w:tc>
          <w:tcPr>
            <w:tcW w:w="398" w:type="pct"/>
            <w:tcBorders>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区农业农村委</w:t>
            </w:r>
          </w:p>
        </w:tc>
        <w:tc>
          <w:tcPr>
            <w:tcW w:w="329" w:type="pct"/>
            <w:tcBorders>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一期、二期、三期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072" w:hRule="atLeast"/>
          <w:jc w:val="center"/>
        </w:trPr>
        <w:tc>
          <w:tcPr>
            <w:tcW w:w="175"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17</w:t>
            </w:r>
          </w:p>
        </w:tc>
        <w:tc>
          <w:tcPr>
            <w:tcW w:w="351"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仰头山现代农业园区猕猴桃智慧示范项目</w:t>
            </w:r>
          </w:p>
        </w:tc>
        <w:tc>
          <w:tcPr>
            <w:tcW w:w="303"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转型促进基础设施</w:t>
            </w:r>
          </w:p>
        </w:tc>
        <w:tc>
          <w:tcPr>
            <w:tcW w:w="392"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智慧产业融合</w:t>
            </w:r>
          </w:p>
        </w:tc>
        <w:tc>
          <w:tcPr>
            <w:tcW w:w="616"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相关企业</w:t>
            </w:r>
          </w:p>
        </w:tc>
        <w:tc>
          <w:tcPr>
            <w:tcW w:w="481"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2023</w:t>
            </w:r>
            <w:r>
              <w:rPr>
                <w:rFonts w:hint="eastAsia" w:ascii="宋体" w:hAnsi="宋体" w:eastAsia="方正仿宋_GBK" w:cs="方正仿宋_GBK"/>
                <w:kern w:val="0"/>
                <w:szCs w:val="21"/>
                <w:lang w:bidi="ar"/>
              </w:rPr>
              <w:t>年</w:t>
            </w:r>
          </w:p>
        </w:tc>
        <w:tc>
          <w:tcPr>
            <w:tcW w:w="1078"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改扩建智能避雨大棚设施、智能温室育苗大棚。新建自动水肥一体化系统。建设质量追溯管理和监控系统。集成水肥系统、质量追溯系统、气象系统，建设园区大数据智能管理控制中心。</w:t>
            </w:r>
          </w:p>
        </w:tc>
        <w:tc>
          <w:tcPr>
            <w:tcW w:w="240"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储备</w:t>
            </w:r>
          </w:p>
        </w:tc>
        <w:tc>
          <w:tcPr>
            <w:tcW w:w="325"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2000</w:t>
            </w:r>
          </w:p>
        </w:tc>
        <w:tc>
          <w:tcPr>
            <w:tcW w:w="398" w:type="pct"/>
            <w:tcBorders>
              <w:top w:val="single" w:color="auto" w:sz="4" w:space="0"/>
              <w:bottom w:val="single" w:color="auto" w:sz="4" w:space="0"/>
            </w:tcBorders>
            <w:noWrap w:val="0"/>
            <w:tcMar>
              <w:left w:w="17" w:type="dxa"/>
              <w:right w:w="17" w:type="dxa"/>
            </w:tcMar>
            <w:vAlign w:val="center"/>
          </w:tcPr>
          <w:p>
            <w:pPr>
              <w:jc w:val="center"/>
              <w:rPr>
                <w:rFonts w:hint="eastAsia" w:ascii="宋体" w:hAnsi="宋体" w:eastAsia="方正仿宋_GBK" w:cs="方正仿宋_GBK"/>
                <w:szCs w:val="21"/>
                <w:lang w:bidi="ar"/>
              </w:rPr>
            </w:pPr>
            <w:r>
              <w:rPr>
                <w:rFonts w:hint="eastAsia" w:ascii="宋体" w:hAnsi="宋体" w:eastAsia="方正仿宋_GBK" w:cs="方正仿宋_GBK"/>
                <w:szCs w:val="21"/>
                <w:lang w:bidi="ar"/>
              </w:rPr>
              <w:t>区农业农村委</w:t>
            </w:r>
          </w:p>
        </w:tc>
        <w:tc>
          <w:tcPr>
            <w:tcW w:w="329" w:type="pct"/>
            <w:tcBorders>
              <w:top w:val="single" w:color="auto" w:sz="4" w:space="0"/>
              <w:bottom w:val="single" w:color="auto" w:sz="4" w:space="0"/>
            </w:tcBorders>
            <w:noWrap w:val="0"/>
            <w:tcMar>
              <w:left w:w="17" w:type="dxa"/>
              <w:right w:w="17" w:type="dxa"/>
            </w:tcMar>
            <w:vAlign w:val="center"/>
          </w:tcPr>
          <w:p>
            <w:pPr>
              <w:jc w:val="center"/>
              <w:rPr>
                <w:rFonts w:hint="eastAsia" w:ascii="宋体" w:hAnsi="宋体" w:eastAsia="方正仿宋_GBK" w:cs="方正仿宋_GBK"/>
                <w:szCs w:val="21"/>
                <w:lang w:bidi="ar"/>
              </w:rPr>
            </w:pPr>
            <w:r>
              <w:rPr>
                <w:rFonts w:hint="eastAsia" w:ascii="宋体" w:hAnsi="宋体" w:eastAsia="方正仿宋_GBK" w:cs="方正仿宋_GBK"/>
                <w:szCs w:val="21"/>
                <w:lang w:bidi="ar"/>
              </w:rPr>
              <w:t>一期、二期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175"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18</w:t>
            </w:r>
          </w:p>
        </w:tc>
        <w:tc>
          <w:tcPr>
            <w:tcW w:w="351"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仰头山现代农业园物联网建设项目</w:t>
            </w:r>
          </w:p>
        </w:tc>
        <w:tc>
          <w:tcPr>
            <w:tcW w:w="303"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转型促进基础设施</w:t>
            </w:r>
          </w:p>
        </w:tc>
        <w:tc>
          <w:tcPr>
            <w:tcW w:w="392"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智慧产业融合</w:t>
            </w:r>
          </w:p>
        </w:tc>
        <w:tc>
          <w:tcPr>
            <w:tcW w:w="616"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区农业农村委</w:t>
            </w:r>
          </w:p>
        </w:tc>
        <w:tc>
          <w:tcPr>
            <w:tcW w:w="481"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2020</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2022</w:t>
            </w:r>
            <w:r>
              <w:rPr>
                <w:rFonts w:hint="eastAsia" w:ascii="宋体" w:hAnsi="宋体" w:eastAsia="方正仿宋_GBK" w:cs="方正仿宋_GBK"/>
                <w:kern w:val="0"/>
                <w:szCs w:val="21"/>
                <w:lang w:bidi="ar"/>
              </w:rPr>
              <w:t>年</w:t>
            </w:r>
          </w:p>
        </w:tc>
        <w:tc>
          <w:tcPr>
            <w:tcW w:w="1078"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建设质量追溯管理系统、自动水肥系统，合计</w:t>
            </w:r>
            <w:r>
              <w:rPr>
                <w:rStyle w:val="33"/>
                <w:rFonts w:hint="eastAsia" w:eastAsia="方正仿宋_GBK" w:cs="方正仿宋_GBK"/>
                <w:color w:val="auto"/>
                <w:lang w:bidi="ar"/>
              </w:rPr>
              <w:t>5000</w:t>
            </w:r>
            <w:r>
              <w:rPr>
                <w:rStyle w:val="30"/>
                <w:rFonts w:hint="eastAsia" w:ascii="宋体" w:hAnsi="宋体" w:eastAsia="方正仿宋_GBK" w:cs="方正仿宋_GBK"/>
                <w:color w:val="auto"/>
                <w:lang w:bidi="ar"/>
              </w:rPr>
              <w:t>亩</w:t>
            </w:r>
          </w:p>
        </w:tc>
        <w:tc>
          <w:tcPr>
            <w:tcW w:w="240"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新建</w:t>
            </w:r>
          </w:p>
        </w:tc>
        <w:tc>
          <w:tcPr>
            <w:tcW w:w="325"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900</w:t>
            </w:r>
          </w:p>
        </w:tc>
        <w:tc>
          <w:tcPr>
            <w:tcW w:w="398"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区农业农村委</w:t>
            </w:r>
          </w:p>
        </w:tc>
        <w:tc>
          <w:tcPr>
            <w:tcW w:w="329" w:type="pct"/>
            <w:tcBorders>
              <w:top w:val="single" w:color="auto" w:sz="4" w:space="0"/>
              <w:bottom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318" w:hRule="atLeast"/>
          <w:jc w:val="center"/>
        </w:trPr>
        <w:tc>
          <w:tcPr>
            <w:tcW w:w="175" w:type="pct"/>
            <w:tcBorders>
              <w:top w:val="single" w:color="auto" w:sz="4" w:space="0"/>
            </w:tcBorders>
            <w:noWrap w:val="0"/>
            <w:tcMar>
              <w:left w:w="17" w:type="dxa"/>
              <w:right w:w="17" w:type="dxa"/>
            </w:tcMar>
            <w:vAlign w:val="center"/>
          </w:tcPr>
          <w:p>
            <w:pPr>
              <w:jc w:val="center"/>
              <w:textAlignment w:val="bottom"/>
              <w:rPr>
                <w:rFonts w:ascii="宋体" w:hAnsi="宋体" w:eastAsia="方正仿宋_GBK" w:cs="方正仿宋_GBK"/>
                <w:szCs w:val="21"/>
                <w:lang w:bidi="ar"/>
              </w:rPr>
            </w:pPr>
            <w:r>
              <w:rPr>
                <w:rFonts w:hint="eastAsia" w:ascii="Times New Roman" w:hAnsi="Times New Roman" w:eastAsia="方正仿宋_GBK" w:cs="方正仿宋_GBK"/>
                <w:kern w:val="0"/>
                <w:szCs w:val="21"/>
                <w:lang w:bidi="ar"/>
              </w:rPr>
              <w:t>19</w:t>
            </w:r>
          </w:p>
        </w:tc>
        <w:tc>
          <w:tcPr>
            <w:tcW w:w="351" w:type="pct"/>
            <w:tcBorders>
              <w:top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黔江区智慧城市运行指挥中心</w:t>
            </w:r>
          </w:p>
        </w:tc>
        <w:tc>
          <w:tcPr>
            <w:tcW w:w="303" w:type="pct"/>
            <w:tcBorders>
              <w:top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信息基础设施</w:t>
            </w:r>
          </w:p>
        </w:tc>
        <w:tc>
          <w:tcPr>
            <w:tcW w:w="312" w:type="pct"/>
            <w:tcBorders>
              <w:top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智能计算基础设施</w:t>
            </w:r>
          </w:p>
        </w:tc>
        <w:tc>
          <w:tcPr>
            <w:tcW w:w="392" w:type="pct"/>
            <w:tcBorders>
              <w:top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公共服务</w:t>
            </w:r>
            <w:r>
              <w:rPr>
                <w:rStyle w:val="30"/>
                <w:rFonts w:hint="eastAsia" w:ascii="宋体" w:hAnsi="宋体" w:eastAsia="方正仿宋_GBK" w:cs="方正仿宋_GBK"/>
                <w:color w:val="auto"/>
                <w:lang w:bidi="ar"/>
              </w:rPr>
              <w:t>智能化设施</w:t>
            </w:r>
          </w:p>
        </w:tc>
        <w:tc>
          <w:tcPr>
            <w:tcW w:w="616" w:type="pct"/>
            <w:tcBorders>
              <w:top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区大数据中心</w:t>
            </w:r>
          </w:p>
        </w:tc>
        <w:tc>
          <w:tcPr>
            <w:tcW w:w="481" w:type="pct"/>
            <w:tcBorders>
              <w:top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2022</w:t>
            </w:r>
            <w:r>
              <w:rPr>
                <w:rFonts w:hint="eastAsia" w:ascii="宋体" w:hAnsi="宋体" w:eastAsia="方正仿宋_GBK" w:cs="方正仿宋_GBK"/>
                <w:kern w:val="0"/>
                <w:szCs w:val="21"/>
                <w:lang w:bidi="ar"/>
              </w:rPr>
              <w:t>年</w:t>
            </w:r>
          </w:p>
        </w:tc>
        <w:tc>
          <w:tcPr>
            <w:tcW w:w="1078" w:type="pct"/>
            <w:tcBorders>
              <w:top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建设城市运行指挥中心实体大厅和城市运行管理平台</w:t>
            </w:r>
          </w:p>
        </w:tc>
        <w:tc>
          <w:tcPr>
            <w:tcW w:w="240" w:type="pct"/>
            <w:tcBorders>
              <w:top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储备</w:t>
            </w:r>
          </w:p>
        </w:tc>
        <w:tc>
          <w:tcPr>
            <w:tcW w:w="325" w:type="pct"/>
            <w:tcBorders>
              <w:top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3000</w:t>
            </w:r>
          </w:p>
        </w:tc>
        <w:tc>
          <w:tcPr>
            <w:tcW w:w="398" w:type="pct"/>
            <w:tcBorders>
              <w:top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区大数据管理局</w:t>
            </w:r>
          </w:p>
        </w:tc>
        <w:tc>
          <w:tcPr>
            <w:tcW w:w="329" w:type="pct"/>
            <w:tcBorders>
              <w:top w:val="single" w:color="auto" w:sz="4" w:space="0"/>
            </w:tcBorders>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133" w:hRule="atLeast"/>
          <w:jc w:val="center"/>
        </w:trPr>
        <w:tc>
          <w:tcPr>
            <w:tcW w:w="175" w:type="pct"/>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Times New Roman" w:hAnsi="Times New Roman" w:eastAsia="方正仿宋_GBK" w:cs="方正仿宋_GBK"/>
                <w:kern w:val="0"/>
                <w:szCs w:val="21"/>
                <w:lang w:bidi="ar"/>
              </w:rPr>
              <w:t>20</w:t>
            </w:r>
          </w:p>
        </w:tc>
        <w:tc>
          <w:tcPr>
            <w:tcW w:w="351" w:type="pct"/>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智慧市场监管一体化信息平台</w:t>
            </w:r>
          </w:p>
        </w:tc>
        <w:tc>
          <w:tcPr>
            <w:tcW w:w="303" w:type="pct"/>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融合基础设施</w:t>
            </w:r>
          </w:p>
        </w:tc>
        <w:tc>
          <w:tcPr>
            <w:tcW w:w="312" w:type="pct"/>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融合应用基础</w:t>
            </w:r>
          </w:p>
        </w:tc>
        <w:tc>
          <w:tcPr>
            <w:tcW w:w="392" w:type="pct"/>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公共服务</w:t>
            </w:r>
            <w:r>
              <w:rPr>
                <w:rStyle w:val="30"/>
                <w:rFonts w:hint="eastAsia" w:ascii="宋体" w:hAnsi="宋体" w:eastAsia="方正仿宋_GBK" w:cs="方正仿宋_GBK"/>
                <w:color w:val="auto"/>
                <w:kern w:val="0"/>
                <w:lang w:bidi="ar"/>
              </w:rPr>
              <w:t>智能化设施</w:t>
            </w:r>
          </w:p>
        </w:tc>
        <w:tc>
          <w:tcPr>
            <w:tcW w:w="616" w:type="pct"/>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区市场监管局</w:t>
            </w:r>
          </w:p>
        </w:tc>
        <w:tc>
          <w:tcPr>
            <w:tcW w:w="481" w:type="pct"/>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Times New Roman" w:hAnsi="Times New Roman" w:eastAsia="方正仿宋_GBK" w:cs="方正仿宋_GBK"/>
                <w:kern w:val="0"/>
                <w:szCs w:val="21"/>
                <w:lang w:bidi="ar"/>
              </w:rPr>
              <w:t>2020</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2023</w:t>
            </w:r>
            <w:r>
              <w:rPr>
                <w:rFonts w:hint="eastAsia" w:ascii="宋体" w:hAnsi="宋体" w:eastAsia="方正仿宋_GBK" w:cs="方正仿宋_GBK"/>
                <w:kern w:val="0"/>
                <w:szCs w:val="21"/>
                <w:lang w:bidi="ar"/>
              </w:rPr>
              <w:t>年</w:t>
            </w:r>
          </w:p>
        </w:tc>
        <w:tc>
          <w:tcPr>
            <w:tcW w:w="1078" w:type="pct"/>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依托重庆市智慧市场监管一体化信息平台，完善市场主体综合信息数据库</w:t>
            </w:r>
            <w:r>
              <w:rPr>
                <w:rStyle w:val="30"/>
                <w:rFonts w:hint="eastAsia" w:ascii="宋体" w:hAnsi="宋体" w:eastAsia="方正仿宋_GBK" w:cs="方正仿宋_GBK"/>
                <w:color w:val="auto"/>
                <w:kern w:val="0"/>
                <w:lang w:bidi="ar"/>
              </w:rPr>
              <w:t>，搭建黔江智慧市场监管平台，在智慧审批、智慧监管、智慧服务等方面先行先试，逐步实现市场监管领域业务全覆盖。</w:t>
            </w:r>
          </w:p>
        </w:tc>
        <w:tc>
          <w:tcPr>
            <w:tcW w:w="240" w:type="pct"/>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储备</w:t>
            </w:r>
          </w:p>
        </w:tc>
        <w:tc>
          <w:tcPr>
            <w:tcW w:w="325" w:type="pct"/>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Times New Roman" w:hAnsi="Times New Roman" w:eastAsia="方正仿宋_GBK" w:cs="方正仿宋_GBK"/>
                <w:kern w:val="0"/>
                <w:szCs w:val="21"/>
                <w:lang w:bidi="ar"/>
              </w:rPr>
              <w:t>486</w:t>
            </w:r>
          </w:p>
        </w:tc>
        <w:tc>
          <w:tcPr>
            <w:tcW w:w="398" w:type="pct"/>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区市场监</w:t>
            </w:r>
            <w:r>
              <w:rPr>
                <w:rFonts w:hint="eastAsia" w:ascii="宋体" w:hAnsi="宋体" w:eastAsia="方正仿宋_GBK" w:cs="方正仿宋_GBK"/>
                <w:kern w:val="0"/>
                <w:szCs w:val="21"/>
                <w:lang w:eastAsia="zh-CN" w:bidi="ar"/>
              </w:rPr>
              <w:t>督</w:t>
            </w:r>
            <w:r>
              <w:rPr>
                <w:rFonts w:hint="eastAsia" w:ascii="宋体" w:hAnsi="宋体" w:eastAsia="方正仿宋_GBK" w:cs="方正仿宋_GBK"/>
                <w:kern w:val="0"/>
                <w:szCs w:val="21"/>
                <w:lang w:bidi="ar"/>
              </w:rPr>
              <w:t>管</w:t>
            </w:r>
            <w:r>
              <w:rPr>
                <w:rFonts w:hint="eastAsia" w:ascii="宋体" w:hAnsi="宋体" w:eastAsia="方正仿宋_GBK" w:cs="方正仿宋_GBK"/>
                <w:kern w:val="0"/>
                <w:szCs w:val="21"/>
                <w:lang w:eastAsia="zh-CN" w:bidi="ar"/>
              </w:rPr>
              <w:t>理</w:t>
            </w:r>
            <w:r>
              <w:rPr>
                <w:rFonts w:hint="eastAsia" w:ascii="宋体" w:hAnsi="宋体" w:eastAsia="方正仿宋_GBK" w:cs="方正仿宋_GBK"/>
                <w:kern w:val="0"/>
                <w:szCs w:val="21"/>
                <w:lang w:bidi="ar"/>
              </w:rPr>
              <w:t>局</w:t>
            </w:r>
          </w:p>
        </w:tc>
        <w:tc>
          <w:tcPr>
            <w:tcW w:w="329" w:type="pct"/>
            <w:noWrap w:val="0"/>
            <w:tcMar>
              <w:left w:w="17" w:type="dxa"/>
              <w:right w:w="17" w:type="dxa"/>
            </w:tcMar>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027" w:hRule="atLeast"/>
          <w:jc w:val="center"/>
        </w:trPr>
        <w:tc>
          <w:tcPr>
            <w:tcW w:w="175"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21</w:t>
            </w:r>
          </w:p>
        </w:tc>
        <w:tc>
          <w:tcPr>
            <w:tcW w:w="351"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黔江区旅游景区大数据指挥中心（二期）</w:t>
            </w:r>
          </w:p>
        </w:tc>
        <w:tc>
          <w:tcPr>
            <w:tcW w:w="303"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转型促进基础设施</w:t>
            </w:r>
          </w:p>
        </w:tc>
        <w:tc>
          <w:tcPr>
            <w:tcW w:w="392"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公共服务</w:t>
            </w:r>
            <w:r>
              <w:rPr>
                <w:rStyle w:val="30"/>
                <w:rFonts w:hint="eastAsia" w:ascii="宋体" w:hAnsi="宋体" w:eastAsia="方正仿宋_GBK" w:cs="方正仿宋_GBK"/>
                <w:color w:val="auto"/>
                <w:lang w:bidi="ar"/>
              </w:rPr>
              <w:t>智能化设施</w:t>
            </w:r>
          </w:p>
        </w:tc>
        <w:tc>
          <w:tcPr>
            <w:tcW w:w="616"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区旅投公司、区鸿业公司</w:t>
            </w:r>
          </w:p>
        </w:tc>
        <w:tc>
          <w:tcPr>
            <w:tcW w:w="481"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2020</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2023</w:t>
            </w:r>
            <w:r>
              <w:rPr>
                <w:rFonts w:hint="eastAsia" w:ascii="宋体" w:hAnsi="宋体" w:eastAsia="方正仿宋_GBK" w:cs="方正仿宋_GBK"/>
                <w:kern w:val="0"/>
                <w:szCs w:val="21"/>
                <w:lang w:bidi="ar"/>
              </w:rPr>
              <w:t>年</w:t>
            </w:r>
          </w:p>
        </w:tc>
        <w:tc>
          <w:tcPr>
            <w:tcW w:w="1078"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建设智慧景区综合管理平台、“一部手机游”</w:t>
            </w:r>
            <w:r>
              <w:rPr>
                <w:rStyle w:val="33"/>
                <w:rFonts w:hint="eastAsia" w:eastAsia="方正仿宋_GBK" w:cs="方正仿宋_GBK"/>
                <w:color w:val="auto"/>
                <w:lang w:bidi="ar"/>
              </w:rPr>
              <w:t>APP</w:t>
            </w:r>
            <w:r>
              <w:rPr>
                <w:rStyle w:val="30"/>
                <w:rFonts w:hint="eastAsia" w:ascii="宋体" w:hAnsi="宋体" w:eastAsia="方正仿宋_GBK" w:cs="方正仿宋_GBK"/>
                <w:color w:val="auto"/>
                <w:lang w:bidi="ar"/>
              </w:rPr>
              <w:t>、舆情采集与分析系统、景区地理信息</w:t>
            </w:r>
            <w:r>
              <w:rPr>
                <w:rStyle w:val="33"/>
                <w:rFonts w:hint="eastAsia" w:eastAsia="方正仿宋_GBK" w:cs="方正仿宋_GBK"/>
                <w:color w:val="auto"/>
                <w:lang w:bidi="ar"/>
              </w:rPr>
              <w:t>GIS</w:t>
            </w:r>
            <w:r>
              <w:rPr>
                <w:rStyle w:val="30"/>
                <w:rFonts w:hint="eastAsia" w:ascii="宋体" w:hAnsi="宋体" w:eastAsia="方正仿宋_GBK" w:cs="方正仿宋_GBK"/>
                <w:color w:val="auto"/>
                <w:lang w:bidi="ar"/>
              </w:rPr>
              <w:t>系统、环境监测系统、景区游客流量统计分析系统、电子巡更巡检系统、车船调度管理系统、智慧厕所、智慧垃圾桶、智慧消防栓、线上票务、景区智能人脸识别等。</w:t>
            </w:r>
          </w:p>
        </w:tc>
        <w:tc>
          <w:tcPr>
            <w:tcW w:w="240"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在建</w:t>
            </w:r>
          </w:p>
        </w:tc>
        <w:tc>
          <w:tcPr>
            <w:tcW w:w="325"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3500</w:t>
            </w:r>
          </w:p>
        </w:tc>
        <w:tc>
          <w:tcPr>
            <w:tcW w:w="398"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区文旅委</w:t>
            </w:r>
          </w:p>
        </w:tc>
        <w:tc>
          <w:tcPr>
            <w:tcW w:w="329" w:type="pct"/>
            <w:tcBorders>
              <w:bottom w:val="single" w:color="auto" w:sz="4" w:space="0"/>
            </w:tcBorders>
            <w:noWrap w:val="0"/>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038" w:hRule="atLeast"/>
          <w:jc w:val="center"/>
        </w:trPr>
        <w:tc>
          <w:tcPr>
            <w:tcW w:w="175"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22</w:t>
            </w:r>
          </w:p>
        </w:tc>
        <w:tc>
          <w:tcPr>
            <w:tcW w:w="351"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黔江区交通信息中心</w:t>
            </w:r>
          </w:p>
        </w:tc>
        <w:tc>
          <w:tcPr>
            <w:tcW w:w="303"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转型促进基础设施</w:t>
            </w:r>
          </w:p>
        </w:tc>
        <w:tc>
          <w:tcPr>
            <w:tcW w:w="392"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公共服务</w:t>
            </w:r>
            <w:r>
              <w:rPr>
                <w:rStyle w:val="30"/>
                <w:rFonts w:hint="eastAsia" w:ascii="宋体" w:hAnsi="宋体" w:eastAsia="方正仿宋_GBK" w:cs="方正仿宋_GBK"/>
                <w:color w:val="auto"/>
                <w:lang w:bidi="ar"/>
              </w:rPr>
              <w:t>智能化设施</w:t>
            </w:r>
          </w:p>
        </w:tc>
        <w:tc>
          <w:tcPr>
            <w:tcW w:w="616"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区道路运输事务中心</w:t>
            </w:r>
          </w:p>
        </w:tc>
        <w:tc>
          <w:tcPr>
            <w:tcW w:w="481" w:type="pct"/>
            <w:tcBorders>
              <w:top w:val="single" w:color="auto" w:sz="4" w:space="0"/>
              <w:bottom w:val="single" w:color="auto" w:sz="4" w:space="0"/>
            </w:tcBorders>
            <w:noWrap w:val="0"/>
            <w:vAlign w:val="center"/>
          </w:tcPr>
          <w:p>
            <w:pPr>
              <w:jc w:val="center"/>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2025</w:t>
            </w:r>
            <w:r>
              <w:rPr>
                <w:rFonts w:hint="eastAsia" w:ascii="宋体" w:hAnsi="宋体" w:eastAsia="方正仿宋_GBK" w:cs="方正仿宋_GBK"/>
                <w:kern w:val="0"/>
                <w:szCs w:val="21"/>
                <w:lang w:bidi="ar"/>
              </w:rPr>
              <w:t>年</w:t>
            </w:r>
          </w:p>
        </w:tc>
        <w:tc>
          <w:tcPr>
            <w:tcW w:w="1078"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建议</w:t>
            </w:r>
            <w:r>
              <w:rPr>
                <w:rStyle w:val="33"/>
                <w:rFonts w:hint="eastAsia" w:eastAsia="方正仿宋_GBK" w:cs="方正仿宋_GBK"/>
                <w:color w:val="auto"/>
                <w:lang w:bidi="ar"/>
              </w:rPr>
              <w:t>96096</w:t>
            </w:r>
            <w:r>
              <w:rPr>
                <w:rStyle w:val="30"/>
                <w:rFonts w:hint="eastAsia" w:ascii="宋体" w:hAnsi="宋体" w:eastAsia="方正仿宋_GBK" w:cs="方正仿宋_GBK"/>
                <w:color w:val="auto"/>
                <w:lang w:bidi="ar"/>
              </w:rPr>
              <w:t>分中心、信息中心服务器、大屏幕、数据库、工位等。</w:t>
            </w:r>
          </w:p>
        </w:tc>
        <w:tc>
          <w:tcPr>
            <w:tcW w:w="240"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储备</w:t>
            </w:r>
          </w:p>
        </w:tc>
        <w:tc>
          <w:tcPr>
            <w:tcW w:w="325"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5000</w:t>
            </w:r>
          </w:p>
        </w:tc>
        <w:tc>
          <w:tcPr>
            <w:tcW w:w="398"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区交通局</w:t>
            </w:r>
          </w:p>
        </w:tc>
        <w:tc>
          <w:tcPr>
            <w:tcW w:w="329"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一期、二期、三期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667" w:hRule="atLeast"/>
          <w:jc w:val="center"/>
        </w:trPr>
        <w:tc>
          <w:tcPr>
            <w:tcW w:w="175"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23</w:t>
            </w:r>
          </w:p>
        </w:tc>
        <w:tc>
          <w:tcPr>
            <w:tcW w:w="351"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融媒体技术云平台</w:t>
            </w:r>
          </w:p>
        </w:tc>
        <w:tc>
          <w:tcPr>
            <w:tcW w:w="303"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转型促进基础设施</w:t>
            </w:r>
          </w:p>
        </w:tc>
        <w:tc>
          <w:tcPr>
            <w:tcW w:w="392"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公共服务</w:t>
            </w:r>
            <w:r>
              <w:rPr>
                <w:rStyle w:val="30"/>
                <w:rFonts w:hint="eastAsia" w:ascii="宋体" w:hAnsi="宋体" w:eastAsia="方正仿宋_GBK" w:cs="方正仿宋_GBK"/>
                <w:color w:val="auto"/>
                <w:lang w:bidi="ar"/>
              </w:rPr>
              <w:t>智能化设施</w:t>
            </w:r>
          </w:p>
        </w:tc>
        <w:tc>
          <w:tcPr>
            <w:tcW w:w="616" w:type="pct"/>
            <w:tcBorders>
              <w:top w:val="single" w:color="auto" w:sz="4" w:space="0"/>
            </w:tcBorders>
            <w:noWrap w:val="0"/>
            <w:vAlign w:val="center"/>
          </w:tcPr>
          <w:p>
            <w:pPr>
              <w:jc w:val="center"/>
              <w:rPr>
                <w:rFonts w:hint="eastAsia" w:ascii="宋体" w:hAnsi="宋体" w:eastAsia="方正仿宋_GBK" w:cs="方正仿宋_GBK"/>
                <w:szCs w:val="21"/>
                <w:lang w:bidi="ar"/>
              </w:rPr>
            </w:pPr>
          </w:p>
        </w:tc>
        <w:tc>
          <w:tcPr>
            <w:tcW w:w="481"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2020</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年</w:t>
            </w:r>
          </w:p>
        </w:tc>
        <w:tc>
          <w:tcPr>
            <w:tcW w:w="1078" w:type="pct"/>
            <w:tcBorders>
              <w:top w:val="single" w:color="auto" w:sz="4" w:space="0"/>
            </w:tcBorders>
            <w:noWrap w:val="0"/>
            <w:vAlign w:val="center"/>
          </w:tcPr>
          <w:p>
            <w:pPr>
              <w:spacing w:line="216"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新建分布式数据管理平台、资源基础云平台、以太交换网络、生产发布平台、综合平台等，配套建设云平台信息系统、云平台工作场所建设等。</w:t>
            </w:r>
          </w:p>
        </w:tc>
        <w:tc>
          <w:tcPr>
            <w:tcW w:w="240"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在建</w:t>
            </w:r>
          </w:p>
        </w:tc>
        <w:tc>
          <w:tcPr>
            <w:tcW w:w="325"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700</w:t>
            </w:r>
          </w:p>
        </w:tc>
        <w:tc>
          <w:tcPr>
            <w:tcW w:w="398"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区融媒体中心</w:t>
            </w:r>
          </w:p>
        </w:tc>
        <w:tc>
          <w:tcPr>
            <w:tcW w:w="329" w:type="pct"/>
            <w:tcBorders>
              <w:top w:val="single" w:color="auto" w:sz="4" w:space="0"/>
            </w:tcBorders>
            <w:noWrap w:val="0"/>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923" w:hRule="atLeast"/>
          <w:jc w:val="center"/>
        </w:trPr>
        <w:tc>
          <w:tcPr>
            <w:tcW w:w="175" w:type="pct"/>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24</w:t>
            </w:r>
          </w:p>
        </w:tc>
        <w:tc>
          <w:tcPr>
            <w:tcW w:w="351"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工厂智能改造工程</w:t>
            </w:r>
          </w:p>
        </w:tc>
        <w:tc>
          <w:tcPr>
            <w:tcW w:w="303"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转型促进基础设施</w:t>
            </w:r>
          </w:p>
        </w:tc>
        <w:tc>
          <w:tcPr>
            <w:tcW w:w="392"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工业互联网</w:t>
            </w:r>
          </w:p>
        </w:tc>
        <w:tc>
          <w:tcPr>
            <w:tcW w:w="616"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相关企业</w:t>
            </w:r>
          </w:p>
        </w:tc>
        <w:tc>
          <w:tcPr>
            <w:tcW w:w="481" w:type="pct"/>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2025</w:t>
            </w:r>
            <w:r>
              <w:rPr>
                <w:rFonts w:hint="eastAsia" w:ascii="宋体" w:hAnsi="宋体" w:eastAsia="方正仿宋_GBK" w:cs="方正仿宋_GBK"/>
                <w:kern w:val="0"/>
                <w:szCs w:val="21"/>
                <w:lang w:bidi="ar"/>
              </w:rPr>
              <w:t>年</w:t>
            </w:r>
          </w:p>
        </w:tc>
        <w:tc>
          <w:tcPr>
            <w:tcW w:w="1078" w:type="pct"/>
            <w:noWrap w:val="0"/>
            <w:vAlign w:val="center"/>
          </w:tcPr>
          <w:p>
            <w:pPr>
              <w:spacing w:line="216"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实施“机器换人”改造工程，鼓励企业使用自动化、智能化设备代替人工，重点推动电子、汽车行业企业开展“机器换人”，有效提高产品质量，减少用工人数，降低生产成本。</w:t>
            </w:r>
          </w:p>
        </w:tc>
        <w:tc>
          <w:tcPr>
            <w:tcW w:w="240"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新建</w:t>
            </w:r>
          </w:p>
        </w:tc>
        <w:tc>
          <w:tcPr>
            <w:tcW w:w="325" w:type="pct"/>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50000</w:t>
            </w:r>
          </w:p>
        </w:tc>
        <w:tc>
          <w:tcPr>
            <w:tcW w:w="398"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区经济信息委</w:t>
            </w:r>
          </w:p>
        </w:tc>
        <w:tc>
          <w:tcPr>
            <w:tcW w:w="329" w:type="pct"/>
            <w:noWrap w:val="0"/>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一期、二期、三期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175"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25</w:t>
            </w:r>
          </w:p>
        </w:tc>
        <w:tc>
          <w:tcPr>
            <w:tcW w:w="351"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政法大数据办案系统</w:t>
            </w:r>
          </w:p>
        </w:tc>
        <w:tc>
          <w:tcPr>
            <w:tcW w:w="303"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融合应用基础设施</w:t>
            </w:r>
          </w:p>
        </w:tc>
        <w:tc>
          <w:tcPr>
            <w:tcW w:w="392"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公共安全智能化设施</w:t>
            </w:r>
          </w:p>
        </w:tc>
        <w:tc>
          <w:tcPr>
            <w:tcW w:w="616"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相关企业</w:t>
            </w:r>
          </w:p>
        </w:tc>
        <w:tc>
          <w:tcPr>
            <w:tcW w:w="481"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2025</w:t>
            </w:r>
            <w:r>
              <w:rPr>
                <w:rFonts w:hint="eastAsia" w:ascii="宋体" w:hAnsi="宋体" w:eastAsia="方正仿宋_GBK" w:cs="方正仿宋_GBK"/>
                <w:kern w:val="0"/>
                <w:szCs w:val="21"/>
                <w:lang w:bidi="ar"/>
              </w:rPr>
              <w:t>年</w:t>
            </w:r>
          </w:p>
        </w:tc>
        <w:tc>
          <w:tcPr>
            <w:tcW w:w="1078" w:type="pct"/>
            <w:tcBorders>
              <w:bottom w:val="single" w:color="auto" w:sz="4" w:space="0"/>
            </w:tcBorders>
            <w:noWrap w:val="0"/>
            <w:vAlign w:val="center"/>
          </w:tcPr>
          <w:p>
            <w:pPr>
              <w:spacing w:line="216"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建</w:t>
            </w:r>
            <w:r>
              <w:rPr>
                <w:rFonts w:hint="eastAsia" w:ascii="宋体" w:hAnsi="宋体" w:eastAsia="方正仿宋_GBK" w:cs="方正仿宋_GBK"/>
                <w:spacing w:val="-4"/>
                <w:kern w:val="0"/>
                <w:szCs w:val="21"/>
                <w:lang w:bidi="ar"/>
              </w:rPr>
              <w:t>立黔江区政法机关垮部门大数据办案平台，实现政法机关之间设施联通、网路畅通、平台贯通、数据融通，以协同、共享、高效、规范为定位，推进政法各部门业务协同，实现办案数据融合和规范智能办案。</w:t>
            </w:r>
          </w:p>
        </w:tc>
        <w:tc>
          <w:tcPr>
            <w:tcW w:w="240"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储备</w:t>
            </w:r>
          </w:p>
        </w:tc>
        <w:tc>
          <w:tcPr>
            <w:tcW w:w="325" w:type="pct"/>
            <w:tcBorders>
              <w:bottom w:val="single" w:color="auto" w:sz="4" w:space="0"/>
            </w:tcBorders>
            <w:noWrap w:val="0"/>
            <w:vAlign w:val="center"/>
          </w:tcPr>
          <w:p>
            <w:pPr>
              <w:jc w:val="center"/>
              <w:textAlignment w:val="bottom"/>
              <w:rPr>
                <w:rFonts w:ascii="宋体" w:hAnsi="宋体" w:eastAsia="方正仿宋_GBK" w:cs="方正仿宋_GBK"/>
                <w:szCs w:val="21"/>
                <w:lang w:bidi="ar"/>
              </w:rPr>
            </w:pPr>
            <w:r>
              <w:rPr>
                <w:rFonts w:hint="eastAsia" w:ascii="Times New Roman" w:hAnsi="Times New Roman" w:eastAsia="方正仿宋_GBK" w:cs="方正仿宋_GBK"/>
                <w:kern w:val="0"/>
                <w:szCs w:val="21"/>
                <w:lang w:bidi="ar"/>
              </w:rPr>
              <w:t>3000</w:t>
            </w:r>
          </w:p>
        </w:tc>
        <w:tc>
          <w:tcPr>
            <w:tcW w:w="398"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区委政法委</w:t>
            </w:r>
          </w:p>
        </w:tc>
        <w:tc>
          <w:tcPr>
            <w:tcW w:w="329" w:type="pct"/>
            <w:tcBorders>
              <w:bottom w:val="single" w:color="auto" w:sz="4" w:space="0"/>
            </w:tcBorders>
            <w:noWrap w:val="0"/>
            <w:vAlign w:val="center"/>
          </w:tcPr>
          <w:p>
            <w:pPr>
              <w:jc w:val="center"/>
              <w:textAlignment w:val="bottom"/>
              <w:rPr>
                <w:rFonts w:ascii="宋体" w:hAnsi="宋体" w:eastAsia="方正仿宋_GBK" w:cs="方正仿宋_GBK"/>
                <w:kern w:val="0"/>
                <w:szCs w:val="21"/>
                <w:lang w:bidi="ar"/>
              </w:rPr>
            </w:pPr>
            <w:r>
              <w:rPr>
                <w:rFonts w:hint="eastAsia" w:ascii="宋体" w:hAnsi="宋体" w:eastAsia="方正仿宋_GBK" w:cs="方正仿宋_GBK"/>
                <w:kern w:val="0"/>
                <w:szCs w:val="21"/>
                <w:lang w:bidi="ar"/>
              </w:rPr>
              <w:t>一期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175" w:type="pct"/>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26</w:t>
            </w:r>
          </w:p>
        </w:tc>
        <w:tc>
          <w:tcPr>
            <w:tcW w:w="351"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电网智能化改造</w:t>
            </w:r>
          </w:p>
        </w:tc>
        <w:tc>
          <w:tcPr>
            <w:tcW w:w="303"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转型促进基础设施</w:t>
            </w:r>
          </w:p>
        </w:tc>
        <w:tc>
          <w:tcPr>
            <w:tcW w:w="392"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数字能源基础设施</w:t>
            </w:r>
          </w:p>
        </w:tc>
        <w:tc>
          <w:tcPr>
            <w:tcW w:w="616"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黔江供电分公司</w:t>
            </w:r>
          </w:p>
        </w:tc>
        <w:tc>
          <w:tcPr>
            <w:tcW w:w="481" w:type="pct"/>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2020</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2025</w:t>
            </w:r>
            <w:r>
              <w:rPr>
                <w:rFonts w:hint="eastAsia" w:ascii="宋体" w:hAnsi="宋体" w:eastAsia="方正仿宋_GBK" w:cs="方正仿宋_GBK"/>
                <w:kern w:val="0"/>
                <w:szCs w:val="21"/>
                <w:lang w:bidi="ar"/>
              </w:rPr>
              <w:t>年</w:t>
            </w:r>
          </w:p>
        </w:tc>
        <w:tc>
          <w:tcPr>
            <w:tcW w:w="1078" w:type="pct"/>
            <w:noWrap w:val="0"/>
            <w:vAlign w:val="center"/>
          </w:tcPr>
          <w:p>
            <w:pPr>
              <w:spacing w:line="216"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新建</w:t>
            </w:r>
            <w:r>
              <w:rPr>
                <w:rStyle w:val="33"/>
                <w:rFonts w:hint="eastAsia" w:eastAsia="方正仿宋_GBK" w:cs="方正仿宋_GBK"/>
                <w:color w:val="auto"/>
                <w:lang w:bidi="ar"/>
              </w:rPr>
              <w:t>500</w:t>
            </w:r>
            <w:r>
              <w:rPr>
                <w:rStyle w:val="30"/>
                <w:rFonts w:hint="eastAsia" w:ascii="宋体" w:hAnsi="宋体" w:eastAsia="方正仿宋_GBK" w:cs="方正仿宋_GBK"/>
                <w:color w:val="auto"/>
                <w:lang w:bidi="ar"/>
              </w:rPr>
              <w:t>千伏智能变电站一座，完成</w:t>
            </w:r>
            <w:r>
              <w:rPr>
                <w:rStyle w:val="33"/>
                <w:rFonts w:hint="eastAsia" w:eastAsia="方正仿宋_GBK" w:cs="方正仿宋_GBK"/>
                <w:color w:val="auto"/>
                <w:lang w:bidi="ar"/>
              </w:rPr>
              <w:t>110</w:t>
            </w:r>
            <w:r>
              <w:rPr>
                <w:rStyle w:val="33"/>
                <w:rFonts w:hint="eastAsia" w:ascii="宋体" w:hAnsi="宋体" w:eastAsia="方正仿宋_GBK" w:cs="方正仿宋_GBK"/>
                <w:color w:val="auto"/>
                <w:lang w:bidi="ar"/>
              </w:rPr>
              <w:t>kV</w:t>
            </w:r>
            <w:r>
              <w:rPr>
                <w:rStyle w:val="30"/>
                <w:rFonts w:hint="eastAsia" w:ascii="宋体" w:hAnsi="宋体" w:eastAsia="方正仿宋_GBK" w:cs="方正仿宋_GBK"/>
                <w:color w:val="auto"/>
                <w:lang w:bidi="ar"/>
              </w:rPr>
              <w:t>输变电站及线路智能化改造</w:t>
            </w:r>
            <w:r>
              <w:rPr>
                <w:rStyle w:val="33"/>
                <w:rFonts w:hint="eastAsia" w:eastAsia="方正仿宋_GBK" w:cs="方正仿宋_GBK"/>
                <w:color w:val="auto"/>
                <w:lang w:bidi="ar"/>
              </w:rPr>
              <w:t>6</w:t>
            </w:r>
            <w:r>
              <w:rPr>
                <w:rStyle w:val="30"/>
                <w:rFonts w:hint="eastAsia" w:ascii="宋体" w:hAnsi="宋体" w:eastAsia="方正仿宋_GBK" w:cs="方正仿宋_GBK"/>
                <w:color w:val="auto"/>
                <w:lang w:bidi="ar"/>
              </w:rPr>
              <w:t>个。完成乌石北线、濯水变电站送出、青杠生活垃圾发电厂送出等</w:t>
            </w:r>
            <w:r>
              <w:rPr>
                <w:rStyle w:val="33"/>
                <w:rFonts w:hint="eastAsia" w:eastAsia="方正仿宋_GBK" w:cs="方正仿宋_GBK"/>
                <w:color w:val="auto"/>
                <w:lang w:bidi="ar"/>
              </w:rPr>
              <w:t>13</w:t>
            </w:r>
            <w:r>
              <w:rPr>
                <w:rStyle w:val="30"/>
                <w:rFonts w:hint="eastAsia" w:ascii="宋体" w:hAnsi="宋体" w:eastAsia="方正仿宋_GBK" w:cs="方正仿宋_GBK"/>
                <w:color w:val="auto"/>
                <w:lang w:bidi="ar"/>
              </w:rPr>
              <w:t>个</w:t>
            </w:r>
            <w:r>
              <w:rPr>
                <w:rStyle w:val="33"/>
                <w:rFonts w:hint="eastAsia" w:eastAsia="方正仿宋_GBK" w:cs="方正仿宋_GBK"/>
                <w:color w:val="auto"/>
                <w:lang w:bidi="ar"/>
              </w:rPr>
              <w:t>35</w:t>
            </w:r>
            <w:r>
              <w:rPr>
                <w:rStyle w:val="33"/>
                <w:rFonts w:hint="eastAsia" w:ascii="宋体" w:hAnsi="宋体" w:eastAsia="方正仿宋_GBK" w:cs="方正仿宋_GBK"/>
                <w:color w:val="auto"/>
                <w:lang w:bidi="ar"/>
              </w:rPr>
              <w:t>kV</w:t>
            </w:r>
            <w:r>
              <w:rPr>
                <w:rStyle w:val="30"/>
                <w:rFonts w:hint="eastAsia" w:ascii="宋体" w:hAnsi="宋体" w:eastAsia="方正仿宋_GBK" w:cs="方正仿宋_GBK"/>
                <w:color w:val="auto"/>
                <w:lang w:bidi="ar"/>
              </w:rPr>
              <w:t>线路智能化改造。完成</w:t>
            </w:r>
            <w:r>
              <w:rPr>
                <w:rStyle w:val="33"/>
                <w:rFonts w:hint="eastAsia" w:eastAsia="方正仿宋_GBK" w:cs="方正仿宋_GBK"/>
                <w:color w:val="auto"/>
                <w:lang w:bidi="ar"/>
              </w:rPr>
              <w:t>10</w:t>
            </w:r>
            <w:r>
              <w:rPr>
                <w:rStyle w:val="30"/>
                <w:rFonts w:hint="eastAsia" w:ascii="宋体" w:hAnsi="宋体" w:eastAsia="方正仿宋_GBK" w:cs="方正仿宋_GBK"/>
                <w:color w:val="auto"/>
                <w:lang w:bidi="ar"/>
              </w:rPr>
              <w:t>千伏城乡农网智慧化改造工程。</w:t>
            </w:r>
          </w:p>
        </w:tc>
        <w:tc>
          <w:tcPr>
            <w:tcW w:w="240"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新建</w:t>
            </w:r>
          </w:p>
        </w:tc>
        <w:tc>
          <w:tcPr>
            <w:tcW w:w="325" w:type="pct"/>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80000</w:t>
            </w:r>
          </w:p>
        </w:tc>
        <w:tc>
          <w:tcPr>
            <w:tcW w:w="398"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区经济信息委</w:t>
            </w:r>
          </w:p>
        </w:tc>
        <w:tc>
          <w:tcPr>
            <w:tcW w:w="329" w:type="pct"/>
            <w:noWrap w:val="0"/>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一期、二期、三期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175" w:type="pct"/>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27</w:t>
            </w:r>
          </w:p>
        </w:tc>
        <w:tc>
          <w:tcPr>
            <w:tcW w:w="351" w:type="pct"/>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油气设施智能化改造</w:t>
            </w:r>
          </w:p>
        </w:tc>
        <w:tc>
          <w:tcPr>
            <w:tcW w:w="303" w:type="pct"/>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转型促进基础设施</w:t>
            </w:r>
          </w:p>
        </w:tc>
        <w:tc>
          <w:tcPr>
            <w:tcW w:w="392" w:type="pct"/>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数字能源基础设施</w:t>
            </w:r>
          </w:p>
        </w:tc>
        <w:tc>
          <w:tcPr>
            <w:tcW w:w="616" w:type="pct"/>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相关企业</w:t>
            </w:r>
          </w:p>
        </w:tc>
        <w:tc>
          <w:tcPr>
            <w:tcW w:w="481" w:type="pct"/>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2025</w:t>
            </w:r>
            <w:r>
              <w:rPr>
                <w:rFonts w:hint="eastAsia" w:ascii="宋体" w:hAnsi="宋体" w:eastAsia="方正仿宋_GBK" w:cs="方正仿宋_GBK"/>
                <w:kern w:val="0"/>
                <w:szCs w:val="21"/>
                <w:lang w:bidi="ar"/>
              </w:rPr>
              <w:t>年</w:t>
            </w:r>
          </w:p>
        </w:tc>
        <w:tc>
          <w:tcPr>
            <w:tcW w:w="1078" w:type="pct"/>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完成全区加油（气）站、储备库、调峰中心等设施智慧化改造。</w:t>
            </w:r>
          </w:p>
        </w:tc>
        <w:tc>
          <w:tcPr>
            <w:tcW w:w="240" w:type="pct"/>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储备</w:t>
            </w:r>
          </w:p>
        </w:tc>
        <w:tc>
          <w:tcPr>
            <w:tcW w:w="325" w:type="pct"/>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30000</w:t>
            </w:r>
          </w:p>
        </w:tc>
        <w:tc>
          <w:tcPr>
            <w:tcW w:w="398" w:type="pct"/>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区商务委、区经济信息委</w:t>
            </w:r>
          </w:p>
        </w:tc>
        <w:tc>
          <w:tcPr>
            <w:tcW w:w="329" w:type="pct"/>
            <w:noWrap w:val="0"/>
            <w:vAlign w:val="center"/>
          </w:tcPr>
          <w:p>
            <w:pPr>
              <w:spacing w:line="211" w:lineRule="auto"/>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一期、二期、三期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175" w:type="pct"/>
            <w:tcBorders>
              <w:bottom w:val="single" w:color="auto" w:sz="4" w:space="0"/>
            </w:tcBorders>
            <w:noWrap w:val="0"/>
            <w:vAlign w:val="center"/>
          </w:tcPr>
          <w:p>
            <w:pPr>
              <w:jc w:val="center"/>
              <w:textAlignment w:val="bottom"/>
              <w:rPr>
                <w:rFonts w:ascii="宋体" w:hAnsi="宋体" w:eastAsia="方正仿宋_GBK" w:cs="方正仿宋_GBK"/>
                <w:szCs w:val="21"/>
                <w:lang w:bidi="ar"/>
              </w:rPr>
            </w:pPr>
            <w:r>
              <w:rPr>
                <w:rFonts w:hint="eastAsia" w:ascii="Times New Roman" w:hAnsi="Times New Roman" w:eastAsia="方正仿宋_GBK" w:cs="方正仿宋_GBK"/>
                <w:kern w:val="0"/>
                <w:szCs w:val="21"/>
                <w:lang w:bidi="ar"/>
              </w:rPr>
              <w:t>28</w:t>
            </w:r>
          </w:p>
        </w:tc>
        <w:tc>
          <w:tcPr>
            <w:tcW w:w="351" w:type="pct"/>
            <w:tcBorders>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黔江区智慧物流枢纽</w:t>
            </w:r>
          </w:p>
        </w:tc>
        <w:tc>
          <w:tcPr>
            <w:tcW w:w="303" w:type="pct"/>
            <w:tcBorders>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tcBorders>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融合应用基础设施</w:t>
            </w:r>
          </w:p>
        </w:tc>
        <w:tc>
          <w:tcPr>
            <w:tcW w:w="392" w:type="pct"/>
            <w:tcBorders>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公共服务智能化设施</w:t>
            </w:r>
          </w:p>
        </w:tc>
        <w:tc>
          <w:tcPr>
            <w:tcW w:w="616" w:type="pct"/>
            <w:tcBorders>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相关企业</w:t>
            </w:r>
          </w:p>
        </w:tc>
        <w:tc>
          <w:tcPr>
            <w:tcW w:w="481" w:type="pct"/>
            <w:tcBorders>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2025</w:t>
            </w:r>
            <w:r>
              <w:rPr>
                <w:rFonts w:hint="eastAsia" w:ascii="宋体" w:hAnsi="宋体" w:eastAsia="方正仿宋_GBK" w:cs="方正仿宋_GBK"/>
                <w:kern w:val="0"/>
                <w:szCs w:val="21"/>
                <w:lang w:bidi="ar"/>
              </w:rPr>
              <w:t>年</w:t>
            </w:r>
          </w:p>
        </w:tc>
        <w:tc>
          <w:tcPr>
            <w:tcW w:w="1078" w:type="pct"/>
            <w:tcBorders>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建设总建筑面积</w:t>
            </w:r>
            <w:r>
              <w:rPr>
                <w:rStyle w:val="33"/>
                <w:rFonts w:hint="eastAsia" w:eastAsia="方正仿宋_GBK" w:cs="方正仿宋_GBK"/>
                <w:color w:val="auto"/>
                <w:lang w:bidi="ar"/>
              </w:rPr>
              <w:t>10</w:t>
            </w:r>
            <w:r>
              <w:rPr>
                <w:rStyle w:val="30"/>
                <w:rFonts w:hint="eastAsia" w:ascii="宋体" w:hAnsi="宋体" w:eastAsia="方正仿宋_GBK" w:cs="方正仿宋_GBK"/>
                <w:color w:val="auto"/>
                <w:lang w:bidi="ar"/>
              </w:rPr>
              <w:t>万平方米的智慧物流中心。</w:t>
            </w:r>
          </w:p>
        </w:tc>
        <w:tc>
          <w:tcPr>
            <w:tcW w:w="240" w:type="pct"/>
            <w:tcBorders>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储备</w:t>
            </w:r>
          </w:p>
        </w:tc>
        <w:tc>
          <w:tcPr>
            <w:tcW w:w="325" w:type="pct"/>
            <w:tcBorders>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60000</w:t>
            </w:r>
          </w:p>
        </w:tc>
        <w:tc>
          <w:tcPr>
            <w:tcW w:w="398" w:type="pct"/>
            <w:tcBorders>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区商务委、区交通局</w:t>
            </w:r>
          </w:p>
        </w:tc>
        <w:tc>
          <w:tcPr>
            <w:tcW w:w="329" w:type="pct"/>
            <w:tcBorders>
              <w:bottom w:val="single" w:color="auto" w:sz="4" w:space="0"/>
            </w:tcBorders>
            <w:noWrap w:val="0"/>
            <w:vAlign w:val="center"/>
          </w:tcPr>
          <w:p>
            <w:pPr>
              <w:spacing w:line="211" w:lineRule="auto"/>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一期、二期、三期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175" w:type="pct"/>
            <w:tcBorders>
              <w:top w:val="single" w:color="auto" w:sz="4" w:space="0"/>
              <w:bottom w:val="single" w:color="auto" w:sz="4" w:space="0"/>
            </w:tcBorders>
            <w:noWrap w:val="0"/>
            <w:vAlign w:val="center"/>
          </w:tcPr>
          <w:p>
            <w:pPr>
              <w:jc w:val="center"/>
              <w:textAlignment w:val="bottom"/>
              <w:rPr>
                <w:rFonts w:ascii="宋体" w:hAnsi="宋体" w:eastAsia="方正仿宋_GBK" w:cs="方正仿宋_GBK"/>
                <w:szCs w:val="21"/>
                <w:lang w:bidi="ar"/>
              </w:rPr>
            </w:pPr>
            <w:r>
              <w:rPr>
                <w:rFonts w:hint="eastAsia" w:ascii="Times New Roman" w:hAnsi="Times New Roman" w:eastAsia="方正仿宋_GBK" w:cs="方正仿宋_GBK"/>
                <w:kern w:val="0"/>
                <w:szCs w:val="21"/>
                <w:lang w:bidi="ar"/>
              </w:rPr>
              <w:t>29</w:t>
            </w:r>
          </w:p>
        </w:tc>
        <w:tc>
          <w:tcPr>
            <w:tcW w:w="351" w:type="pct"/>
            <w:tcBorders>
              <w:top w:val="single" w:color="auto" w:sz="4" w:space="0"/>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爱莉丝庄园景区智慧景区管理系统</w:t>
            </w:r>
          </w:p>
        </w:tc>
        <w:tc>
          <w:tcPr>
            <w:tcW w:w="303" w:type="pct"/>
            <w:tcBorders>
              <w:top w:val="single" w:color="auto" w:sz="4" w:space="0"/>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tcBorders>
              <w:top w:val="single" w:color="auto" w:sz="4" w:space="0"/>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融合应用基础设施</w:t>
            </w:r>
          </w:p>
        </w:tc>
        <w:tc>
          <w:tcPr>
            <w:tcW w:w="392" w:type="pct"/>
            <w:tcBorders>
              <w:top w:val="single" w:color="auto" w:sz="4" w:space="0"/>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公共服务智能化设施</w:t>
            </w:r>
          </w:p>
        </w:tc>
        <w:tc>
          <w:tcPr>
            <w:tcW w:w="616" w:type="pct"/>
            <w:tcBorders>
              <w:top w:val="single" w:color="auto" w:sz="4" w:space="0"/>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区鸿业集团</w:t>
            </w:r>
          </w:p>
        </w:tc>
        <w:tc>
          <w:tcPr>
            <w:tcW w:w="481" w:type="pct"/>
            <w:tcBorders>
              <w:top w:val="single" w:color="auto" w:sz="4" w:space="0"/>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2022</w:t>
            </w:r>
            <w:r>
              <w:rPr>
                <w:rFonts w:hint="eastAsia" w:ascii="宋体" w:hAnsi="宋体" w:eastAsia="方正仿宋_GBK" w:cs="方正仿宋_GBK"/>
                <w:kern w:val="0"/>
                <w:szCs w:val="21"/>
                <w:lang w:bidi="ar"/>
              </w:rPr>
              <w:t>年</w:t>
            </w:r>
          </w:p>
        </w:tc>
        <w:tc>
          <w:tcPr>
            <w:tcW w:w="1078" w:type="pct"/>
            <w:tcBorders>
              <w:top w:val="single" w:color="auto" w:sz="4" w:space="0"/>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景区人脸识别、网络云大数据管理、智慧停车场管理、线上票务偏于、景区智能人脸识别等。</w:t>
            </w:r>
          </w:p>
        </w:tc>
        <w:tc>
          <w:tcPr>
            <w:tcW w:w="240" w:type="pct"/>
            <w:tcBorders>
              <w:top w:val="single" w:color="auto" w:sz="4" w:space="0"/>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新建</w:t>
            </w:r>
          </w:p>
        </w:tc>
        <w:tc>
          <w:tcPr>
            <w:tcW w:w="325" w:type="pct"/>
            <w:tcBorders>
              <w:top w:val="single" w:color="auto" w:sz="4" w:space="0"/>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500</w:t>
            </w:r>
          </w:p>
        </w:tc>
        <w:tc>
          <w:tcPr>
            <w:tcW w:w="398" w:type="pct"/>
            <w:tcBorders>
              <w:top w:val="single" w:color="auto" w:sz="4" w:space="0"/>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区文旅委</w:t>
            </w:r>
          </w:p>
        </w:tc>
        <w:tc>
          <w:tcPr>
            <w:tcW w:w="329" w:type="pct"/>
            <w:tcBorders>
              <w:top w:val="single" w:color="auto" w:sz="4" w:space="0"/>
              <w:bottom w:val="single" w:color="auto" w:sz="4" w:space="0"/>
            </w:tcBorders>
            <w:noWrap w:val="0"/>
            <w:vAlign w:val="center"/>
          </w:tcPr>
          <w:p>
            <w:pPr>
              <w:spacing w:line="211" w:lineRule="auto"/>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175"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30</w:t>
            </w:r>
          </w:p>
        </w:tc>
        <w:tc>
          <w:tcPr>
            <w:tcW w:w="351" w:type="pct"/>
            <w:tcBorders>
              <w:top w:val="single" w:color="auto" w:sz="4" w:space="0"/>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不停车检测系统</w:t>
            </w:r>
          </w:p>
        </w:tc>
        <w:tc>
          <w:tcPr>
            <w:tcW w:w="303" w:type="pct"/>
            <w:tcBorders>
              <w:top w:val="single" w:color="auto" w:sz="4" w:space="0"/>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tcBorders>
              <w:top w:val="single" w:color="auto" w:sz="4" w:space="0"/>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融合应用基础设施</w:t>
            </w:r>
          </w:p>
        </w:tc>
        <w:tc>
          <w:tcPr>
            <w:tcW w:w="392" w:type="pct"/>
            <w:tcBorders>
              <w:top w:val="single" w:color="auto" w:sz="4" w:space="0"/>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公共服务智能化设施</w:t>
            </w:r>
          </w:p>
        </w:tc>
        <w:tc>
          <w:tcPr>
            <w:tcW w:w="616" w:type="pct"/>
            <w:tcBorders>
              <w:top w:val="single" w:color="auto" w:sz="4" w:space="0"/>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区交通行政执法支队</w:t>
            </w:r>
          </w:p>
        </w:tc>
        <w:tc>
          <w:tcPr>
            <w:tcW w:w="481" w:type="pct"/>
            <w:tcBorders>
              <w:top w:val="single" w:color="auto" w:sz="4" w:space="0"/>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2025</w:t>
            </w:r>
            <w:r>
              <w:rPr>
                <w:rFonts w:hint="eastAsia" w:ascii="宋体" w:hAnsi="宋体" w:eastAsia="方正仿宋_GBK" w:cs="方正仿宋_GBK"/>
                <w:kern w:val="0"/>
                <w:szCs w:val="21"/>
                <w:lang w:bidi="ar"/>
              </w:rPr>
              <w:t>年</w:t>
            </w:r>
          </w:p>
        </w:tc>
        <w:tc>
          <w:tcPr>
            <w:tcW w:w="1078" w:type="pct"/>
            <w:tcBorders>
              <w:top w:val="single" w:color="auto" w:sz="4" w:space="0"/>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四个点、五套</w:t>
            </w:r>
          </w:p>
        </w:tc>
        <w:tc>
          <w:tcPr>
            <w:tcW w:w="240" w:type="pct"/>
            <w:tcBorders>
              <w:top w:val="single" w:color="auto" w:sz="4" w:space="0"/>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在建</w:t>
            </w:r>
          </w:p>
        </w:tc>
        <w:tc>
          <w:tcPr>
            <w:tcW w:w="325" w:type="pct"/>
            <w:tcBorders>
              <w:top w:val="single" w:color="auto" w:sz="4" w:space="0"/>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2000</w:t>
            </w:r>
          </w:p>
        </w:tc>
        <w:tc>
          <w:tcPr>
            <w:tcW w:w="398" w:type="pct"/>
            <w:tcBorders>
              <w:top w:val="single" w:color="auto" w:sz="4" w:space="0"/>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区交通局</w:t>
            </w:r>
          </w:p>
        </w:tc>
        <w:tc>
          <w:tcPr>
            <w:tcW w:w="329" w:type="pct"/>
            <w:tcBorders>
              <w:top w:val="single" w:color="auto" w:sz="4" w:space="0"/>
              <w:bottom w:val="single" w:color="auto" w:sz="4" w:space="0"/>
            </w:tcBorders>
            <w:noWrap w:val="0"/>
            <w:vAlign w:val="center"/>
          </w:tcPr>
          <w:p>
            <w:pPr>
              <w:spacing w:line="211" w:lineRule="auto"/>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一期、二期、三期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175"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31</w:t>
            </w:r>
          </w:p>
        </w:tc>
        <w:tc>
          <w:tcPr>
            <w:tcW w:w="351" w:type="pct"/>
            <w:tcBorders>
              <w:top w:val="single" w:color="auto" w:sz="4" w:space="0"/>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智慧商城</w:t>
            </w:r>
          </w:p>
        </w:tc>
        <w:tc>
          <w:tcPr>
            <w:tcW w:w="303" w:type="pct"/>
            <w:tcBorders>
              <w:top w:val="single" w:color="auto" w:sz="4" w:space="0"/>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tcBorders>
              <w:top w:val="single" w:color="auto" w:sz="4" w:space="0"/>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融合应用基础设施</w:t>
            </w:r>
          </w:p>
        </w:tc>
        <w:tc>
          <w:tcPr>
            <w:tcW w:w="392" w:type="pct"/>
            <w:tcBorders>
              <w:top w:val="single" w:color="auto" w:sz="4" w:space="0"/>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公共服务智能化设施</w:t>
            </w:r>
          </w:p>
        </w:tc>
        <w:tc>
          <w:tcPr>
            <w:tcW w:w="616" w:type="pct"/>
            <w:tcBorders>
              <w:top w:val="single" w:color="auto" w:sz="4" w:space="0"/>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重庆暹钭实业集团有限公司</w:t>
            </w:r>
          </w:p>
        </w:tc>
        <w:tc>
          <w:tcPr>
            <w:tcW w:w="481" w:type="pct"/>
            <w:tcBorders>
              <w:top w:val="single" w:color="auto" w:sz="4" w:space="0"/>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2020</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年</w:t>
            </w:r>
          </w:p>
        </w:tc>
        <w:tc>
          <w:tcPr>
            <w:tcW w:w="1078" w:type="pct"/>
            <w:tcBorders>
              <w:top w:val="single" w:color="auto" w:sz="4" w:space="0"/>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建设集O</w:t>
            </w:r>
            <w:r>
              <w:rPr>
                <w:rStyle w:val="33"/>
                <w:rFonts w:hint="eastAsia" w:eastAsia="方正仿宋_GBK" w:cs="方正仿宋_GBK"/>
                <w:color w:val="auto"/>
                <w:lang w:bidi="ar"/>
              </w:rPr>
              <w:t>2</w:t>
            </w:r>
            <w:r>
              <w:rPr>
                <w:rStyle w:val="33"/>
                <w:rFonts w:hint="eastAsia" w:ascii="宋体" w:hAnsi="宋体" w:eastAsia="方正仿宋_GBK" w:cs="方正仿宋_GBK"/>
                <w:color w:val="auto"/>
                <w:lang w:bidi="ar"/>
              </w:rPr>
              <w:t>O</w:t>
            </w:r>
            <w:r>
              <w:rPr>
                <w:rStyle w:val="30"/>
                <w:rFonts w:hint="eastAsia" w:ascii="宋体" w:hAnsi="宋体" w:eastAsia="方正仿宋_GBK" w:cs="方正仿宋_GBK"/>
                <w:color w:val="auto"/>
                <w:lang w:bidi="ar"/>
              </w:rPr>
              <w:t>电商、商圈金融、停车诱导、政务查询、社交平台、促销打折、旅游服务等功能于一体的平台。开发智慧商圈移动终端</w:t>
            </w:r>
            <w:r>
              <w:rPr>
                <w:rStyle w:val="33"/>
                <w:rFonts w:hint="eastAsia" w:eastAsia="方正仿宋_GBK" w:cs="方正仿宋_GBK"/>
                <w:color w:val="auto"/>
                <w:lang w:bidi="ar"/>
              </w:rPr>
              <w:t>APP</w:t>
            </w:r>
            <w:r>
              <w:rPr>
                <w:rStyle w:val="30"/>
                <w:rFonts w:hint="eastAsia" w:ascii="宋体" w:hAnsi="宋体" w:eastAsia="方正仿宋_GBK" w:cs="方正仿宋_GBK"/>
                <w:color w:val="auto"/>
                <w:lang w:bidi="ar"/>
              </w:rPr>
              <w:t>、智慧商圈网，实现智能化、便利化、一站式、综合性商圈有效供给。通过智能硬件、物联网等技术建立与消费者之间的联系，增强用户体验，实现商圈数字化、消费需求场景化，对商圈的整体动线规划、商业业态布局、安全、卫生等方面提供支撑</w:t>
            </w:r>
          </w:p>
        </w:tc>
        <w:tc>
          <w:tcPr>
            <w:tcW w:w="240" w:type="pct"/>
            <w:tcBorders>
              <w:top w:val="single" w:color="auto" w:sz="4" w:space="0"/>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在建</w:t>
            </w:r>
          </w:p>
        </w:tc>
        <w:tc>
          <w:tcPr>
            <w:tcW w:w="325" w:type="pct"/>
            <w:tcBorders>
              <w:top w:val="single" w:color="auto" w:sz="4" w:space="0"/>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200</w:t>
            </w:r>
          </w:p>
        </w:tc>
        <w:tc>
          <w:tcPr>
            <w:tcW w:w="398" w:type="pct"/>
            <w:tcBorders>
              <w:top w:val="single" w:color="auto" w:sz="4" w:space="0"/>
              <w:bottom w:val="single" w:color="auto" w:sz="4" w:space="0"/>
            </w:tcBorders>
            <w:noWrap w:val="0"/>
            <w:vAlign w:val="center"/>
          </w:tcPr>
          <w:p>
            <w:pPr>
              <w:spacing w:line="211"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区商务委</w:t>
            </w:r>
          </w:p>
        </w:tc>
        <w:tc>
          <w:tcPr>
            <w:tcW w:w="329" w:type="pct"/>
            <w:tcBorders>
              <w:top w:val="single" w:color="auto" w:sz="4" w:space="0"/>
              <w:bottom w:val="single" w:color="auto" w:sz="4" w:space="0"/>
            </w:tcBorders>
            <w:noWrap w:val="0"/>
            <w:vAlign w:val="center"/>
          </w:tcPr>
          <w:p>
            <w:pPr>
              <w:spacing w:line="211" w:lineRule="auto"/>
              <w:jc w:val="center"/>
              <w:textAlignment w:val="bottom"/>
              <w:rPr>
                <w:rFonts w:ascii="宋体" w:hAnsi="宋体" w:eastAsia="方正仿宋_GBK" w:cs="方正仿宋_GBK"/>
                <w:kern w:val="0"/>
                <w:szCs w:val="21"/>
                <w:lang w:bidi="ar"/>
              </w:rPr>
            </w:pPr>
            <w:r>
              <w:rPr>
                <w:rFonts w:hint="eastAsia" w:ascii="宋体" w:hAnsi="宋体" w:eastAsia="方正仿宋_GBK" w:cs="方正仿宋_GBK"/>
                <w:kern w:val="0"/>
                <w:szCs w:val="21"/>
                <w:lang w:bidi="ar"/>
              </w:rPr>
              <w:t>一期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175"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32</w:t>
            </w:r>
          </w:p>
        </w:tc>
        <w:tc>
          <w:tcPr>
            <w:tcW w:w="351" w:type="pct"/>
            <w:tcBorders>
              <w:top w:val="single" w:color="auto" w:sz="4" w:space="0"/>
              <w:bottom w:val="single" w:color="auto" w:sz="4" w:space="0"/>
            </w:tcBorders>
            <w:noWrap w:val="0"/>
            <w:vAlign w:val="center"/>
          </w:tcPr>
          <w:p>
            <w:pPr>
              <w:spacing w:line="216"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黔江区应急指挥中心</w:t>
            </w:r>
          </w:p>
        </w:tc>
        <w:tc>
          <w:tcPr>
            <w:tcW w:w="303" w:type="pct"/>
            <w:tcBorders>
              <w:top w:val="single" w:color="auto" w:sz="4" w:space="0"/>
              <w:bottom w:val="single" w:color="auto" w:sz="4" w:space="0"/>
            </w:tcBorders>
            <w:noWrap w:val="0"/>
            <w:vAlign w:val="center"/>
          </w:tcPr>
          <w:p>
            <w:pPr>
              <w:spacing w:line="216"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tcBorders>
              <w:top w:val="single" w:color="auto" w:sz="4" w:space="0"/>
              <w:bottom w:val="single" w:color="auto" w:sz="4" w:space="0"/>
            </w:tcBorders>
            <w:noWrap w:val="0"/>
            <w:vAlign w:val="center"/>
          </w:tcPr>
          <w:p>
            <w:pPr>
              <w:spacing w:line="216"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融合应用基础设施</w:t>
            </w:r>
          </w:p>
        </w:tc>
        <w:tc>
          <w:tcPr>
            <w:tcW w:w="392" w:type="pct"/>
            <w:tcBorders>
              <w:top w:val="single" w:color="auto" w:sz="4" w:space="0"/>
              <w:bottom w:val="single" w:color="auto" w:sz="4" w:space="0"/>
            </w:tcBorders>
            <w:noWrap w:val="0"/>
            <w:vAlign w:val="center"/>
          </w:tcPr>
          <w:p>
            <w:pPr>
              <w:spacing w:line="216"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公共服务智能化设施</w:t>
            </w:r>
          </w:p>
        </w:tc>
        <w:tc>
          <w:tcPr>
            <w:tcW w:w="616" w:type="pct"/>
            <w:tcBorders>
              <w:top w:val="single" w:color="auto" w:sz="4" w:space="0"/>
              <w:bottom w:val="single" w:color="auto" w:sz="4" w:space="0"/>
            </w:tcBorders>
            <w:noWrap w:val="0"/>
            <w:vAlign w:val="center"/>
          </w:tcPr>
          <w:p>
            <w:pPr>
              <w:spacing w:line="216"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区应急管理局</w:t>
            </w:r>
          </w:p>
        </w:tc>
        <w:tc>
          <w:tcPr>
            <w:tcW w:w="481" w:type="pct"/>
            <w:tcBorders>
              <w:top w:val="single" w:color="auto" w:sz="4" w:space="0"/>
              <w:bottom w:val="single" w:color="auto" w:sz="4" w:space="0"/>
            </w:tcBorders>
            <w:noWrap w:val="0"/>
            <w:vAlign w:val="center"/>
          </w:tcPr>
          <w:p>
            <w:pPr>
              <w:spacing w:line="216" w:lineRule="auto"/>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2020</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2022</w:t>
            </w:r>
            <w:r>
              <w:rPr>
                <w:rFonts w:hint="eastAsia" w:ascii="宋体" w:hAnsi="宋体" w:eastAsia="方正仿宋_GBK" w:cs="方正仿宋_GBK"/>
                <w:kern w:val="0"/>
                <w:szCs w:val="21"/>
                <w:lang w:bidi="ar"/>
              </w:rPr>
              <w:t>年</w:t>
            </w:r>
          </w:p>
        </w:tc>
        <w:tc>
          <w:tcPr>
            <w:tcW w:w="1078" w:type="pct"/>
            <w:tcBorders>
              <w:top w:val="single" w:color="auto" w:sz="4" w:space="0"/>
              <w:bottom w:val="single" w:color="auto" w:sz="4" w:space="0"/>
            </w:tcBorders>
            <w:noWrap w:val="0"/>
            <w:vAlign w:val="center"/>
          </w:tcPr>
          <w:p>
            <w:pPr>
              <w:spacing w:line="216"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建设视频会议系统、视频系统、音频系统、视频融合控制系统。</w:t>
            </w:r>
          </w:p>
        </w:tc>
        <w:tc>
          <w:tcPr>
            <w:tcW w:w="240"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在建</w:t>
            </w:r>
          </w:p>
        </w:tc>
        <w:tc>
          <w:tcPr>
            <w:tcW w:w="325"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1000</w:t>
            </w:r>
          </w:p>
        </w:tc>
        <w:tc>
          <w:tcPr>
            <w:tcW w:w="398"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区应急管理局</w:t>
            </w:r>
          </w:p>
        </w:tc>
        <w:tc>
          <w:tcPr>
            <w:tcW w:w="329"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175"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33</w:t>
            </w:r>
          </w:p>
        </w:tc>
        <w:tc>
          <w:tcPr>
            <w:tcW w:w="351" w:type="pct"/>
            <w:tcBorders>
              <w:top w:val="single" w:color="auto" w:sz="4" w:space="0"/>
            </w:tcBorders>
            <w:noWrap w:val="0"/>
            <w:vAlign w:val="center"/>
          </w:tcPr>
          <w:p>
            <w:pPr>
              <w:spacing w:line="216"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黔江区森林火灾高风险区综合治理建设项目</w:t>
            </w:r>
          </w:p>
        </w:tc>
        <w:tc>
          <w:tcPr>
            <w:tcW w:w="303" w:type="pct"/>
            <w:tcBorders>
              <w:top w:val="single" w:color="auto" w:sz="4" w:space="0"/>
            </w:tcBorders>
            <w:noWrap w:val="0"/>
            <w:vAlign w:val="center"/>
          </w:tcPr>
          <w:p>
            <w:pPr>
              <w:spacing w:line="216"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tcBorders>
              <w:top w:val="single" w:color="auto" w:sz="4" w:space="0"/>
            </w:tcBorders>
            <w:noWrap w:val="0"/>
            <w:vAlign w:val="center"/>
          </w:tcPr>
          <w:p>
            <w:pPr>
              <w:spacing w:line="216"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融合应用基础设施</w:t>
            </w:r>
          </w:p>
        </w:tc>
        <w:tc>
          <w:tcPr>
            <w:tcW w:w="392" w:type="pct"/>
            <w:tcBorders>
              <w:top w:val="single" w:color="auto" w:sz="4" w:space="0"/>
            </w:tcBorders>
            <w:noWrap w:val="0"/>
            <w:vAlign w:val="center"/>
          </w:tcPr>
          <w:p>
            <w:pPr>
              <w:spacing w:line="216"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公共服务智能化设施</w:t>
            </w:r>
          </w:p>
        </w:tc>
        <w:tc>
          <w:tcPr>
            <w:tcW w:w="616" w:type="pct"/>
            <w:tcBorders>
              <w:top w:val="single" w:color="auto" w:sz="4" w:space="0"/>
            </w:tcBorders>
            <w:noWrap w:val="0"/>
            <w:vAlign w:val="center"/>
          </w:tcPr>
          <w:p>
            <w:pPr>
              <w:spacing w:line="216"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区林业局</w:t>
            </w:r>
          </w:p>
        </w:tc>
        <w:tc>
          <w:tcPr>
            <w:tcW w:w="481" w:type="pct"/>
            <w:tcBorders>
              <w:top w:val="single" w:color="auto" w:sz="4" w:space="0"/>
            </w:tcBorders>
            <w:noWrap w:val="0"/>
            <w:vAlign w:val="center"/>
          </w:tcPr>
          <w:p>
            <w:pPr>
              <w:spacing w:line="216" w:lineRule="auto"/>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2020</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2022</w:t>
            </w:r>
            <w:r>
              <w:rPr>
                <w:rFonts w:hint="eastAsia" w:ascii="宋体" w:hAnsi="宋体" w:eastAsia="方正仿宋_GBK" w:cs="方正仿宋_GBK"/>
                <w:kern w:val="0"/>
                <w:szCs w:val="21"/>
                <w:lang w:bidi="ar"/>
              </w:rPr>
              <w:t>年</w:t>
            </w:r>
          </w:p>
        </w:tc>
        <w:tc>
          <w:tcPr>
            <w:tcW w:w="1078" w:type="pct"/>
            <w:tcBorders>
              <w:top w:val="single" w:color="auto" w:sz="4" w:space="0"/>
            </w:tcBorders>
            <w:noWrap w:val="0"/>
            <w:vAlign w:val="center"/>
          </w:tcPr>
          <w:p>
            <w:pPr>
              <w:spacing w:line="216"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配备机具及装备，提升以水灭火能力，建设森林防火检查站及卡口、防火卡口系统、林火监测系统等。</w:t>
            </w:r>
          </w:p>
        </w:tc>
        <w:tc>
          <w:tcPr>
            <w:tcW w:w="240"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在建</w:t>
            </w:r>
          </w:p>
        </w:tc>
        <w:tc>
          <w:tcPr>
            <w:tcW w:w="325"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1200</w:t>
            </w:r>
          </w:p>
        </w:tc>
        <w:tc>
          <w:tcPr>
            <w:tcW w:w="398"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区林业局</w:t>
            </w:r>
          </w:p>
        </w:tc>
        <w:tc>
          <w:tcPr>
            <w:tcW w:w="329" w:type="pct"/>
            <w:tcBorders>
              <w:top w:val="single" w:color="auto" w:sz="4" w:space="0"/>
            </w:tcBorders>
            <w:noWrap w:val="0"/>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175"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34</w:t>
            </w:r>
          </w:p>
        </w:tc>
        <w:tc>
          <w:tcPr>
            <w:tcW w:w="351" w:type="pct"/>
            <w:tcBorders>
              <w:top w:val="single" w:color="auto" w:sz="4" w:space="0"/>
              <w:bottom w:val="single" w:color="auto" w:sz="4" w:space="0"/>
            </w:tcBorders>
            <w:noWrap w:val="0"/>
            <w:vAlign w:val="center"/>
          </w:tcPr>
          <w:p>
            <w:pPr>
              <w:spacing w:line="216"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智慧社区矫正</w:t>
            </w:r>
          </w:p>
        </w:tc>
        <w:tc>
          <w:tcPr>
            <w:tcW w:w="303" w:type="pct"/>
            <w:tcBorders>
              <w:top w:val="single" w:color="auto" w:sz="4" w:space="0"/>
              <w:bottom w:val="single" w:color="auto" w:sz="4" w:space="0"/>
            </w:tcBorders>
            <w:noWrap w:val="0"/>
            <w:vAlign w:val="center"/>
          </w:tcPr>
          <w:p>
            <w:pPr>
              <w:spacing w:line="216"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tcBorders>
              <w:top w:val="single" w:color="auto" w:sz="4" w:space="0"/>
              <w:bottom w:val="single" w:color="auto" w:sz="4" w:space="0"/>
            </w:tcBorders>
            <w:noWrap w:val="0"/>
            <w:vAlign w:val="center"/>
          </w:tcPr>
          <w:p>
            <w:pPr>
              <w:spacing w:line="216"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融合应用基础设施</w:t>
            </w:r>
          </w:p>
        </w:tc>
        <w:tc>
          <w:tcPr>
            <w:tcW w:w="392" w:type="pct"/>
            <w:tcBorders>
              <w:top w:val="single" w:color="auto" w:sz="4" w:space="0"/>
              <w:bottom w:val="single" w:color="auto" w:sz="4" w:space="0"/>
            </w:tcBorders>
            <w:noWrap w:val="0"/>
            <w:vAlign w:val="center"/>
          </w:tcPr>
          <w:p>
            <w:pPr>
              <w:spacing w:line="216"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公共安全智能化设施</w:t>
            </w:r>
          </w:p>
        </w:tc>
        <w:tc>
          <w:tcPr>
            <w:tcW w:w="616" w:type="pct"/>
            <w:tcBorders>
              <w:top w:val="single" w:color="auto" w:sz="4" w:space="0"/>
              <w:bottom w:val="single" w:color="auto" w:sz="4" w:space="0"/>
            </w:tcBorders>
            <w:noWrap w:val="0"/>
            <w:vAlign w:val="center"/>
          </w:tcPr>
          <w:p>
            <w:pPr>
              <w:spacing w:line="216"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相关企业</w:t>
            </w:r>
          </w:p>
        </w:tc>
        <w:tc>
          <w:tcPr>
            <w:tcW w:w="481" w:type="pct"/>
            <w:tcBorders>
              <w:top w:val="single" w:color="auto" w:sz="4" w:space="0"/>
              <w:bottom w:val="single" w:color="auto" w:sz="4" w:space="0"/>
            </w:tcBorders>
            <w:noWrap w:val="0"/>
            <w:vAlign w:val="center"/>
          </w:tcPr>
          <w:p>
            <w:pPr>
              <w:spacing w:line="216" w:lineRule="auto"/>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2020</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年</w:t>
            </w:r>
          </w:p>
        </w:tc>
        <w:tc>
          <w:tcPr>
            <w:tcW w:w="1078" w:type="pct"/>
            <w:tcBorders>
              <w:top w:val="single" w:color="auto" w:sz="4" w:space="0"/>
              <w:bottom w:val="single" w:color="auto" w:sz="4" w:space="0"/>
            </w:tcBorders>
            <w:noWrap w:val="0"/>
            <w:vAlign w:val="center"/>
          </w:tcPr>
          <w:p>
            <w:pPr>
              <w:spacing w:line="216"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建成集社区矫正大数据分析、日常监管、突发事件应急处置和远程视频督察等于一体的综合信息管理平台，提升社区矫正智能化水平。</w:t>
            </w:r>
          </w:p>
        </w:tc>
        <w:tc>
          <w:tcPr>
            <w:tcW w:w="240"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在建</w:t>
            </w:r>
          </w:p>
        </w:tc>
        <w:tc>
          <w:tcPr>
            <w:tcW w:w="325"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1000</w:t>
            </w:r>
          </w:p>
        </w:tc>
        <w:tc>
          <w:tcPr>
            <w:tcW w:w="398"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区司法局</w:t>
            </w:r>
          </w:p>
        </w:tc>
        <w:tc>
          <w:tcPr>
            <w:tcW w:w="329"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175" w:type="pct"/>
            <w:tcBorders>
              <w:top w:val="single" w:color="auto" w:sz="4" w:space="0"/>
            </w:tcBorders>
            <w:noWrap w:val="0"/>
            <w:vAlign w:val="center"/>
          </w:tcPr>
          <w:p>
            <w:pPr>
              <w:jc w:val="center"/>
              <w:textAlignment w:val="bottom"/>
              <w:rPr>
                <w:rFonts w:ascii="宋体" w:hAnsi="宋体" w:eastAsia="方正仿宋_GBK" w:cs="方正仿宋_GBK"/>
                <w:szCs w:val="21"/>
                <w:lang w:bidi="ar"/>
              </w:rPr>
            </w:pPr>
            <w:r>
              <w:rPr>
                <w:rFonts w:hint="eastAsia" w:ascii="Times New Roman" w:hAnsi="Times New Roman" w:eastAsia="方正仿宋_GBK" w:cs="方正仿宋_GBK"/>
                <w:kern w:val="0"/>
                <w:szCs w:val="21"/>
                <w:lang w:bidi="ar"/>
              </w:rPr>
              <w:t>35</w:t>
            </w:r>
          </w:p>
        </w:tc>
        <w:tc>
          <w:tcPr>
            <w:tcW w:w="351" w:type="pct"/>
            <w:tcBorders>
              <w:top w:val="single" w:color="auto" w:sz="4" w:space="0"/>
            </w:tcBorders>
            <w:noWrap w:val="0"/>
            <w:vAlign w:val="center"/>
          </w:tcPr>
          <w:p>
            <w:pPr>
              <w:spacing w:line="216"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智慧园区</w:t>
            </w:r>
          </w:p>
        </w:tc>
        <w:tc>
          <w:tcPr>
            <w:tcW w:w="303" w:type="pct"/>
            <w:tcBorders>
              <w:top w:val="single" w:color="auto" w:sz="4" w:space="0"/>
            </w:tcBorders>
            <w:noWrap w:val="0"/>
            <w:vAlign w:val="center"/>
          </w:tcPr>
          <w:p>
            <w:pPr>
              <w:spacing w:line="216"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tcBorders>
              <w:top w:val="single" w:color="auto" w:sz="4" w:space="0"/>
            </w:tcBorders>
            <w:noWrap w:val="0"/>
            <w:vAlign w:val="center"/>
          </w:tcPr>
          <w:p>
            <w:pPr>
              <w:spacing w:line="216"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融合应用基础设施</w:t>
            </w:r>
          </w:p>
        </w:tc>
        <w:tc>
          <w:tcPr>
            <w:tcW w:w="392" w:type="pct"/>
            <w:tcBorders>
              <w:top w:val="single" w:color="auto" w:sz="4" w:space="0"/>
            </w:tcBorders>
            <w:noWrap w:val="0"/>
            <w:vAlign w:val="center"/>
          </w:tcPr>
          <w:p>
            <w:pPr>
              <w:spacing w:line="216"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传统基础设施改造</w:t>
            </w:r>
          </w:p>
        </w:tc>
        <w:tc>
          <w:tcPr>
            <w:tcW w:w="616" w:type="pct"/>
            <w:tcBorders>
              <w:top w:val="single" w:color="auto" w:sz="4" w:space="0"/>
            </w:tcBorders>
            <w:noWrap w:val="0"/>
            <w:vAlign w:val="center"/>
          </w:tcPr>
          <w:p>
            <w:pPr>
              <w:spacing w:line="216"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相关企业</w:t>
            </w:r>
          </w:p>
        </w:tc>
        <w:tc>
          <w:tcPr>
            <w:tcW w:w="481" w:type="pct"/>
            <w:tcBorders>
              <w:top w:val="single" w:color="auto" w:sz="4" w:space="0"/>
            </w:tcBorders>
            <w:noWrap w:val="0"/>
            <w:vAlign w:val="center"/>
          </w:tcPr>
          <w:p>
            <w:pPr>
              <w:spacing w:line="216" w:lineRule="auto"/>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2025</w:t>
            </w:r>
            <w:r>
              <w:rPr>
                <w:rFonts w:hint="eastAsia" w:ascii="宋体" w:hAnsi="宋体" w:eastAsia="方正仿宋_GBK" w:cs="方正仿宋_GBK"/>
                <w:kern w:val="0"/>
                <w:szCs w:val="21"/>
                <w:lang w:bidi="ar"/>
              </w:rPr>
              <w:t>年</w:t>
            </w:r>
          </w:p>
        </w:tc>
        <w:tc>
          <w:tcPr>
            <w:tcW w:w="1078" w:type="pct"/>
            <w:tcBorders>
              <w:top w:val="single" w:color="auto" w:sz="4" w:space="0"/>
            </w:tcBorders>
            <w:noWrap w:val="0"/>
            <w:vAlign w:val="center"/>
          </w:tcPr>
          <w:p>
            <w:pPr>
              <w:spacing w:line="216" w:lineRule="auto"/>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依托园区现有基础化打造智慧园区运营信息化、服务平台化、社区移动化、数字智能化的准四化模式，打造统一平台，设立园区数据中心，具有全面感知、通信顺畅、随需应变等特点，提升产业发展软实力</w:t>
            </w:r>
            <w:r>
              <w:rPr>
                <w:rStyle w:val="30"/>
                <w:rFonts w:hint="eastAsia" w:ascii="宋体" w:hAnsi="宋体" w:eastAsia="方正仿宋_GBK" w:cs="方正仿宋_GBK"/>
                <w:color w:val="auto"/>
                <w:lang w:bidi="ar"/>
              </w:rPr>
              <w:t>。搭建园区大数据智能化产业实用性人才培养、孵化和输送基地，建成大数据智能化产业发展先行区。</w:t>
            </w:r>
          </w:p>
        </w:tc>
        <w:tc>
          <w:tcPr>
            <w:tcW w:w="240"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储备</w:t>
            </w:r>
          </w:p>
        </w:tc>
        <w:tc>
          <w:tcPr>
            <w:tcW w:w="325"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3400</w:t>
            </w:r>
          </w:p>
        </w:tc>
        <w:tc>
          <w:tcPr>
            <w:tcW w:w="398"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正阳工业园区管委会</w:t>
            </w:r>
          </w:p>
        </w:tc>
        <w:tc>
          <w:tcPr>
            <w:tcW w:w="329" w:type="pct"/>
            <w:tcBorders>
              <w:top w:val="single" w:color="auto" w:sz="4" w:space="0"/>
            </w:tcBorders>
            <w:noWrap w:val="0"/>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一期、二期、三期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175" w:type="pct"/>
            <w:noWrap w:val="0"/>
            <w:vAlign w:val="center"/>
          </w:tcPr>
          <w:p>
            <w:pPr>
              <w:jc w:val="center"/>
              <w:textAlignment w:val="bottom"/>
              <w:rPr>
                <w:rFonts w:ascii="宋体" w:hAnsi="宋体" w:eastAsia="方正仿宋_GBK" w:cs="方正仿宋_GBK"/>
                <w:szCs w:val="21"/>
                <w:lang w:bidi="ar"/>
              </w:rPr>
            </w:pPr>
            <w:r>
              <w:rPr>
                <w:rFonts w:hint="eastAsia" w:ascii="Times New Roman" w:hAnsi="Times New Roman" w:eastAsia="方正仿宋_GBK" w:cs="方正仿宋_GBK"/>
                <w:kern w:val="0"/>
                <w:szCs w:val="21"/>
                <w:lang w:bidi="ar"/>
              </w:rPr>
              <w:t>36</w:t>
            </w:r>
          </w:p>
        </w:tc>
        <w:tc>
          <w:tcPr>
            <w:tcW w:w="351"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智慧交通</w:t>
            </w:r>
          </w:p>
        </w:tc>
        <w:tc>
          <w:tcPr>
            <w:tcW w:w="303"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融合应用基础设施</w:t>
            </w:r>
          </w:p>
        </w:tc>
        <w:tc>
          <w:tcPr>
            <w:tcW w:w="392"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公共服务智能化设施</w:t>
            </w:r>
          </w:p>
        </w:tc>
        <w:tc>
          <w:tcPr>
            <w:tcW w:w="616"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区交通行政执法支队</w:t>
            </w:r>
          </w:p>
        </w:tc>
        <w:tc>
          <w:tcPr>
            <w:tcW w:w="481" w:type="pct"/>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2025</w:t>
            </w:r>
            <w:r>
              <w:rPr>
                <w:rFonts w:hint="eastAsia" w:ascii="宋体" w:hAnsi="宋体" w:eastAsia="方正仿宋_GBK" w:cs="方正仿宋_GBK"/>
                <w:kern w:val="0"/>
                <w:szCs w:val="21"/>
                <w:lang w:bidi="ar"/>
              </w:rPr>
              <w:t>年</w:t>
            </w:r>
          </w:p>
        </w:tc>
        <w:tc>
          <w:tcPr>
            <w:tcW w:w="1078"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新建智能交通集成指挥平台、</w:t>
            </w:r>
            <w:r>
              <w:rPr>
                <w:rStyle w:val="33"/>
                <w:rFonts w:hint="eastAsia" w:ascii="宋体" w:hAnsi="宋体" w:eastAsia="方正仿宋_GBK" w:cs="方正仿宋_GBK"/>
                <w:color w:val="auto"/>
                <w:lang w:bidi="ar"/>
              </w:rPr>
              <w:t>AR</w:t>
            </w:r>
            <w:r>
              <w:rPr>
                <w:rStyle w:val="30"/>
                <w:rFonts w:hint="eastAsia" w:ascii="宋体" w:hAnsi="宋体" w:eastAsia="方正仿宋_GBK" w:cs="方正仿宋_GBK"/>
                <w:color w:val="auto"/>
                <w:lang w:bidi="ar"/>
              </w:rPr>
              <w:t>防控指挥系统、车辆大数据系统、高清视频分析、综合信息采集系统等。</w:t>
            </w:r>
          </w:p>
        </w:tc>
        <w:tc>
          <w:tcPr>
            <w:tcW w:w="240"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储备</w:t>
            </w:r>
          </w:p>
        </w:tc>
        <w:tc>
          <w:tcPr>
            <w:tcW w:w="325" w:type="pct"/>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11843</w:t>
            </w:r>
          </w:p>
        </w:tc>
        <w:tc>
          <w:tcPr>
            <w:tcW w:w="398"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区公安局</w:t>
            </w:r>
          </w:p>
        </w:tc>
        <w:tc>
          <w:tcPr>
            <w:tcW w:w="329" w:type="pct"/>
            <w:noWrap w:val="0"/>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一期、二期、三期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175" w:type="pct"/>
            <w:noWrap w:val="0"/>
            <w:vAlign w:val="center"/>
          </w:tcPr>
          <w:p>
            <w:pPr>
              <w:jc w:val="center"/>
              <w:textAlignment w:val="bottom"/>
              <w:rPr>
                <w:rFonts w:ascii="宋体" w:hAnsi="宋体" w:eastAsia="方正仿宋_GBK" w:cs="方正仿宋_GBK"/>
                <w:szCs w:val="21"/>
                <w:lang w:bidi="ar"/>
              </w:rPr>
            </w:pPr>
            <w:r>
              <w:rPr>
                <w:rFonts w:hint="eastAsia" w:ascii="Times New Roman" w:hAnsi="Times New Roman" w:eastAsia="方正仿宋_GBK" w:cs="方正仿宋_GBK"/>
                <w:kern w:val="0"/>
                <w:szCs w:val="21"/>
                <w:lang w:bidi="ar"/>
              </w:rPr>
              <w:t>37</w:t>
            </w:r>
          </w:p>
        </w:tc>
        <w:tc>
          <w:tcPr>
            <w:tcW w:w="351"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黔江区智慧教育项目</w:t>
            </w:r>
          </w:p>
        </w:tc>
        <w:tc>
          <w:tcPr>
            <w:tcW w:w="303"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融合应用基础设施</w:t>
            </w:r>
          </w:p>
        </w:tc>
        <w:tc>
          <w:tcPr>
            <w:tcW w:w="392"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公共服务智能化设施</w:t>
            </w:r>
          </w:p>
        </w:tc>
        <w:tc>
          <w:tcPr>
            <w:tcW w:w="616"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相关企业</w:t>
            </w:r>
          </w:p>
        </w:tc>
        <w:tc>
          <w:tcPr>
            <w:tcW w:w="481" w:type="pct"/>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2025</w:t>
            </w:r>
            <w:r>
              <w:rPr>
                <w:rFonts w:hint="eastAsia" w:ascii="宋体" w:hAnsi="宋体" w:eastAsia="方正仿宋_GBK" w:cs="方正仿宋_GBK"/>
                <w:kern w:val="0"/>
                <w:szCs w:val="21"/>
                <w:lang w:bidi="ar"/>
              </w:rPr>
              <w:t>年</w:t>
            </w:r>
          </w:p>
        </w:tc>
        <w:tc>
          <w:tcPr>
            <w:tcW w:w="1078"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建新建基础支撑平台、教育资源公共服务平台、教育管理公共服务平台和教育大数据平台、平安校园视联网平台，配套建设校园网络、互动式多媒体教学设备、在线巡课系统、计算机网络教室、通用技术教室等。</w:t>
            </w:r>
          </w:p>
        </w:tc>
        <w:tc>
          <w:tcPr>
            <w:tcW w:w="240"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储备</w:t>
            </w:r>
          </w:p>
        </w:tc>
        <w:tc>
          <w:tcPr>
            <w:tcW w:w="325" w:type="pct"/>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24557</w:t>
            </w:r>
          </w:p>
        </w:tc>
        <w:tc>
          <w:tcPr>
            <w:tcW w:w="398"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区教委</w:t>
            </w:r>
          </w:p>
        </w:tc>
        <w:tc>
          <w:tcPr>
            <w:tcW w:w="329" w:type="pct"/>
            <w:noWrap w:val="0"/>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一期、二期、三期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175" w:type="pct"/>
            <w:noWrap w:val="0"/>
            <w:vAlign w:val="center"/>
          </w:tcPr>
          <w:p>
            <w:pPr>
              <w:jc w:val="center"/>
              <w:textAlignment w:val="bottom"/>
              <w:rPr>
                <w:rFonts w:ascii="宋体" w:hAnsi="宋体" w:eastAsia="方正仿宋_GBK" w:cs="方正仿宋_GBK"/>
                <w:kern w:val="0"/>
                <w:szCs w:val="21"/>
                <w:lang w:bidi="ar"/>
              </w:rPr>
            </w:pPr>
            <w:r>
              <w:rPr>
                <w:rFonts w:hint="eastAsia" w:ascii="Times New Roman" w:hAnsi="Times New Roman" w:eastAsia="方正仿宋_GBK" w:cs="方正仿宋_GBK"/>
                <w:kern w:val="0"/>
                <w:szCs w:val="21"/>
                <w:lang w:bidi="ar"/>
              </w:rPr>
              <w:t>38</w:t>
            </w:r>
          </w:p>
        </w:tc>
        <w:tc>
          <w:tcPr>
            <w:tcW w:w="351" w:type="pct"/>
            <w:noWrap w:val="0"/>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能源大数据中心</w:t>
            </w:r>
          </w:p>
        </w:tc>
        <w:tc>
          <w:tcPr>
            <w:tcW w:w="303" w:type="pct"/>
            <w:noWrap w:val="0"/>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融合基础设施</w:t>
            </w:r>
          </w:p>
        </w:tc>
        <w:tc>
          <w:tcPr>
            <w:tcW w:w="312" w:type="pct"/>
            <w:noWrap w:val="0"/>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融合应用基础设施</w:t>
            </w:r>
          </w:p>
        </w:tc>
        <w:tc>
          <w:tcPr>
            <w:tcW w:w="392" w:type="pct"/>
            <w:noWrap w:val="0"/>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公共服务智能化设施</w:t>
            </w:r>
          </w:p>
        </w:tc>
        <w:tc>
          <w:tcPr>
            <w:tcW w:w="616" w:type="pct"/>
            <w:noWrap w:val="0"/>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国网重庆市电力公司黔江供电分公司</w:t>
            </w:r>
          </w:p>
        </w:tc>
        <w:tc>
          <w:tcPr>
            <w:tcW w:w="481" w:type="pct"/>
            <w:noWrap w:val="0"/>
            <w:vAlign w:val="center"/>
          </w:tcPr>
          <w:p>
            <w:pPr>
              <w:jc w:val="center"/>
              <w:textAlignment w:val="bottom"/>
              <w:rPr>
                <w:rFonts w:hint="eastAsia" w:ascii="宋体" w:hAnsi="宋体" w:eastAsia="方正仿宋_GBK" w:cs="方正仿宋_GBK"/>
                <w:kern w:val="0"/>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2023</w:t>
            </w:r>
            <w:r>
              <w:rPr>
                <w:rFonts w:hint="eastAsia" w:ascii="宋体" w:hAnsi="宋体" w:eastAsia="方正仿宋_GBK" w:cs="方正仿宋_GBK"/>
                <w:kern w:val="0"/>
                <w:szCs w:val="21"/>
                <w:lang w:bidi="ar"/>
              </w:rPr>
              <w:t>年</w:t>
            </w:r>
          </w:p>
        </w:tc>
        <w:tc>
          <w:tcPr>
            <w:tcW w:w="1078" w:type="pct"/>
            <w:noWrap w:val="0"/>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依托重庆市能源大数据中心建设黔江区能源大数据中心。面向政府机构，提供数据产品服务，助力政府社会治理现代化和公共服务高效化；面向社会公众，提供企业、居民用能分析诊断、节能环保建议等服务，促进社会智慧用能；面向能源行业，发布较为权威的能源行业发展年鉴、能源行业发展趋势研究报告等，服务行业创新发展。</w:t>
            </w:r>
          </w:p>
        </w:tc>
        <w:tc>
          <w:tcPr>
            <w:tcW w:w="240" w:type="pct"/>
            <w:noWrap w:val="0"/>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新建</w:t>
            </w:r>
          </w:p>
        </w:tc>
        <w:tc>
          <w:tcPr>
            <w:tcW w:w="325" w:type="pct"/>
            <w:noWrap w:val="0"/>
            <w:vAlign w:val="center"/>
          </w:tcPr>
          <w:p>
            <w:pPr>
              <w:jc w:val="center"/>
              <w:textAlignment w:val="bottom"/>
              <w:rPr>
                <w:rFonts w:hint="eastAsia" w:ascii="宋体" w:hAnsi="宋体" w:eastAsia="方正仿宋_GBK" w:cs="方正仿宋_GBK"/>
                <w:kern w:val="0"/>
                <w:szCs w:val="21"/>
                <w:lang w:bidi="ar"/>
              </w:rPr>
            </w:pPr>
          </w:p>
        </w:tc>
        <w:tc>
          <w:tcPr>
            <w:tcW w:w="398" w:type="pct"/>
            <w:noWrap w:val="0"/>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区大数据局</w:t>
            </w:r>
          </w:p>
        </w:tc>
        <w:tc>
          <w:tcPr>
            <w:tcW w:w="329" w:type="pct"/>
            <w:noWrap w:val="0"/>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175" w:type="pct"/>
            <w:noWrap w:val="0"/>
            <w:vAlign w:val="center"/>
          </w:tcPr>
          <w:p>
            <w:pPr>
              <w:jc w:val="center"/>
              <w:textAlignment w:val="bottom"/>
              <w:rPr>
                <w:rFonts w:ascii="宋体" w:hAnsi="宋体" w:eastAsia="方正仿宋_GBK" w:cs="方正仿宋_GBK"/>
                <w:szCs w:val="21"/>
                <w:lang w:bidi="ar"/>
              </w:rPr>
            </w:pPr>
            <w:r>
              <w:rPr>
                <w:rFonts w:hint="eastAsia" w:ascii="Times New Roman" w:hAnsi="Times New Roman" w:eastAsia="方正仿宋_GBK" w:cs="方正仿宋_GBK"/>
                <w:kern w:val="0"/>
                <w:szCs w:val="21"/>
                <w:lang w:bidi="ar"/>
              </w:rPr>
              <w:t>39</w:t>
            </w:r>
          </w:p>
        </w:tc>
        <w:tc>
          <w:tcPr>
            <w:tcW w:w="351"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黔江区智慧水利项目</w:t>
            </w:r>
          </w:p>
        </w:tc>
        <w:tc>
          <w:tcPr>
            <w:tcW w:w="303"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融合应用基础设施</w:t>
            </w:r>
          </w:p>
        </w:tc>
        <w:tc>
          <w:tcPr>
            <w:tcW w:w="392"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公共服务智能化设施</w:t>
            </w:r>
          </w:p>
        </w:tc>
        <w:tc>
          <w:tcPr>
            <w:tcW w:w="616"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相关企业</w:t>
            </w:r>
          </w:p>
        </w:tc>
        <w:tc>
          <w:tcPr>
            <w:tcW w:w="481" w:type="pct"/>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2025</w:t>
            </w:r>
            <w:r>
              <w:rPr>
                <w:rFonts w:hint="eastAsia" w:ascii="宋体" w:hAnsi="宋体" w:eastAsia="方正仿宋_GBK" w:cs="方正仿宋_GBK"/>
                <w:kern w:val="0"/>
                <w:szCs w:val="21"/>
                <w:lang w:bidi="ar"/>
              </w:rPr>
              <w:t>年</w:t>
            </w:r>
          </w:p>
        </w:tc>
        <w:tc>
          <w:tcPr>
            <w:tcW w:w="1078"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完成黔江区水利基础设施工程安全监测全面覆盖，水情监测报讯设备覆盖所有中型水库；黔江区雨量站、水文站、防洪重点区段、水利基础设施全面在线监测；河长制管理信息系统覆盖各级河长、河长办工作人员、成员单位责任人以及社会公众。</w:t>
            </w:r>
          </w:p>
        </w:tc>
        <w:tc>
          <w:tcPr>
            <w:tcW w:w="240"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储备</w:t>
            </w:r>
          </w:p>
        </w:tc>
        <w:tc>
          <w:tcPr>
            <w:tcW w:w="325" w:type="pct"/>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3000</w:t>
            </w:r>
          </w:p>
        </w:tc>
        <w:tc>
          <w:tcPr>
            <w:tcW w:w="398"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区水利局</w:t>
            </w:r>
          </w:p>
        </w:tc>
        <w:tc>
          <w:tcPr>
            <w:tcW w:w="329" w:type="pct"/>
            <w:noWrap w:val="0"/>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一期、二期、三期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175" w:type="pct"/>
            <w:tcBorders>
              <w:bottom w:val="single" w:color="auto" w:sz="4" w:space="0"/>
            </w:tcBorders>
            <w:noWrap w:val="0"/>
            <w:vAlign w:val="center"/>
          </w:tcPr>
          <w:p>
            <w:pPr>
              <w:jc w:val="center"/>
              <w:textAlignment w:val="bottom"/>
              <w:rPr>
                <w:rFonts w:ascii="宋体" w:hAnsi="宋体" w:eastAsia="方正仿宋_GBK" w:cs="方正仿宋_GBK"/>
                <w:szCs w:val="21"/>
                <w:lang w:bidi="ar"/>
              </w:rPr>
            </w:pPr>
            <w:r>
              <w:rPr>
                <w:rFonts w:hint="eastAsia" w:ascii="Times New Roman" w:hAnsi="Times New Roman" w:eastAsia="方正仿宋_GBK" w:cs="方正仿宋_GBK"/>
                <w:kern w:val="0"/>
                <w:szCs w:val="21"/>
                <w:lang w:bidi="ar"/>
              </w:rPr>
              <w:t>40</w:t>
            </w:r>
          </w:p>
        </w:tc>
        <w:tc>
          <w:tcPr>
            <w:tcW w:w="351"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智慧城管</w:t>
            </w:r>
          </w:p>
        </w:tc>
        <w:tc>
          <w:tcPr>
            <w:tcW w:w="303"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融合应用基础设施</w:t>
            </w:r>
          </w:p>
        </w:tc>
        <w:tc>
          <w:tcPr>
            <w:tcW w:w="392"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公共服务智能化设施</w:t>
            </w:r>
          </w:p>
        </w:tc>
        <w:tc>
          <w:tcPr>
            <w:tcW w:w="616"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区城市管理局</w:t>
            </w:r>
          </w:p>
        </w:tc>
        <w:tc>
          <w:tcPr>
            <w:tcW w:w="481"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2020</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2024</w:t>
            </w:r>
            <w:r>
              <w:rPr>
                <w:rFonts w:hint="eastAsia" w:ascii="宋体" w:hAnsi="宋体" w:eastAsia="方正仿宋_GBK" w:cs="方正仿宋_GBK"/>
                <w:kern w:val="0"/>
                <w:szCs w:val="21"/>
                <w:lang w:bidi="ar"/>
              </w:rPr>
              <w:t>年</w:t>
            </w:r>
          </w:p>
        </w:tc>
        <w:tc>
          <w:tcPr>
            <w:tcW w:w="1078"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建设智慧城管大数据平台，推进城市管理主题数据库、数据资源共享服务、全景数据门户、大数据分析决策支撑系统建设。</w:t>
            </w:r>
          </w:p>
        </w:tc>
        <w:tc>
          <w:tcPr>
            <w:tcW w:w="240"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新建</w:t>
            </w:r>
          </w:p>
        </w:tc>
        <w:tc>
          <w:tcPr>
            <w:tcW w:w="325"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16000</w:t>
            </w:r>
          </w:p>
        </w:tc>
        <w:tc>
          <w:tcPr>
            <w:tcW w:w="398"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区城市管理局</w:t>
            </w:r>
          </w:p>
        </w:tc>
        <w:tc>
          <w:tcPr>
            <w:tcW w:w="329" w:type="pct"/>
            <w:tcBorders>
              <w:bottom w:val="single" w:color="auto" w:sz="4" w:space="0"/>
            </w:tcBorders>
            <w:noWrap w:val="0"/>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一期、二期、三期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175" w:type="pct"/>
            <w:tcBorders>
              <w:top w:val="single" w:color="auto" w:sz="4" w:space="0"/>
            </w:tcBorders>
            <w:noWrap w:val="0"/>
            <w:vAlign w:val="center"/>
          </w:tcPr>
          <w:p>
            <w:pPr>
              <w:jc w:val="center"/>
              <w:textAlignment w:val="bottom"/>
              <w:rPr>
                <w:rFonts w:ascii="宋体" w:hAnsi="宋体" w:eastAsia="方正仿宋_GBK" w:cs="方正仿宋_GBK"/>
                <w:szCs w:val="21"/>
                <w:lang w:bidi="ar"/>
              </w:rPr>
            </w:pPr>
            <w:r>
              <w:rPr>
                <w:rFonts w:hint="eastAsia" w:ascii="Times New Roman" w:hAnsi="Times New Roman" w:eastAsia="方正仿宋_GBK" w:cs="方正仿宋_GBK"/>
                <w:kern w:val="0"/>
                <w:szCs w:val="21"/>
                <w:lang w:bidi="ar"/>
              </w:rPr>
              <w:t>41</w:t>
            </w:r>
          </w:p>
        </w:tc>
        <w:tc>
          <w:tcPr>
            <w:tcW w:w="351"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智慧垃圾分类系统</w:t>
            </w:r>
          </w:p>
        </w:tc>
        <w:tc>
          <w:tcPr>
            <w:tcW w:w="303"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融合应用基础设施</w:t>
            </w:r>
          </w:p>
        </w:tc>
        <w:tc>
          <w:tcPr>
            <w:tcW w:w="392"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公共服务智能化设施</w:t>
            </w:r>
          </w:p>
        </w:tc>
        <w:tc>
          <w:tcPr>
            <w:tcW w:w="616"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相关企业</w:t>
            </w:r>
          </w:p>
        </w:tc>
        <w:tc>
          <w:tcPr>
            <w:tcW w:w="481"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2023</w:t>
            </w:r>
            <w:r>
              <w:rPr>
                <w:rFonts w:hint="eastAsia" w:ascii="宋体" w:hAnsi="宋体" w:eastAsia="方正仿宋_GBK" w:cs="方正仿宋_GBK"/>
                <w:kern w:val="0"/>
                <w:szCs w:val="21"/>
                <w:lang w:bidi="ar"/>
              </w:rPr>
              <w:t>年</w:t>
            </w:r>
          </w:p>
        </w:tc>
        <w:tc>
          <w:tcPr>
            <w:tcW w:w="1078"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以推进垃圾分类基础设施网络化、建设精细化、管理智能化为核心，打造智慧垃圾分类系统。</w:t>
            </w:r>
          </w:p>
        </w:tc>
        <w:tc>
          <w:tcPr>
            <w:tcW w:w="240"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储备</w:t>
            </w:r>
          </w:p>
        </w:tc>
        <w:tc>
          <w:tcPr>
            <w:tcW w:w="325"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2000</w:t>
            </w:r>
          </w:p>
        </w:tc>
        <w:tc>
          <w:tcPr>
            <w:tcW w:w="398"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区城市管理局</w:t>
            </w:r>
          </w:p>
        </w:tc>
        <w:tc>
          <w:tcPr>
            <w:tcW w:w="329" w:type="pct"/>
            <w:tcBorders>
              <w:top w:val="single" w:color="auto" w:sz="4" w:space="0"/>
            </w:tcBorders>
            <w:noWrap w:val="0"/>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175" w:type="pct"/>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42</w:t>
            </w:r>
          </w:p>
        </w:tc>
        <w:tc>
          <w:tcPr>
            <w:tcW w:w="351"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黔江区路内停车智能化改造项目</w:t>
            </w:r>
          </w:p>
        </w:tc>
        <w:tc>
          <w:tcPr>
            <w:tcW w:w="303"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融合应用基础设施</w:t>
            </w:r>
          </w:p>
        </w:tc>
        <w:tc>
          <w:tcPr>
            <w:tcW w:w="392"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公共服务智能化设施</w:t>
            </w:r>
          </w:p>
        </w:tc>
        <w:tc>
          <w:tcPr>
            <w:tcW w:w="616"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重庆市鸿业资产管理有限公司</w:t>
            </w:r>
          </w:p>
        </w:tc>
        <w:tc>
          <w:tcPr>
            <w:tcW w:w="481" w:type="pct"/>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2023</w:t>
            </w:r>
            <w:r>
              <w:rPr>
                <w:rFonts w:hint="eastAsia" w:ascii="宋体" w:hAnsi="宋体" w:eastAsia="方正仿宋_GBK" w:cs="方正仿宋_GBK"/>
                <w:kern w:val="0"/>
                <w:szCs w:val="21"/>
                <w:lang w:bidi="ar"/>
              </w:rPr>
              <w:t>年</w:t>
            </w:r>
          </w:p>
        </w:tc>
        <w:tc>
          <w:tcPr>
            <w:tcW w:w="1078"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搭建城区路内停车管理服务平台，部署高低位视频监控抓拍、地磁感应系统等，实施对城市存量路内停车场实施智能化改造。</w:t>
            </w:r>
          </w:p>
        </w:tc>
        <w:tc>
          <w:tcPr>
            <w:tcW w:w="240"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新建</w:t>
            </w:r>
          </w:p>
        </w:tc>
        <w:tc>
          <w:tcPr>
            <w:tcW w:w="325" w:type="pct"/>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1000</w:t>
            </w:r>
          </w:p>
        </w:tc>
        <w:tc>
          <w:tcPr>
            <w:tcW w:w="398"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区城市管理局</w:t>
            </w:r>
          </w:p>
        </w:tc>
        <w:tc>
          <w:tcPr>
            <w:tcW w:w="329" w:type="pct"/>
            <w:noWrap w:val="0"/>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134" w:hRule="atLeast"/>
          <w:jc w:val="center"/>
        </w:trPr>
        <w:tc>
          <w:tcPr>
            <w:tcW w:w="175"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43</w:t>
            </w:r>
          </w:p>
        </w:tc>
        <w:tc>
          <w:tcPr>
            <w:tcW w:w="351"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智慧生态环境大数据中心</w:t>
            </w:r>
          </w:p>
        </w:tc>
        <w:tc>
          <w:tcPr>
            <w:tcW w:w="303"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融合应用基础设施</w:t>
            </w:r>
          </w:p>
        </w:tc>
        <w:tc>
          <w:tcPr>
            <w:tcW w:w="392"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公共服务智能化设施</w:t>
            </w:r>
          </w:p>
        </w:tc>
        <w:tc>
          <w:tcPr>
            <w:tcW w:w="616"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相关企业</w:t>
            </w:r>
          </w:p>
        </w:tc>
        <w:tc>
          <w:tcPr>
            <w:tcW w:w="481"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2023</w:t>
            </w:r>
            <w:r>
              <w:rPr>
                <w:rFonts w:hint="eastAsia" w:ascii="宋体" w:hAnsi="宋体" w:eastAsia="方正仿宋_GBK" w:cs="方正仿宋_GBK"/>
                <w:kern w:val="0"/>
                <w:szCs w:val="21"/>
                <w:lang w:bidi="ar"/>
              </w:rPr>
              <w:t>年</w:t>
            </w:r>
          </w:p>
        </w:tc>
        <w:tc>
          <w:tcPr>
            <w:tcW w:w="1078"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依托重庆市生态环境大数据平台，构建生态环境数据资源共享应用体系，实现大气、水、土壤、噪声、固废、辐射、生态红线等环境要素数据汇聚、关联整合。</w:t>
            </w:r>
          </w:p>
        </w:tc>
        <w:tc>
          <w:tcPr>
            <w:tcW w:w="240"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储备</w:t>
            </w:r>
          </w:p>
        </w:tc>
        <w:tc>
          <w:tcPr>
            <w:tcW w:w="325"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1000</w:t>
            </w:r>
          </w:p>
        </w:tc>
        <w:tc>
          <w:tcPr>
            <w:tcW w:w="398" w:type="pct"/>
            <w:tcBorders>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区生态环境局</w:t>
            </w:r>
          </w:p>
        </w:tc>
        <w:tc>
          <w:tcPr>
            <w:tcW w:w="329" w:type="pct"/>
            <w:tcBorders>
              <w:bottom w:val="single" w:color="auto" w:sz="4" w:space="0"/>
            </w:tcBorders>
            <w:noWrap w:val="0"/>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55" w:hRule="atLeast"/>
          <w:jc w:val="center"/>
        </w:trPr>
        <w:tc>
          <w:tcPr>
            <w:tcW w:w="175" w:type="pct"/>
            <w:tcBorders>
              <w:top w:val="single" w:color="auto" w:sz="4" w:space="0"/>
              <w:bottom w:val="single" w:color="auto" w:sz="4" w:space="0"/>
            </w:tcBorders>
            <w:noWrap w:val="0"/>
            <w:vAlign w:val="center"/>
          </w:tcPr>
          <w:p>
            <w:pPr>
              <w:jc w:val="center"/>
              <w:textAlignment w:val="bottom"/>
              <w:rPr>
                <w:rFonts w:ascii="宋体" w:hAnsi="宋体" w:eastAsia="方正仿宋_GBK" w:cs="方正仿宋_GBK"/>
                <w:szCs w:val="21"/>
                <w:lang w:bidi="ar"/>
              </w:rPr>
            </w:pPr>
            <w:r>
              <w:rPr>
                <w:rFonts w:hint="eastAsia" w:ascii="Times New Roman" w:hAnsi="Times New Roman" w:eastAsia="方正仿宋_GBK" w:cs="方正仿宋_GBK"/>
                <w:kern w:val="0"/>
                <w:szCs w:val="21"/>
                <w:lang w:bidi="ar"/>
              </w:rPr>
              <w:t>44</w:t>
            </w:r>
          </w:p>
        </w:tc>
        <w:tc>
          <w:tcPr>
            <w:tcW w:w="351"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智慧生态监管系统</w:t>
            </w:r>
          </w:p>
        </w:tc>
        <w:tc>
          <w:tcPr>
            <w:tcW w:w="303"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融合应用基础设施</w:t>
            </w:r>
          </w:p>
        </w:tc>
        <w:tc>
          <w:tcPr>
            <w:tcW w:w="392"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公共管理智能化设施</w:t>
            </w:r>
          </w:p>
        </w:tc>
        <w:tc>
          <w:tcPr>
            <w:tcW w:w="616"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相关企业</w:t>
            </w:r>
          </w:p>
        </w:tc>
        <w:tc>
          <w:tcPr>
            <w:tcW w:w="481"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2023</w:t>
            </w:r>
            <w:r>
              <w:rPr>
                <w:rFonts w:hint="eastAsia" w:ascii="宋体" w:hAnsi="宋体" w:eastAsia="方正仿宋_GBK" w:cs="方正仿宋_GBK"/>
                <w:kern w:val="0"/>
                <w:szCs w:val="21"/>
                <w:lang w:bidi="ar"/>
              </w:rPr>
              <w:t>年</w:t>
            </w:r>
          </w:p>
        </w:tc>
        <w:tc>
          <w:tcPr>
            <w:tcW w:w="1078"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建设智慧生态监管系统，通过对矿区和开采单位的监察，实现区内所有非煤生产矿山生态环境的监控和管理。</w:t>
            </w:r>
          </w:p>
        </w:tc>
        <w:tc>
          <w:tcPr>
            <w:tcW w:w="240"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储备</w:t>
            </w:r>
          </w:p>
        </w:tc>
        <w:tc>
          <w:tcPr>
            <w:tcW w:w="325"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1000</w:t>
            </w:r>
          </w:p>
        </w:tc>
        <w:tc>
          <w:tcPr>
            <w:tcW w:w="398"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区规划自然资源局</w:t>
            </w:r>
          </w:p>
        </w:tc>
        <w:tc>
          <w:tcPr>
            <w:tcW w:w="329"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863" w:hRule="atLeast"/>
          <w:jc w:val="center"/>
        </w:trPr>
        <w:tc>
          <w:tcPr>
            <w:tcW w:w="175"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45</w:t>
            </w:r>
          </w:p>
        </w:tc>
        <w:tc>
          <w:tcPr>
            <w:tcW w:w="351"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生态环境智慧服务平台工程</w:t>
            </w:r>
          </w:p>
        </w:tc>
        <w:tc>
          <w:tcPr>
            <w:tcW w:w="303"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融合应用基础设施</w:t>
            </w:r>
          </w:p>
        </w:tc>
        <w:tc>
          <w:tcPr>
            <w:tcW w:w="392"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公共管理智能化设施</w:t>
            </w:r>
          </w:p>
        </w:tc>
        <w:tc>
          <w:tcPr>
            <w:tcW w:w="616"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相关企业</w:t>
            </w:r>
          </w:p>
        </w:tc>
        <w:tc>
          <w:tcPr>
            <w:tcW w:w="481"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2022</w:t>
            </w:r>
            <w:r>
              <w:rPr>
                <w:rFonts w:hint="eastAsia" w:ascii="宋体" w:hAnsi="宋体" w:eastAsia="方正仿宋_GBK" w:cs="方正仿宋_GBK"/>
                <w:kern w:val="0"/>
                <w:szCs w:val="21"/>
                <w:lang w:bidi="ar"/>
              </w:rPr>
              <w:t>年</w:t>
            </w:r>
          </w:p>
        </w:tc>
        <w:tc>
          <w:tcPr>
            <w:tcW w:w="1078"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依托重庆市生态环境大数据平台，建设全区统一生态环境智慧服务平台，建成“大气、水、噪声、土壤”管理大数据应用平台。</w:t>
            </w:r>
          </w:p>
        </w:tc>
        <w:tc>
          <w:tcPr>
            <w:tcW w:w="240"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储备</w:t>
            </w:r>
          </w:p>
        </w:tc>
        <w:tc>
          <w:tcPr>
            <w:tcW w:w="325"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1000</w:t>
            </w:r>
          </w:p>
        </w:tc>
        <w:tc>
          <w:tcPr>
            <w:tcW w:w="398"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区生态环境局</w:t>
            </w:r>
          </w:p>
        </w:tc>
        <w:tc>
          <w:tcPr>
            <w:tcW w:w="329" w:type="pct"/>
            <w:tcBorders>
              <w:top w:val="single" w:color="auto" w:sz="4" w:space="0"/>
              <w:bottom w:val="single" w:color="auto" w:sz="4" w:space="0"/>
            </w:tcBorders>
            <w:noWrap w:val="0"/>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862" w:hRule="atLeast"/>
          <w:jc w:val="center"/>
        </w:trPr>
        <w:tc>
          <w:tcPr>
            <w:tcW w:w="175" w:type="pct"/>
            <w:tcBorders>
              <w:top w:val="single" w:color="auto" w:sz="4" w:space="0"/>
            </w:tcBorders>
            <w:noWrap w:val="0"/>
            <w:vAlign w:val="center"/>
          </w:tcPr>
          <w:p>
            <w:pPr>
              <w:jc w:val="center"/>
              <w:textAlignment w:val="bottom"/>
              <w:rPr>
                <w:rFonts w:ascii="宋体" w:hAnsi="宋体" w:eastAsia="方正仿宋_GBK" w:cs="方正仿宋_GBK"/>
                <w:szCs w:val="21"/>
                <w:lang w:bidi="ar"/>
              </w:rPr>
            </w:pPr>
            <w:r>
              <w:rPr>
                <w:rFonts w:hint="eastAsia" w:ascii="Times New Roman" w:hAnsi="Times New Roman" w:eastAsia="方正仿宋_GBK" w:cs="方正仿宋_GBK"/>
                <w:kern w:val="0"/>
                <w:szCs w:val="21"/>
                <w:lang w:bidi="ar"/>
              </w:rPr>
              <w:t>46</w:t>
            </w:r>
          </w:p>
        </w:tc>
        <w:tc>
          <w:tcPr>
            <w:tcW w:w="351"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智慧气象工程</w:t>
            </w:r>
          </w:p>
        </w:tc>
        <w:tc>
          <w:tcPr>
            <w:tcW w:w="303"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融合应用基础设施</w:t>
            </w:r>
          </w:p>
        </w:tc>
        <w:tc>
          <w:tcPr>
            <w:tcW w:w="392"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公共管理智能化设施</w:t>
            </w:r>
          </w:p>
        </w:tc>
        <w:tc>
          <w:tcPr>
            <w:tcW w:w="616"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区气象局</w:t>
            </w:r>
          </w:p>
        </w:tc>
        <w:tc>
          <w:tcPr>
            <w:tcW w:w="481"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2023</w:t>
            </w:r>
            <w:r>
              <w:rPr>
                <w:rFonts w:hint="eastAsia" w:ascii="宋体" w:hAnsi="宋体" w:eastAsia="方正仿宋_GBK" w:cs="方正仿宋_GBK"/>
                <w:kern w:val="0"/>
                <w:szCs w:val="21"/>
                <w:lang w:bidi="ar"/>
              </w:rPr>
              <w:t>年</w:t>
            </w:r>
          </w:p>
        </w:tc>
        <w:tc>
          <w:tcPr>
            <w:tcW w:w="1078"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以信息化驱动气象现代化，通过构建气象</w:t>
            </w:r>
            <w:r>
              <w:rPr>
                <w:rStyle w:val="31"/>
                <w:rFonts w:hint="eastAsia" w:ascii="宋体" w:hAnsi="宋体" w:eastAsia="方正仿宋_GBK" w:cs="方正仿宋_GBK"/>
                <w:color w:val="auto"/>
                <w:lang w:bidi="ar"/>
              </w:rPr>
              <w:t>+</w:t>
            </w:r>
            <w:r>
              <w:rPr>
                <w:rStyle w:val="38"/>
                <w:rFonts w:hint="eastAsia" w:ascii="宋体" w:hAnsi="宋体" w:eastAsia="方正仿宋_GBK" w:cs="方正仿宋_GBK"/>
                <w:color w:val="auto"/>
                <w:lang w:bidi="ar"/>
              </w:rPr>
              <w:t>大数据平台、建设集智能气象观测、智能预测预报、智慧气象服务和智能预警信息发布等业务系统。</w:t>
            </w:r>
          </w:p>
        </w:tc>
        <w:tc>
          <w:tcPr>
            <w:tcW w:w="240"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储备</w:t>
            </w:r>
          </w:p>
        </w:tc>
        <w:tc>
          <w:tcPr>
            <w:tcW w:w="325"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500</w:t>
            </w:r>
          </w:p>
        </w:tc>
        <w:tc>
          <w:tcPr>
            <w:tcW w:w="398"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区气象局</w:t>
            </w:r>
          </w:p>
        </w:tc>
        <w:tc>
          <w:tcPr>
            <w:tcW w:w="329" w:type="pct"/>
            <w:tcBorders>
              <w:top w:val="single" w:color="auto" w:sz="4" w:space="0"/>
            </w:tcBorders>
            <w:noWrap w:val="0"/>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079" w:hRule="atLeast"/>
          <w:jc w:val="center"/>
        </w:trPr>
        <w:tc>
          <w:tcPr>
            <w:tcW w:w="175" w:type="pct"/>
            <w:tcBorders>
              <w:top w:val="single" w:color="auto" w:sz="4" w:space="0"/>
            </w:tcBorders>
            <w:noWrap w:val="0"/>
            <w:vAlign w:val="center"/>
          </w:tcPr>
          <w:p>
            <w:pPr>
              <w:jc w:val="center"/>
              <w:textAlignment w:val="bottom"/>
              <w:rPr>
                <w:rFonts w:ascii="宋体" w:hAnsi="宋体" w:eastAsia="方正仿宋_GBK" w:cs="方正仿宋_GBK"/>
                <w:szCs w:val="21"/>
                <w:lang w:bidi="ar"/>
              </w:rPr>
            </w:pPr>
            <w:r>
              <w:rPr>
                <w:rFonts w:hint="eastAsia" w:ascii="Times New Roman" w:hAnsi="Times New Roman" w:eastAsia="方正仿宋_GBK" w:cs="方正仿宋_GBK"/>
                <w:kern w:val="0"/>
                <w:szCs w:val="21"/>
                <w:lang w:bidi="ar"/>
              </w:rPr>
              <w:t>47</w:t>
            </w:r>
          </w:p>
        </w:tc>
        <w:tc>
          <w:tcPr>
            <w:tcW w:w="351"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智慧气象防灾减灾工程</w:t>
            </w:r>
          </w:p>
        </w:tc>
        <w:tc>
          <w:tcPr>
            <w:tcW w:w="303"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融合应用基础设施</w:t>
            </w:r>
          </w:p>
        </w:tc>
        <w:tc>
          <w:tcPr>
            <w:tcW w:w="392"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公共管理智能化设施</w:t>
            </w:r>
          </w:p>
        </w:tc>
        <w:tc>
          <w:tcPr>
            <w:tcW w:w="616"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区气象局</w:t>
            </w:r>
          </w:p>
        </w:tc>
        <w:tc>
          <w:tcPr>
            <w:tcW w:w="481"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w:t>
            </w:r>
            <w:r>
              <w:rPr>
                <w:rStyle w:val="38"/>
                <w:rFonts w:hint="eastAsia" w:ascii="Times New Roman" w:hAnsi="Times New Roman" w:eastAsia="方正仿宋_GBK" w:cs="方正仿宋_GBK"/>
                <w:color w:val="auto"/>
                <w:lang w:bidi="ar"/>
              </w:rPr>
              <w:t>25</w:t>
            </w:r>
            <w:r>
              <w:rPr>
                <w:rStyle w:val="38"/>
                <w:rFonts w:hint="eastAsia" w:ascii="宋体" w:hAnsi="宋体" w:eastAsia="方正仿宋_GBK" w:cs="方正仿宋_GBK"/>
                <w:color w:val="auto"/>
                <w:lang w:bidi="ar"/>
              </w:rPr>
              <w:t>年</w:t>
            </w:r>
          </w:p>
        </w:tc>
        <w:tc>
          <w:tcPr>
            <w:tcW w:w="1078"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升级智能化突发事件预预警信息发布平台；新建</w:t>
            </w:r>
            <w:r>
              <w:rPr>
                <w:rStyle w:val="31"/>
                <w:rFonts w:hint="eastAsia" w:ascii="Times New Roman" w:hAnsi="Times New Roman" w:eastAsia="方正仿宋_GBK" w:cs="方正仿宋_GBK"/>
                <w:color w:val="auto"/>
                <w:lang w:bidi="ar"/>
              </w:rPr>
              <w:t>219</w:t>
            </w:r>
            <w:r>
              <w:rPr>
                <w:rStyle w:val="38"/>
                <w:rFonts w:hint="eastAsia" w:ascii="宋体" w:hAnsi="宋体" w:eastAsia="方正仿宋_GBK" w:cs="方正仿宋_GBK"/>
                <w:color w:val="auto"/>
                <w:lang w:bidi="ar"/>
              </w:rPr>
              <w:t>个村级预警工作站；建设渝东南应急气象保障中心、渝东南气象防灾减灾物资储备中心；建立人影防雹作业基地。渝东南气象影视制作发布中心；建成渝东南气象防灾减灾中心。</w:t>
            </w:r>
          </w:p>
        </w:tc>
        <w:tc>
          <w:tcPr>
            <w:tcW w:w="240"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在建</w:t>
            </w:r>
          </w:p>
        </w:tc>
        <w:tc>
          <w:tcPr>
            <w:tcW w:w="325"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3000</w:t>
            </w:r>
          </w:p>
        </w:tc>
        <w:tc>
          <w:tcPr>
            <w:tcW w:w="398"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区气象局</w:t>
            </w:r>
          </w:p>
        </w:tc>
        <w:tc>
          <w:tcPr>
            <w:tcW w:w="329" w:type="pct"/>
            <w:tcBorders>
              <w:top w:val="single" w:color="auto" w:sz="4" w:space="0"/>
            </w:tcBorders>
            <w:noWrap w:val="0"/>
            <w:vAlign w:val="center"/>
          </w:tcPr>
          <w:p>
            <w:pPr>
              <w:jc w:val="center"/>
              <w:textAlignment w:val="bottom"/>
              <w:rPr>
                <w:rFonts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一期、二期、三期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888" w:hRule="atLeast"/>
          <w:jc w:val="center"/>
        </w:trPr>
        <w:tc>
          <w:tcPr>
            <w:tcW w:w="175" w:type="pct"/>
            <w:noWrap w:val="0"/>
            <w:vAlign w:val="center"/>
          </w:tcPr>
          <w:p>
            <w:pPr>
              <w:jc w:val="center"/>
              <w:textAlignment w:val="bottom"/>
              <w:rPr>
                <w:rFonts w:ascii="宋体" w:hAnsi="宋体" w:eastAsia="方正仿宋_GBK" w:cs="方正仿宋_GBK"/>
                <w:szCs w:val="21"/>
                <w:lang w:bidi="ar"/>
              </w:rPr>
            </w:pPr>
            <w:r>
              <w:rPr>
                <w:rFonts w:hint="eastAsia" w:ascii="Times New Roman" w:hAnsi="Times New Roman" w:eastAsia="方正仿宋_GBK" w:cs="方正仿宋_GBK"/>
                <w:szCs w:val="21"/>
                <w:lang w:bidi="ar"/>
              </w:rPr>
              <w:t>48</w:t>
            </w:r>
          </w:p>
        </w:tc>
        <w:tc>
          <w:tcPr>
            <w:tcW w:w="351"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智慧医疗</w:t>
            </w:r>
          </w:p>
        </w:tc>
        <w:tc>
          <w:tcPr>
            <w:tcW w:w="303"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融合应用基础设施</w:t>
            </w:r>
          </w:p>
        </w:tc>
        <w:tc>
          <w:tcPr>
            <w:tcW w:w="392"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公共服务智能化设施</w:t>
            </w:r>
          </w:p>
        </w:tc>
        <w:tc>
          <w:tcPr>
            <w:tcW w:w="616"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相关企业</w:t>
            </w:r>
          </w:p>
        </w:tc>
        <w:tc>
          <w:tcPr>
            <w:tcW w:w="481" w:type="pct"/>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2025</w:t>
            </w:r>
            <w:r>
              <w:rPr>
                <w:rStyle w:val="30"/>
                <w:rFonts w:hint="eastAsia" w:ascii="宋体" w:hAnsi="宋体" w:eastAsia="方正仿宋_GBK" w:cs="方正仿宋_GBK"/>
                <w:color w:val="auto"/>
                <w:lang w:bidi="ar"/>
              </w:rPr>
              <w:t>年</w:t>
            </w:r>
          </w:p>
        </w:tc>
        <w:tc>
          <w:tcPr>
            <w:tcW w:w="1078"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黔江智慧医疗云平台，优化智慧医疗云平台运行环境，建设黔江“互联网</w:t>
            </w:r>
            <w:r>
              <w:rPr>
                <w:rStyle w:val="33"/>
                <w:rFonts w:hint="eastAsia" w:ascii="宋体" w:hAnsi="宋体" w:eastAsia="方正仿宋_GBK" w:cs="方正仿宋_GBK"/>
                <w:color w:val="auto"/>
                <w:lang w:bidi="ar"/>
              </w:rPr>
              <w:t>+</w:t>
            </w:r>
            <w:r>
              <w:rPr>
                <w:rStyle w:val="30"/>
                <w:rFonts w:hint="eastAsia" w:ascii="宋体" w:hAnsi="宋体" w:eastAsia="方正仿宋_GBK" w:cs="方正仿宋_GBK"/>
                <w:color w:val="auto"/>
                <w:lang w:bidi="ar"/>
              </w:rPr>
              <w:t>医疗健康”服务体否系、黔江基层卫生健康信息化，整合民营医疗机构信息化系统，新建黔江卫生系统“雪亮”平台，整合区级医疗机构信息化建设。</w:t>
            </w:r>
          </w:p>
        </w:tc>
        <w:tc>
          <w:tcPr>
            <w:tcW w:w="240"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储备</w:t>
            </w:r>
          </w:p>
        </w:tc>
        <w:tc>
          <w:tcPr>
            <w:tcW w:w="325" w:type="pct"/>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42100</w:t>
            </w:r>
          </w:p>
        </w:tc>
        <w:tc>
          <w:tcPr>
            <w:tcW w:w="398"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区卫健委</w:t>
            </w:r>
          </w:p>
        </w:tc>
        <w:tc>
          <w:tcPr>
            <w:tcW w:w="329" w:type="pct"/>
            <w:noWrap w:val="0"/>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一期、二期、三期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448" w:hRule="atLeast"/>
          <w:jc w:val="center"/>
        </w:trPr>
        <w:tc>
          <w:tcPr>
            <w:tcW w:w="175" w:type="pct"/>
            <w:noWrap w:val="0"/>
            <w:vAlign w:val="center"/>
          </w:tcPr>
          <w:p>
            <w:pPr>
              <w:jc w:val="center"/>
              <w:textAlignment w:val="bottom"/>
              <w:rPr>
                <w:rFonts w:ascii="宋体" w:hAnsi="宋体" w:eastAsia="方正仿宋_GBK" w:cs="方正仿宋_GBK"/>
                <w:szCs w:val="21"/>
                <w:lang w:bidi="ar"/>
              </w:rPr>
            </w:pPr>
            <w:r>
              <w:rPr>
                <w:rFonts w:hint="eastAsia" w:ascii="Times New Roman" w:hAnsi="Times New Roman" w:eastAsia="方正仿宋_GBK" w:cs="方正仿宋_GBK"/>
                <w:kern w:val="0"/>
                <w:szCs w:val="21"/>
                <w:lang w:bidi="ar"/>
              </w:rPr>
              <w:t>49</w:t>
            </w:r>
          </w:p>
        </w:tc>
        <w:tc>
          <w:tcPr>
            <w:tcW w:w="351"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全民健康信息系统</w:t>
            </w:r>
          </w:p>
        </w:tc>
        <w:tc>
          <w:tcPr>
            <w:tcW w:w="303"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融合基础设施</w:t>
            </w:r>
          </w:p>
        </w:tc>
        <w:tc>
          <w:tcPr>
            <w:tcW w:w="312"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新型公共服务</w:t>
            </w:r>
          </w:p>
        </w:tc>
        <w:tc>
          <w:tcPr>
            <w:tcW w:w="392"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公共服务智能化设施</w:t>
            </w:r>
          </w:p>
        </w:tc>
        <w:tc>
          <w:tcPr>
            <w:tcW w:w="616"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中国银行黔江支行、中联信息产业有限责任公司</w:t>
            </w:r>
          </w:p>
        </w:tc>
        <w:tc>
          <w:tcPr>
            <w:tcW w:w="481" w:type="pct"/>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2020</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2022</w:t>
            </w:r>
            <w:r>
              <w:rPr>
                <w:rFonts w:hint="eastAsia" w:ascii="宋体" w:hAnsi="宋体" w:eastAsia="方正仿宋_GBK" w:cs="方正仿宋_GBK"/>
                <w:kern w:val="0"/>
                <w:szCs w:val="21"/>
                <w:lang w:bidi="ar"/>
              </w:rPr>
              <w:t>年</w:t>
            </w:r>
          </w:p>
        </w:tc>
        <w:tc>
          <w:tcPr>
            <w:tcW w:w="1078"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依托黔江区新型智慧城市建设，建立一个开放的、标准的、统一的全民健康信息平台。</w:t>
            </w:r>
          </w:p>
        </w:tc>
        <w:tc>
          <w:tcPr>
            <w:tcW w:w="240"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在建</w:t>
            </w:r>
          </w:p>
        </w:tc>
        <w:tc>
          <w:tcPr>
            <w:tcW w:w="325" w:type="pct"/>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490</w:t>
            </w:r>
          </w:p>
        </w:tc>
        <w:tc>
          <w:tcPr>
            <w:tcW w:w="398"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区卫健委</w:t>
            </w:r>
          </w:p>
        </w:tc>
        <w:tc>
          <w:tcPr>
            <w:tcW w:w="329" w:type="pct"/>
            <w:noWrap w:val="0"/>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175" w:type="pct"/>
            <w:tcBorders>
              <w:top w:val="single" w:color="auto" w:sz="4" w:space="0"/>
            </w:tcBorders>
            <w:noWrap w:val="0"/>
            <w:vAlign w:val="center"/>
          </w:tcPr>
          <w:p>
            <w:pPr>
              <w:jc w:val="center"/>
              <w:textAlignment w:val="bottom"/>
              <w:rPr>
                <w:rFonts w:ascii="宋体" w:hAnsi="宋体" w:eastAsia="方正仿宋_GBK" w:cs="方正仿宋_GBK"/>
                <w:szCs w:val="21"/>
                <w:lang w:bidi="ar"/>
              </w:rPr>
            </w:pPr>
            <w:r>
              <w:rPr>
                <w:rFonts w:hint="eastAsia" w:ascii="Times New Roman" w:hAnsi="Times New Roman" w:eastAsia="方正仿宋_GBK" w:cs="方正仿宋_GBK"/>
                <w:kern w:val="0"/>
                <w:szCs w:val="21"/>
                <w:lang w:bidi="ar"/>
              </w:rPr>
              <w:t>50</w:t>
            </w:r>
          </w:p>
        </w:tc>
        <w:tc>
          <w:tcPr>
            <w:tcW w:w="351"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应急新技术实验室</w:t>
            </w:r>
          </w:p>
        </w:tc>
        <w:tc>
          <w:tcPr>
            <w:tcW w:w="303"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创新基础设施</w:t>
            </w:r>
          </w:p>
        </w:tc>
        <w:tc>
          <w:tcPr>
            <w:tcW w:w="312"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产业创新基础设施</w:t>
            </w:r>
          </w:p>
        </w:tc>
        <w:tc>
          <w:tcPr>
            <w:tcW w:w="392"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试验验证平台</w:t>
            </w:r>
          </w:p>
        </w:tc>
        <w:tc>
          <w:tcPr>
            <w:tcW w:w="616"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相关企业</w:t>
            </w:r>
          </w:p>
        </w:tc>
        <w:tc>
          <w:tcPr>
            <w:tcW w:w="481"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2023</w:t>
            </w:r>
            <w:r>
              <w:rPr>
                <w:rFonts w:hint="eastAsia" w:ascii="宋体" w:hAnsi="宋体" w:eastAsia="方正仿宋_GBK" w:cs="方正仿宋_GBK"/>
                <w:kern w:val="0"/>
                <w:szCs w:val="21"/>
                <w:lang w:bidi="ar"/>
              </w:rPr>
              <w:t>年</w:t>
            </w:r>
          </w:p>
        </w:tc>
        <w:tc>
          <w:tcPr>
            <w:tcW w:w="1078"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搭建应急新技术研发实验室，组建研发团队。完善应急大数据平台，更新前端感知设备，通过采集汇聚的各项监控、生产数据，优化大数据分析模型，精准预警各类事故的发生，正确率达到</w:t>
            </w:r>
            <w:r>
              <w:rPr>
                <w:rStyle w:val="33"/>
                <w:rFonts w:hint="eastAsia" w:eastAsia="方正仿宋_GBK" w:cs="方正仿宋_GBK"/>
                <w:color w:val="auto"/>
                <w:lang w:bidi="ar"/>
              </w:rPr>
              <w:t>95%</w:t>
            </w:r>
            <w:r>
              <w:rPr>
                <w:rStyle w:val="30"/>
                <w:rFonts w:hint="eastAsia" w:ascii="宋体" w:hAnsi="宋体" w:eastAsia="方正仿宋_GBK" w:cs="方正仿宋_GBK"/>
                <w:color w:val="auto"/>
                <w:lang w:bidi="ar"/>
              </w:rPr>
              <w:t>以上。</w:t>
            </w:r>
            <w:r>
              <w:rPr>
                <w:rStyle w:val="33"/>
                <w:rFonts w:hint="eastAsia" w:eastAsia="方正仿宋_GBK" w:cs="方正仿宋_GBK"/>
                <w:color w:val="auto"/>
                <w:lang w:bidi="ar"/>
              </w:rPr>
              <w:t>2020</w:t>
            </w:r>
            <w:r>
              <w:rPr>
                <w:rStyle w:val="30"/>
                <w:rFonts w:hint="eastAsia" w:ascii="宋体" w:hAnsi="宋体" w:eastAsia="方正仿宋_GBK" w:cs="方正仿宋_GBK"/>
                <w:color w:val="auto"/>
                <w:lang w:bidi="ar"/>
              </w:rPr>
              <w:t>年，完成应急新技术实验室建设，组建研发团队，应急新技术进行试点应用。</w:t>
            </w:r>
          </w:p>
        </w:tc>
        <w:tc>
          <w:tcPr>
            <w:tcW w:w="240"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储备</w:t>
            </w:r>
          </w:p>
        </w:tc>
        <w:tc>
          <w:tcPr>
            <w:tcW w:w="325"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12000</w:t>
            </w:r>
          </w:p>
        </w:tc>
        <w:tc>
          <w:tcPr>
            <w:tcW w:w="398" w:type="pct"/>
            <w:tcBorders>
              <w:top w:val="single" w:color="auto" w:sz="4" w:space="0"/>
            </w:tcBorders>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区大数据发展局</w:t>
            </w:r>
          </w:p>
        </w:tc>
        <w:tc>
          <w:tcPr>
            <w:tcW w:w="329" w:type="pct"/>
            <w:tcBorders>
              <w:top w:val="single" w:color="auto" w:sz="4" w:space="0"/>
            </w:tcBorders>
            <w:noWrap w:val="0"/>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175" w:type="pct"/>
            <w:noWrap w:val="0"/>
            <w:vAlign w:val="center"/>
          </w:tcPr>
          <w:p>
            <w:pPr>
              <w:jc w:val="center"/>
              <w:textAlignment w:val="bottom"/>
              <w:rPr>
                <w:rFonts w:ascii="宋体" w:hAnsi="宋体" w:eastAsia="方正仿宋_GBK" w:cs="方正仿宋_GBK"/>
                <w:szCs w:val="21"/>
                <w:lang w:bidi="ar"/>
              </w:rPr>
            </w:pPr>
            <w:r>
              <w:rPr>
                <w:rFonts w:hint="eastAsia" w:ascii="Times New Roman" w:hAnsi="Times New Roman" w:eastAsia="方正仿宋_GBK" w:cs="方正仿宋_GBK"/>
                <w:kern w:val="0"/>
                <w:szCs w:val="21"/>
                <w:lang w:bidi="ar"/>
              </w:rPr>
              <w:t>51</w:t>
            </w:r>
          </w:p>
        </w:tc>
        <w:tc>
          <w:tcPr>
            <w:tcW w:w="351"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特色智创基地</w:t>
            </w:r>
          </w:p>
        </w:tc>
        <w:tc>
          <w:tcPr>
            <w:tcW w:w="303"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创新基础设施</w:t>
            </w:r>
          </w:p>
        </w:tc>
        <w:tc>
          <w:tcPr>
            <w:tcW w:w="312"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产业创新基础设施</w:t>
            </w:r>
          </w:p>
        </w:tc>
        <w:tc>
          <w:tcPr>
            <w:tcW w:w="392"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技术研发创新平台</w:t>
            </w:r>
          </w:p>
        </w:tc>
        <w:tc>
          <w:tcPr>
            <w:tcW w:w="616"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相关企业</w:t>
            </w:r>
          </w:p>
        </w:tc>
        <w:tc>
          <w:tcPr>
            <w:tcW w:w="481" w:type="pct"/>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2021</w:t>
            </w:r>
            <w:r>
              <w:rPr>
                <w:rFonts w:hint="eastAsia" w:ascii="宋体" w:hAnsi="宋体" w:eastAsia="方正仿宋_GBK" w:cs="方正仿宋_GBK"/>
                <w:kern w:val="0"/>
                <w:szCs w:val="21"/>
                <w:lang w:bidi="ar"/>
              </w:rPr>
              <w:t>-</w:t>
            </w:r>
            <w:r>
              <w:rPr>
                <w:rFonts w:hint="eastAsia" w:ascii="Times New Roman" w:hAnsi="Times New Roman" w:eastAsia="方正仿宋_GBK" w:cs="方正仿宋_GBK"/>
                <w:kern w:val="0"/>
                <w:szCs w:val="21"/>
                <w:lang w:bidi="ar"/>
              </w:rPr>
              <w:t>2023</w:t>
            </w:r>
            <w:r>
              <w:rPr>
                <w:rFonts w:hint="eastAsia" w:ascii="宋体" w:hAnsi="宋体" w:eastAsia="方正仿宋_GBK" w:cs="方正仿宋_GBK"/>
                <w:kern w:val="0"/>
                <w:szCs w:val="21"/>
                <w:lang w:bidi="ar"/>
              </w:rPr>
              <w:t>年</w:t>
            </w:r>
          </w:p>
        </w:tc>
        <w:tc>
          <w:tcPr>
            <w:tcW w:w="1078"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通过积极引进、培育一批人工智能、云服务、创新中心、人才培养、产业孵化等特色鲜明、前景优越的创新型科技企业来区发展，打造有影响力的特色智能产业创新基地，导入优势资源，培育特色产业，壮大知名品牌，形成区域影响力。</w:t>
            </w:r>
          </w:p>
        </w:tc>
        <w:tc>
          <w:tcPr>
            <w:tcW w:w="240"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储备</w:t>
            </w:r>
          </w:p>
        </w:tc>
        <w:tc>
          <w:tcPr>
            <w:tcW w:w="325" w:type="pct"/>
            <w:noWrap w:val="0"/>
            <w:vAlign w:val="center"/>
          </w:tcPr>
          <w:p>
            <w:pPr>
              <w:jc w:val="center"/>
              <w:textAlignment w:val="bottom"/>
              <w:rPr>
                <w:rFonts w:hint="eastAsia" w:ascii="宋体" w:hAnsi="宋体" w:eastAsia="方正仿宋_GBK" w:cs="方正仿宋_GBK"/>
                <w:szCs w:val="21"/>
                <w:lang w:bidi="ar"/>
              </w:rPr>
            </w:pPr>
            <w:r>
              <w:rPr>
                <w:rFonts w:hint="eastAsia" w:ascii="Times New Roman" w:hAnsi="Times New Roman" w:eastAsia="方正仿宋_GBK" w:cs="方正仿宋_GBK"/>
                <w:kern w:val="0"/>
                <w:szCs w:val="21"/>
                <w:lang w:bidi="ar"/>
              </w:rPr>
              <w:t>30000</w:t>
            </w:r>
          </w:p>
        </w:tc>
        <w:tc>
          <w:tcPr>
            <w:tcW w:w="398" w:type="pct"/>
            <w:noWrap w:val="0"/>
            <w:vAlign w:val="center"/>
          </w:tcPr>
          <w:p>
            <w:pPr>
              <w:jc w:val="center"/>
              <w:textAlignment w:val="bottom"/>
              <w:rPr>
                <w:rFonts w:hint="eastAsia" w:ascii="宋体" w:hAnsi="宋体" w:eastAsia="方正仿宋_GBK" w:cs="方正仿宋_GBK"/>
                <w:szCs w:val="21"/>
                <w:lang w:bidi="ar"/>
              </w:rPr>
            </w:pPr>
            <w:r>
              <w:rPr>
                <w:rFonts w:hint="eastAsia" w:ascii="宋体" w:hAnsi="宋体" w:eastAsia="方正仿宋_GBK" w:cs="方正仿宋_GBK"/>
                <w:kern w:val="0"/>
                <w:szCs w:val="21"/>
                <w:lang w:bidi="ar"/>
              </w:rPr>
              <w:t>区科技局</w:t>
            </w:r>
          </w:p>
        </w:tc>
        <w:tc>
          <w:tcPr>
            <w:tcW w:w="329" w:type="pct"/>
            <w:noWrap w:val="0"/>
            <w:vAlign w:val="center"/>
          </w:tcPr>
          <w:p>
            <w:pPr>
              <w:jc w:val="center"/>
              <w:textAlignment w:val="bottom"/>
              <w:rPr>
                <w:rFonts w:hint="eastAsia" w:ascii="宋体" w:hAnsi="宋体" w:eastAsia="方正仿宋_GBK" w:cs="方正仿宋_GBK"/>
                <w:kern w:val="0"/>
                <w:szCs w:val="21"/>
                <w:lang w:bidi="ar"/>
              </w:rPr>
            </w:pPr>
            <w:r>
              <w:rPr>
                <w:rFonts w:hint="eastAsia" w:ascii="宋体" w:hAnsi="宋体" w:eastAsia="方正仿宋_GBK" w:cs="方正仿宋_GBK"/>
                <w:kern w:val="0"/>
                <w:szCs w:val="21"/>
                <w:lang w:bidi="ar"/>
              </w:rPr>
              <w:t>一期、二期</w:t>
            </w:r>
          </w:p>
        </w:tc>
      </w:tr>
    </w:tbl>
    <w:p>
      <w:pPr>
        <w:pStyle w:val="3"/>
        <w:keepNext w:val="0"/>
        <w:keepLines w:val="0"/>
        <w:rPr>
          <w:rFonts w:hint="eastAsia" w:ascii="宋体" w:hAnsi="宋体"/>
        </w:rPr>
      </w:pPr>
    </w:p>
    <w:sectPr>
      <w:pgSz w:w="16838" w:h="11906" w:orient="landscape"/>
      <w:pgMar w:top="1985" w:right="1446" w:bottom="1644" w:left="1446" w:header="1134"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PMingLiU">
    <w:altName w:val="Droid Sans Fallback"/>
    <w:panose1 w:val="02020500000000000000"/>
    <w:charset w:val="88"/>
    <w:family w:val="roman"/>
    <w:pitch w:val="default"/>
    <w:sig w:usb0="00000000" w:usb1="00000000" w:usb2="00000016" w:usb3="00000000" w:csb0="00100001" w:csb1="00000000"/>
  </w:font>
  <w:font w:name="方正书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13</w:t>
    </w:r>
    <w:r>
      <w:rPr>
        <w:rFonts w:ascii="宋体" w:hAnsi="宋体"/>
        <w:kern w:val="0"/>
        <w:sz w:val="28"/>
        <w:szCs w:val="28"/>
      </w:rPr>
      <w:fldChar w:fldCharType="end"/>
    </w:r>
    <w:r>
      <w:rPr>
        <w:rFonts w:ascii="宋体" w:hAnsi="宋体"/>
        <w:kern w:val="0"/>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rPr>
        <w:rFonts w:hint="eastAsia"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14</w:t>
    </w:r>
    <w:r>
      <w:rPr>
        <w:rFonts w:ascii="宋体" w:hAnsi="宋体"/>
        <w:kern w:val="0"/>
        <w:sz w:val="28"/>
        <w:szCs w:val="28"/>
      </w:rPr>
      <w:fldChar w:fldCharType="end"/>
    </w:r>
    <w:r>
      <w:rPr>
        <w:rFonts w:ascii="宋体" w:hAnsi="宋体"/>
        <w:kern w:val="0"/>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D6C9D"/>
    <w:multiLevelType w:val="singleLevel"/>
    <w:tmpl w:val="828D6C9D"/>
    <w:lvl w:ilvl="0" w:tentative="0">
      <w:start w:val="4"/>
      <w:numFmt w:val="chineseCounting"/>
      <w:suff w:val="nothing"/>
      <w:lvlText w:val="（%1）"/>
      <w:lvlJc w:val="left"/>
      <w:rPr>
        <w:rFonts w:hint="eastAsia"/>
      </w:rPr>
    </w:lvl>
  </w:abstractNum>
  <w:abstractNum w:abstractNumId="1">
    <w:nsid w:val="0574D9B7"/>
    <w:multiLevelType w:val="singleLevel"/>
    <w:tmpl w:val="0574D9B7"/>
    <w:lvl w:ilvl="0" w:tentative="0">
      <w:start w:val="2"/>
      <w:numFmt w:val="decimal"/>
      <w:suff w:val="space"/>
      <w:lvlText w:val="%1."/>
      <w:lvlJc w:val="left"/>
      <w:rPr>
        <w:rFonts w:hint="default" w:ascii="Times New Roman" w:hAnsi="Times New Roman" w:cs="Times New Roman"/>
      </w:rPr>
    </w:lvl>
  </w:abstractNum>
  <w:abstractNum w:abstractNumId="2">
    <w:nsid w:val="6FA18631"/>
    <w:multiLevelType w:val="singleLevel"/>
    <w:tmpl w:val="6FA18631"/>
    <w:lvl w:ilvl="0" w:tentative="0">
      <w:start w:val="1"/>
      <w:numFmt w:val="decimal"/>
      <w:suff w:val="space"/>
      <w:lvlText w:val="%1."/>
      <w:lvlJc w:val="left"/>
      <w:rPr>
        <w:rFonts w:hint="default" w:ascii="Times New Roman" w:hAnsi="Times New Roman"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true"/>
  <w:bordersDoNotSurroundHeader w:val="false"/>
  <w:bordersDoNotSurroundFooter w:val="false"/>
  <w:documentProtection w:enforcement="0"/>
  <w:defaultTabStop w:val="420"/>
  <w:hyphenationZone w:val="36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1B2"/>
    <w:rsid w:val="00000082"/>
    <w:rsid w:val="00001A71"/>
    <w:rsid w:val="00002709"/>
    <w:rsid w:val="00011EC8"/>
    <w:rsid w:val="0001440A"/>
    <w:rsid w:val="00023650"/>
    <w:rsid w:val="000364E5"/>
    <w:rsid w:val="0004493F"/>
    <w:rsid w:val="00045756"/>
    <w:rsid w:val="000A2530"/>
    <w:rsid w:val="000A42BE"/>
    <w:rsid w:val="000A7EC3"/>
    <w:rsid w:val="000B0E77"/>
    <w:rsid w:val="000B536A"/>
    <w:rsid w:val="000B6540"/>
    <w:rsid w:val="000D3470"/>
    <w:rsid w:val="000E3AF4"/>
    <w:rsid w:val="000E4136"/>
    <w:rsid w:val="000E5727"/>
    <w:rsid w:val="000F2CD5"/>
    <w:rsid w:val="00105A70"/>
    <w:rsid w:val="0010609C"/>
    <w:rsid w:val="00106DF2"/>
    <w:rsid w:val="001108EF"/>
    <w:rsid w:val="00146B76"/>
    <w:rsid w:val="00153287"/>
    <w:rsid w:val="001640FE"/>
    <w:rsid w:val="00173A7B"/>
    <w:rsid w:val="0018063D"/>
    <w:rsid w:val="00182E12"/>
    <w:rsid w:val="0018309F"/>
    <w:rsid w:val="001936FF"/>
    <w:rsid w:val="00197130"/>
    <w:rsid w:val="001B4695"/>
    <w:rsid w:val="001C6162"/>
    <w:rsid w:val="001D4499"/>
    <w:rsid w:val="001E0379"/>
    <w:rsid w:val="001F4ABB"/>
    <w:rsid w:val="002019CF"/>
    <w:rsid w:val="0023213B"/>
    <w:rsid w:val="002670FA"/>
    <w:rsid w:val="002812F8"/>
    <w:rsid w:val="002855DE"/>
    <w:rsid w:val="00287C6D"/>
    <w:rsid w:val="00293F5B"/>
    <w:rsid w:val="002A2F85"/>
    <w:rsid w:val="002A4C02"/>
    <w:rsid w:val="002C4E0D"/>
    <w:rsid w:val="002D05A6"/>
    <w:rsid w:val="002D4DE2"/>
    <w:rsid w:val="002D5BA6"/>
    <w:rsid w:val="002E6F3F"/>
    <w:rsid w:val="002E7B68"/>
    <w:rsid w:val="002F17D0"/>
    <w:rsid w:val="002F2C10"/>
    <w:rsid w:val="003063ED"/>
    <w:rsid w:val="00331AB6"/>
    <w:rsid w:val="00344746"/>
    <w:rsid w:val="0035011D"/>
    <w:rsid w:val="003528AF"/>
    <w:rsid w:val="00353060"/>
    <w:rsid w:val="003879F3"/>
    <w:rsid w:val="003B6185"/>
    <w:rsid w:val="003B65D2"/>
    <w:rsid w:val="003E280A"/>
    <w:rsid w:val="00403A47"/>
    <w:rsid w:val="00405ECF"/>
    <w:rsid w:val="00406DDF"/>
    <w:rsid w:val="0041162E"/>
    <w:rsid w:val="004175BC"/>
    <w:rsid w:val="0043443D"/>
    <w:rsid w:val="004362F6"/>
    <w:rsid w:val="004464A8"/>
    <w:rsid w:val="004466CD"/>
    <w:rsid w:val="0045204B"/>
    <w:rsid w:val="00465821"/>
    <w:rsid w:val="00467021"/>
    <w:rsid w:val="004719BD"/>
    <w:rsid w:val="00472907"/>
    <w:rsid w:val="00477568"/>
    <w:rsid w:val="00480711"/>
    <w:rsid w:val="00482A27"/>
    <w:rsid w:val="004840DF"/>
    <w:rsid w:val="004874D9"/>
    <w:rsid w:val="004963BB"/>
    <w:rsid w:val="004979AE"/>
    <w:rsid w:val="004B1917"/>
    <w:rsid w:val="004C4633"/>
    <w:rsid w:val="004C4BCC"/>
    <w:rsid w:val="004C787F"/>
    <w:rsid w:val="004D69E7"/>
    <w:rsid w:val="004E03B7"/>
    <w:rsid w:val="004E37C9"/>
    <w:rsid w:val="004E6645"/>
    <w:rsid w:val="004F2055"/>
    <w:rsid w:val="005024B8"/>
    <w:rsid w:val="00511DC2"/>
    <w:rsid w:val="00527E81"/>
    <w:rsid w:val="00530C29"/>
    <w:rsid w:val="0053615F"/>
    <w:rsid w:val="00541654"/>
    <w:rsid w:val="00547495"/>
    <w:rsid w:val="00551BB6"/>
    <w:rsid w:val="00556C6A"/>
    <w:rsid w:val="005951A4"/>
    <w:rsid w:val="005967A2"/>
    <w:rsid w:val="00597D9F"/>
    <w:rsid w:val="005B77FF"/>
    <w:rsid w:val="005D20E1"/>
    <w:rsid w:val="005D6BDC"/>
    <w:rsid w:val="005E4A50"/>
    <w:rsid w:val="005E5383"/>
    <w:rsid w:val="005F3DD3"/>
    <w:rsid w:val="006210CC"/>
    <w:rsid w:val="00634966"/>
    <w:rsid w:val="0065055B"/>
    <w:rsid w:val="00662FE6"/>
    <w:rsid w:val="0067090F"/>
    <w:rsid w:val="00677747"/>
    <w:rsid w:val="0069092D"/>
    <w:rsid w:val="006A239F"/>
    <w:rsid w:val="006C1E1C"/>
    <w:rsid w:val="006D360C"/>
    <w:rsid w:val="007009DD"/>
    <w:rsid w:val="00702300"/>
    <w:rsid w:val="00713593"/>
    <w:rsid w:val="00730D16"/>
    <w:rsid w:val="007337C5"/>
    <w:rsid w:val="007442A1"/>
    <w:rsid w:val="00744FB3"/>
    <w:rsid w:val="007646E6"/>
    <w:rsid w:val="00777746"/>
    <w:rsid w:val="00782B0D"/>
    <w:rsid w:val="00782F59"/>
    <w:rsid w:val="00790AA9"/>
    <w:rsid w:val="007A01C3"/>
    <w:rsid w:val="007A3144"/>
    <w:rsid w:val="007A56C6"/>
    <w:rsid w:val="007B3555"/>
    <w:rsid w:val="007C2706"/>
    <w:rsid w:val="007E4706"/>
    <w:rsid w:val="00802648"/>
    <w:rsid w:val="00821877"/>
    <w:rsid w:val="00822823"/>
    <w:rsid w:val="0083295E"/>
    <w:rsid w:val="0084189E"/>
    <w:rsid w:val="008460DD"/>
    <w:rsid w:val="00856339"/>
    <w:rsid w:val="00864957"/>
    <w:rsid w:val="00867D0D"/>
    <w:rsid w:val="00871F29"/>
    <w:rsid w:val="0087225A"/>
    <w:rsid w:val="00886434"/>
    <w:rsid w:val="008878AD"/>
    <w:rsid w:val="008B0117"/>
    <w:rsid w:val="008B2756"/>
    <w:rsid w:val="008B5231"/>
    <w:rsid w:val="008D3D44"/>
    <w:rsid w:val="008F5F97"/>
    <w:rsid w:val="009110BB"/>
    <w:rsid w:val="00920DB0"/>
    <w:rsid w:val="009246F2"/>
    <w:rsid w:val="00925244"/>
    <w:rsid w:val="0093546C"/>
    <w:rsid w:val="00936EF2"/>
    <w:rsid w:val="009537F5"/>
    <w:rsid w:val="00956C76"/>
    <w:rsid w:val="0097082D"/>
    <w:rsid w:val="00981683"/>
    <w:rsid w:val="00981723"/>
    <w:rsid w:val="00990550"/>
    <w:rsid w:val="0099275D"/>
    <w:rsid w:val="0099451B"/>
    <w:rsid w:val="00996C3F"/>
    <w:rsid w:val="009A20EF"/>
    <w:rsid w:val="009B0ACA"/>
    <w:rsid w:val="009C75D6"/>
    <w:rsid w:val="009D4D4F"/>
    <w:rsid w:val="009D795E"/>
    <w:rsid w:val="00A0734C"/>
    <w:rsid w:val="00A25FB3"/>
    <w:rsid w:val="00A272A7"/>
    <w:rsid w:val="00A3142D"/>
    <w:rsid w:val="00A42F8F"/>
    <w:rsid w:val="00A4570D"/>
    <w:rsid w:val="00A543AD"/>
    <w:rsid w:val="00A60317"/>
    <w:rsid w:val="00A607D2"/>
    <w:rsid w:val="00A7652A"/>
    <w:rsid w:val="00A774CD"/>
    <w:rsid w:val="00A801DF"/>
    <w:rsid w:val="00A8342F"/>
    <w:rsid w:val="00A9098D"/>
    <w:rsid w:val="00A92027"/>
    <w:rsid w:val="00A97B9F"/>
    <w:rsid w:val="00AA45AD"/>
    <w:rsid w:val="00AB59E8"/>
    <w:rsid w:val="00AB5A55"/>
    <w:rsid w:val="00AC69E9"/>
    <w:rsid w:val="00AC7D21"/>
    <w:rsid w:val="00AD340C"/>
    <w:rsid w:val="00AD4C6F"/>
    <w:rsid w:val="00AE1600"/>
    <w:rsid w:val="00AE35DA"/>
    <w:rsid w:val="00AF04C5"/>
    <w:rsid w:val="00AF27C6"/>
    <w:rsid w:val="00B1512B"/>
    <w:rsid w:val="00B22F64"/>
    <w:rsid w:val="00B244B3"/>
    <w:rsid w:val="00B276A5"/>
    <w:rsid w:val="00B327BF"/>
    <w:rsid w:val="00B34393"/>
    <w:rsid w:val="00B34487"/>
    <w:rsid w:val="00B422CC"/>
    <w:rsid w:val="00B53E80"/>
    <w:rsid w:val="00B55DD7"/>
    <w:rsid w:val="00B61FF5"/>
    <w:rsid w:val="00B66732"/>
    <w:rsid w:val="00B73992"/>
    <w:rsid w:val="00B91D9E"/>
    <w:rsid w:val="00B9261C"/>
    <w:rsid w:val="00B93FD2"/>
    <w:rsid w:val="00B96860"/>
    <w:rsid w:val="00BB7466"/>
    <w:rsid w:val="00BF0D70"/>
    <w:rsid w:val="00C07211"/>
    <w:rsid w:val="00C312E3"/>
    <w:rsid w:val="00C36014"/>
    <w:rsid w:val="00C521B5"/>
    <w:rsid w:val="00C60E56"/>
    <w:rsid w:val="00C82500"/>
    <w:rsid w:val="00C94D7F"/>
    <w:rsid w:val="00CA60E0"/>
    <w:rsid w:val="00CB1ABB"/>
    <w:rsid w:val="00CC08BD"/>
    <w:rsid w:val="00CC0BD2"/>
    <w:rsid w:val="00CC1107"/>
    <w:rsid w:val="00CC4690"/>
    <w:rsid w:val="00CD198E"/>
    <w:rsid w:val="00CE2CE2"/>
    <w:rsid w:val="00CF1978"/>
    <w:rsid w:val="00CF72B4"/>
    <w:rsid w:val="00D06025"/>
    <w:rsid w:val="00D1328F"/>
    <w:rsid w:val="00D1749E"/>
    <w:rsid w:val="00D47848"/>
    <w:rsid w:val="00D50F1E"/>
    <w:rsid w:val="00D521B2"/>
    <w:rsid w:val="00D5299F"/>
    <w:rsid w:val="00D64360"/>
    <w:rsid w:val="00D65E18"/>
    <w:rsid w:val="00D81EE3"/>
    <w:rsid w:val="00D942F2"/>
    <w:rsid w:val="00DA28FE"/>
    <w:rsid w:val="00DB483B"/>
    <w:rsid w:val="00DD1B2A"/>
    <w:rsid w:val="00DE186E"/>
    <w:rsid w:val="00DE42A9"/>
    <w:rsid w:val="00E02E04"/>
    <w:rsid w:val="00E05B16"/>
    <w:rsid w:val="00E37264"/>
    <w:rsid w:val="00E42011"/>
    <w:rsid w:val="00E420D4"/>
    <w:rsid w:val="00E50CE6"/>
    <w:rsid w:val="00E70390"/>
    <w:rsid w:val="00E71438"/>
    <w:rsid w:val="00E870B2"/>
    <w:rsid w:val="00E910E4"/>
    <w:rsid w:val="00E94FBA"/>
    <w:rsid w:val="00E97B93"/>
    <w:rsid w:val="00EA4538"/>
    <w:rsid w:val="00EA5531"/>
    <w:rsid w:val="00EB0010"/>
    <w:rsid w:val="00ED2BC2"/>
    <w:rsid w:val="00F077F1"/>
    <w:rsid w:val="00F22037"/>
    <w:rsid w:val="00F228F7"/>
    <w:rsid w:val="00F24B71"/>
    <w:rsid w:val="00F30D5E"/>
    <w:rsid w:val="00F345E7"/>
    <w:rsid w:val="00F424D3"/>
    <w:rsid w:val="00F43C8A"/>
    <w:rsid w:val="00F522E0"/>
    <w:rsid w:val="00F537FD"/>
    <w:rsid w:val="00F57B40"/>
    <w:rsid w:val="00F65FD5"/>
    <w:rsid w:val="00F67859"/>
    <w:rsid w:val="00F74260"/>
    <w:rsid w:val="00F77A00"/>
    <w:rsid w:val="00F81EE6"/>
    <w:rsid w:val="00F82EEB"/>
    <w:rsid w:val="00FA4597"/>
    <w:rsid w:val="00FB4079"/>
    <w:rsid w:val="00FC54AE"/>
    <w:rsid w:val="00FC54E7"/>
    <w:rsid w:val="00FE0D15"/>
    <w:rsid w:val="00FE38B3"/>
    <w:rsid w:val="00FE4CBF"/>
    <w:rsid w:val="00FE51AD"/>
    <w:rsid w:val="00FE6608"/>
    <w:rsid w:val="00FF087B"/>
    <w:rsid w:val="02FC53AF"/>
    <w:rsid w:val="03B26403"/>
    <w:rsid w:val="051256F2"/>
    <w:rsid w:val="05212581"/>
    <w:rsid w:val="05F76C68"/>
    <w:rsid w:val="066F78A9"/>
    <w:rsid w:val="06700505"/>
    <w:rsid w:val="06D22EEF"/>
    <w:rsid w:val="07990D5F"/>
    <w:rsid w:val="087D4ADB"/>
    <w:rsid w:val="08EE5800"/>
    <w:rsid w:val="09A0454A"/>
    <w:rsid w:val="0A3D49D0"/>
    <w:rsid w:val="0A486439"/>
    <w:rsid w:val="0A5517E5"/>
    <w:rsid w:val="0BE34071"/>
    <w:rsid w:val="0DF07E97"/>
    <w:rsid w:val="0DF12301"/>
    <w:rsid w:val="0F49495B"/>
    <w:rsid w:val="0F842D94"/>
    <w:rsid w:val="10780A6B"/>
    <w:rsid w:val="11365F25"/>
    <w:rsid w:val="12BE38F6"/>
    <w:rsid w:val="12E83FAB"/>
    <w:rsid w:val="1320137C"/>
    <w:rsid w:val="13FB46F7"/>
    <w:rsid w:val="140A1ACA"/>
    <w:rsid w:val="14B92244"/>
    <w:rsid w:val="1658663C"/>
    <w:rsid w:val="177A3981"/>
    <w:rsid w:val="17A6103B"/>
    <w:rsid w:val="181121C5"/>
    <w:rsid w:val="185234A6"/>
    <w:rsid w:val="18AF1210"/>
    <w:rsid w:val="19A412FB"/>
    <w:rsid w:val="19AF0051"/>
    <w:rsid w:val="1A346550"/>
    <w:rsid w:val="1A4D0CB7"/>
    <w:rsid w:val="1B406757"/>
    <w:rsid w:val="1D1D2298"/>
    <w:rsid w:val="1D1F7952"/>
    <w:rsid w:val="1D553BDD"/>
    <w:rsid w:val="1E611870"/>
    <w:rsid w:val="1ED82C6A"/>
    <w:rsid w:val="1F032AD3"/>
    <w:rsid w:val="1F2C4F4D"/>
    <w:rsid w:val="1F3C7216"/>
    <w:rsid w:val="1F5C18C4"/>
    <w:rsid w:val="1FAE3B65"/>
    <w:rsid w:val="20EC086A"/>
    <w:rsid w:val="218D149B"/>
    <w:rsid w:val="21A0741D"/>
    <w:rsid w:val="229E205B"/>
    <w:rsid w:val="22FE2F28"/>
    <w:rsid w:val="232A6D14"/>
    <w:rsid w:val="233A2BC4"/>
    <w:rsid w:val="233D75B5"/>
    <w:rsid w:val="23682AFA"/>
    <w:rsid w:val="2445761C"/>
    <w:rsid w:val="257816D9"/>
    <w:rsid w:val="25E44193"/>
    <w:rsid w:val="262264FE"/>
    <w:rsid w:val="264C4D96"/>
    <w:rsid w:val="27D168FE"/>
    <w:rsid w:val="286F548B"/>
    <w:rsid w:val="28C34F6A"/>
    <w:rsid w:val="28D649B7"/>
    <w:rsid w:val="2B5511E6"/>
    <w:rsid w:val="2C393CEE"/>
    <w:rsid w:val="2C600D56"/>
    <w:rsid w:val="2C784612"/>
    <w:rsid w:val="2CA66EA0"/>
    <w:rsid w:val="2E3210ED"/>
    <w:rsid w:val="2E894E21"/>
    <w:rsid w:val="2EFE57C6"/>
    <w:rsid w:val="2FB14CDA"/>
    <w:rsid w:val="2FCC17FE"/>
    <w:rsid w:val="30D42DB3"/>
    <w:rsid w:val="316F12A4"/>
    <w:rsid w:val="31E43471"/>
    <w:rsid w:val="32A21397"/>
    <w:rsid w:val="33745964"/>
    <w:rsid w:val="344A4065"/>
    <w:rsid w:val="35092215"/>
    <w:rsid w:val="351B05CC"/>
    <w:rsid w:val="35421AC7"/>
    <w:rsid w:val="35FF067C"/>
    <w:rsid w:val="36D43769"/>
    <w:rsid w:val="3719441E"/>
    <w:rsid w:val="389D384B"/>
    <w:rsid w:val="39226A20"/>
    <w:rsid w:val="39E81CD1"/>
    <w:rsid w:val="3AA54D2E"/>
    <w:rsid w:val="3B1A2453"/>
    <w:rsid w:val="3B26579D"/>
    <w:rsid w:val="3B2E5C5C"/>
    <w:rsid w:val="3B4847E0"/>
    <w:rsid w:val="3C074727"/>
    <w:rsid w:val="3CC91EA5"/>
    <w:rsid w:val="3DE5523F"/>
    <w:rsid w:val="3E3F7B67"/>
    <w:rsid w:val="3ED461B8"/>
    <w:rsid w:val="3EE61C0E"/>
    <w:rsid w:val="3EF44608"/>
    <w:rsid w:val="3FD63AA8"/>
    <w:rsid w:val="400B7B99"/>
    <w:rsid w:val="406351EE"/>
    <w:rsid w:val="40D64D55"/>
    <w:rsid w:val="41042904"/>
    <w:rsid w:val="42443AA3"/>
    <w:rsid w:val="434A3CCC"/>
    <w:rsid w:val="4616381F"/>
    <w:rsid w:val="463A7585"/>
    <w:rsid w:val="463E68B9"/>
    <w:rsid w:val="46976E61"/>
    <w:rsid w:val="47B23E5B"/>
    <w:rsid w:val="48766053"/>
    <w:rsid w:val="496B3360"/>
    <w:rsid w:val="4A8A1886"/>
    <w:rsid w:val="4AA65356"/>
    <w:rsid w:val="4B7E6A52"/>
    <w:rsid w:val="4BE25E46"/>
    <w:rsid w:val="4BEC0AB9"/>
    <w:rsid w:val="4C52659F"/>
    <w:rsid w:val="4D9C4B2B"/>
    <w:rsid w:val="4E1C7865"/>
    <w:rsid w:val="4E5F65B7"/>
    <w:rsid w:val="4FE1610E"/>
    <w:rsid w:val="50325584"/>
    <w:rsid w:val="50395A1D"/>
    <w:rsid w:val="50B1648D"/>
    <w:rsid w:val="52531DB4"/>
    <w:rsid w:val="52C54C42"/>
    <w:rsid w:val="52E60CCC"/>
    <w:rsid w:val="53124EEB"/>
    <w:rsid w:val="531273B7"/>
    <w:rsid w:val="53E80F2C"/>
    <w:rsid w:val="54204E5F"/>
    <w:rsid w:val="54412E99"/>
    <w:rsid w:val="54A36728"/>
    <w:rsid w:val="54D97C9A"/>
    <w:rsid w:val="55113B88"/>
    <w:rsid w:val="556F3584"/>
    <w:rsid w:val="557C4ADA"/>
    <w:rsid w:val="5594197F"/>
    <w:rsid w:val="55D75B9A"/>
    <w:rsid w:val="561C3E99"/>
    <w:rsid w:val="56430231"/>
    <w:rsid w:val="5650720B"/>
    <w:rsid w:val="56974DD6"/>
    <w:rsid w:val="58E5293D"/>
    <w:rsid w:val="591E68E0"/>
    <w:rsid w:val="59542EAA"/>
    <w:rsid w:val="5A32041D"/>
    <w:rsid w:val="5B3145F8"/>
    <w:rsid w:val="5BD63E7F"/>
    <w:rsid w:val="5C2A671C"/>
    <w:rsid w:val="5D933554"/>
    <w:rsid w:val="5EED1AE6"/>
    <w:rsid w:val="5FDB1A55"/>
    <w:rsid w:val="606E3414"/>
    <w:rsid w:val="60830045"/>
    <w:rsid w:val="613608C2"/>
    <w:rsid w:val="6192488C"/>
    <w:rsid w:val="61A80AE1"/>
    <w:rsid w:val="61BE6F88"/>
    <w:rsid w:val="6272479E"/>
    <w:rsid w:val="627E3277"/>
    <w:rsid w:val="629E73D4"/>
    <w:rsid w:val="62C077EC"/>
    <w:rsid w:val="63110812"/>
    <w:rsid w:val="64DF63A4"/>
    <w:rsid w:val="64EA6224"/>
    <w:rsid w:val="64F11B22"/>
    <w:rsid w:val="650A4198"/>
    <w:rsid w:val="662E6B73"/>
    <w:rsid w:val="66C4500E"/>
    <w:rsid w:val="677358C7"/>
    <w:rsid w:val="67875ACB"/>
    <w:rsid w:val="67A6340E"/>
    <w:rsid w:val="67EC088B"/>
    <w:rsid w:val="6870459B"/>
    <w:rsid w:val="68C91265"/>
    <w:rsid w:val="6A0109BB"/>
    <w:rsid w:val="6A1E28F7"/>
    <w:rsid w:val="6AD86960"/>
    <w:rsid w:val="6B3E5ADB"/>
    <w:rsid w:val="6BCF5F76"/>
    <w:rsid w:val="6BEF61D5"/>
    <w:rsid w:val="6D700CD8"/>
    <w:rsid w:val="6D9B7261"/>
    <w:rsid w:val="6E2D5CFC"/>
    <w:rsid w:val="6E5048A9"/>
    <w:rsid w:val="6EC00287"/>
    <w:rsid w:val="6F036B1D"/>
    <w:rsid w:val="70AA206E"/>
    <w:rsid w:val="70DB2FDE"/>
    <w:rsid w:val="70FF2FE1"/>
    <w:rsid w:val="71661CCE"/>
    <w:rsid w:val="727C0191"/>
    <w:rsid w:val="73427888"/>
    <w:rsid w:val="736809D9"/>
    <w:rsid w:val="73847741"/>
    <w:rsid w:val="74821AB1"/>
    <w:rsid w:val="74CA6E96"/>
    <w:rsid w:val="74F50716"/>
    <w:rsid w:val="752854CC"/>
    <w:rsid w:val="76706361"/>
    <w:rsid w:val="767556E4"/>
    <w:rsid w:val="768B7E5D"/>
    <w:rsid w:val="76E13307"/>
    <w:rsid w:val="774F09AF"/>
    <w:rsid w:val="77B27778"/>
    <w:rsid w:val="77E85975"/>
    <w:rsid w:val="79883893"/>
    <w:rsid w:val="79D148CE"/>
    <w:rsid w:val="7A227AD9"/>
    <w:rsid w:val="7A2A7D98"/>
    <w:rsid w:val="7A5559E0"/>
    <w:rsid w:val="7A7E55DD"/>
    <w:rsid w:val="7AEC56F5"/>
    <w:rsid w:val="7B6A375E"/>
    <w:rsid w:val="7C72523B"/>
    <w:rsid w:val="7DF8264B"/>
    <w:rsid w:val="7EB13EC5"/>
    <w:rsid w:val="9F2D68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6">
    <w:name w:val="annotation text"/>
    <w:basedOn w:val="1"/>
    <w:link w:val="24"/>
    <w:qFormat/>
    <w:uiPriority w:val="0"/>
    <w:pPr>
      <w:jc w:val="left"/>
    </w:pPr>
  </w:style>
  <w:style w:type="paragraph" w:styleId="7">
    <w:name w:val="toc 3"/>
    <w:basedOn w:val="1"/>
    <w:next w:val="1"/>
    <w:qFormat/>
    <w:uiPriority w:val="0"/>
    <w:pPr>
      <w:ind w:left="840" w:leftChars="400"/>
    </w:pPr>
  </w:style>
  <w:style w:type="paragraph" w:styleId="8">
    <w:name w:val="Plain Text"/>
    <w:basedOn w:val="1"/>
    <w:unhideWhenUsed/>
    <w:qFormat/>
    <w:uiPriority w:val="99"/>
    <w:rPr>
      <w:rFonts w:ascii="宋体" w:hAnsi="Courier New"/>
    </w:rPr>
  </w:style>
  <w:style w:type="paragraph" w:styleId="9">
    <w:name w:val="Balloon Text"/>
    <w:basedOn w:val="1"/>
    <w:semiHidden/>
    <w:qFormat/>
    <w:uiPriority w:val="0"/>
    <w:rPr>
      <w:sz w:val="18"/>
      <w:szCs w:val="18"/>
    </w:rPr>
  </w:style>
  <w:style w:type="paragraph" w:styleId="10">
    <w:name w:val="footer"/>
    <w:basedOn w:val="1"/>
    <w:link w:val="25"/>
    <w:qFormat/>
    <w:uiPriority w:val="0"/>
    <w:pPr>
      <w:tabs>
        <w:tab w:val="center" w:pos="4153"/>
        <w:tab w:val="right" w:pos="8306"/>
      </w:tabs>
      <w:snapToGrid w:val="0"/>
      <w:jc w:val="left"/>
    </w:pPr>
    <w:rPr>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5">
    <w:name w:val="annotation subject"/>
    <w:basedOn w:val="6"/>
    <w:next w:val="6"/>
    <w:link w:val="27"/>
    <w:qFormat/>
    <w:uiPriority w:val="0"/>
    <w:rPr>
      <w:b/>
      <w:bCs/>
    </w:rPr>
  </w:style>
  <w:style w:type="table" w:styleId="17">
    <w:name w:val="Table Grid"/>
    <w:basedOn w:val="16"/>
    <w:qFormat/>
    <w:uiPriority w:val="0"/>
    <w:pPr>
      <w:widowControl w:val="0"/>
      <w:jc w:val="both"/>
    </w:pPr>
    <w:rPr>
      <w:rFonts w:ascii="Times New Roman" w:hAnsi="Times New Roman" w:eastAsia="PMingLi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rPr>
  </w:style>
  <w:style w:type="character" w:styleId="20">
    <w:name w:val="page number"/>
    <w:basedOn w:val="18"/>
    <w:qFormat/>
    <w:uiPriority w:val="0"/>
  </w:style>
  <w:style w:type="character" w:styleId="21">
    <w:name w:val="FollowedHyperlink"/>
    <w:qFormat/>
    <w:uiPriority w:val="0"/>
    <w:rPr>
      <w:color w:val="800080"/>
      <w:u w:val="none"/>
    </w:rPr>
  </w:style>
  <w:style w:type="character" w:styleId="22">
    <w:name w:val="Hyperlink"/>
    <w:qFormat/>
    <w:uiPriority w:val="0"/>
    <w:rPr>
      <w:color w:val="0000FF"/>
      <w:u w:val="none"/>
    </w:rPr>
  </w:style>
  <w:style w:type="character" w:styleId="23">
    <w:name w:val="annotation reference"/>
    <w:qFormat/>
    <w:uiPriority w:val="0"/>
    <w:rPr>
      <w:sz w:val="21"/>
      <w:szCs w:val="21"/>
    </w:rPr>
  </w:style>
  <w:style w:type="character" w:customStyle="1" w:styleId="24">
    <w:name w:val="批注文字 Char"/>
    <w:link w:val="6"/>
    <w:qFormat/>
    <w:uiPriority w:val="0"/>
    <w:rPr>
      <w:kern w:val="2"/>
      <w:sz w:val="21"/>
      <w:szCs w:val="24"/>
    </w:rPr>
  </w:style>
  <w:style w:type="character" w:customStyle="1" w:styleId="25">
    <w:name w:val="页脚 Char"/>
    <w:link w:val="10"/>
    <w:qFormat/>
    <w:uiPriority w:val="0"/>
    <w:rPr>
      <w:rFonts w:ascii="Calibri" w:hAnsi="Calibri"/>
      <w:kern w:val="2"/>
      <w:sz w:val="18"/>
      <w:szCs w:val="18"/>
    </w:rPr>
  </w:style>
  <w:style w:type="character" w:customStyle="1" w:styleId="26">
    <w:name w:val="页眉 Char"/>
    <w:link w:val="11"/>
    <w:qFormat/>
    <w:uiPriority w:val="0"/>
    <w:rPr>
      <w:rFonts w:ascii="Calibri" w:hAnsi="Calibri"/>
      <w:kern w:val="2"/>
      <w:sz w:val="18"/>
      <w:szCs w:val="18"/>
    </w:rPr>
  </w:style>
  <w:style w:type="character" w:customStyle="1" w:styleId="27">
    <w:name w:val="批注主题 Char"/>
    <w:link w:val="15"/>
    <w:qFormat/>
    <w:uiPriority w:val="0"/>
    <w:rPr>
      <w:b/>
      <w:bCs/>
      <w:kern w:val="2"/>
      <w:sz w:val="21"/>
      <w:szCs w:val="24"/>
    </w:rPr>
  </w:style>
  <w:style w:type="character" w:customStyle="1" w:styleId="28">
    <w:name w:val="y-active"/>
    <w:qFormat/>
    <w:uiPriority w:val="0"/>
    <w:rPr>
      <w:color w:val="FFFFFF"/>
    </w:rPr>
  </w:style>
  <w:style w:type="character" w:customStyle="1" w:styleId="29">
    <w:name w:val="small-tit"/>
    <w:qFormat/>
    <w:uiPriority w:val="0"/>
    <w:rPr>
      <w:color w:val="898989"/>
    </w:rPr>
  </w:style>
  <w:style w:type="character" w:customStyle="1" w:styleId="30">
    <w:name w:val="font41"/>
    <w:basedOn w:val="18"/>
    <w:qFormat/>
    <w:uiPriority w:val="0"/>
    <w:rPr>
      <w:rFonts w:hint="default" w:ascii="方正书宋_GBK" w:hAnsi="方正书宋_GBK" w:eastAsia="方正书宋_GBK" w:cs="方正书宋_GBK"/>
      <w:color w:val="000000"/>
      <w:sz w:val="21"/>
      <w:szCs w:val="21"/>
      <w:u w:val="none"/>
    </w:rPr>
  </w:style>
  <w:style w:type="character" w:customStyle="1" w:styleId="31">
    <w:name w:val="font11"/>
    <w:basedOn w:val="18"/>
    <w:qFormat/>
    <w:uiPriority w:val="0"/>
    <w:rPr>
      <w:rFonts w:ascii="Calibri" w:hAnsi="Calibri" w:cs="Calibri"/>
      <w:color w:val="FF0000"/>
      <w:sz w:val="21"/>
      <w:szCs w:val="21"/>
      <w:u w:val="none"/>
    </w:rPr>
  </w:style>
  <w:style w:type="character" w:customStyle="1" w:styleId="32">
    <w:name w:val="name"/>
    <w:qFormat/>
    <w:uiPriority w:val="0"/>
    <w:rPr>
      <w:color w:val="333333"/>
      <w:sz w:val="24"/>
      <w:szCs w:val="24"/>
    </w:rPr>
  </w:style>
  <w:style w:type="character" w:customStyle="1" w:styleId="33">
    <w:name w:val="font21"/>
    <w:basedOn w:val="18"/>
    <w:qFormat/>
    <w:uiPriority w:val="0"/>
    <w:rPr>
      <w:rFonts w:hint="default" w:ascii="Times New Roman" w:hAnsi="Times New Roman" w:cs="Times New Roman"/>
      <w:color w:val="000000"/>
      <w:sz w:val="21"/>
      <w:szCs w:val="21"/>
      <w:u w:val="none"/>
    </w:rPr>
  </w:style>
  <w:style w:type="character" w:customStyle="1" w:styleId="34">
    <w:name w:val="icon3"/>
    <w:basedOn w:val="18"/>
    <w:qFormat/>
    <w:uiPriority w:val="0"/>
  </w:style>
  <w:style w:type="character" w:customStyle="1" w:styleId="35">
    <w:name w:val="icon2"/>
    <w:basedOn w:val="18"/>
    <w:qFormat/>
    <w:uiPriority w:val="0"/>
  </w:style>
  <w:style w:type="character" w:customStyle="1" w:styleId="36">
    <w:name w:val="working"/>
    <w:qFormat/>
    <w:uiPriority w:val="0"/>
    <w:rPr>
      <w:color w:val="959595"/>
    </w:rPr>
  </w:style>
  <w:style w:type="character" w:customStyle="1" w:styleId="37">
    <w:name w:val="li-tm"/>
    <w:qFormat/>
    <w:uiPriority w:val="0"/>
    <w:rPr>
      <w:color w:val="A7A7A7"/>
      <w:sz w:val="18"/>
      <w:szCs w:val="18"/>
    </w:rPr>
  </w:style>
  <w:style w:type="character" w:customStyle="1" w:styleId="38">
    <w:name w:val="font31"/>
    <w:basedOn w:val="18"/>
    <w:qFormat/>
    <w:uiPriority w:val="0"/>
    <w:rPr>
      <w:rFonts w:hint="default" w:ascii="方正书宋_GBK" w:hAnsi="方正书宋_GBK" w:eastAsia="方正书宋_GBK" w:cs="方正书宋_GBK"/>
      <w:color w:val="FF0000"/>
      <w:sz w:val="21"/>
      <w:szCs w:val="21"/>
      <w:u w:val="none"/>
    </w:rPr>
  </w:style>
  <w:style w:type="character" w:customStyle="1" w:styleId="39">
    <w:name w:val="pos"/>
    <w:qFormat/>
    <w:uiPriority w:val="0"/>
    <w:rPr>
      <w:color w:val="666666"/>
      <w:sz w:val="18"/>
      <w:szCs w:val="18"/>
    </w:rPr>
  </w:style>
  <w:style w:type="character" w:customStyle="1" w:styleId="40">
    <w:name w:val="icon"/>
    <w:basedOn w:val="18"/>
    <w:qFormat/>
    <w:uiPriority w:val="0"/>
  </w:style>
  <w:style w:type="character" w:customStyle="1" w:styleId="41">
    <w:name w:val="icon1"/>
    <w:basedOn w:val="18"/>
    <w:qFormat/>
    <w:uiPriority w:val="0"/>
  </w:style>
  <w:style w:type="paragraph" w:customStyle="1" w:styleId="42">
    <w:name w:val="石墨文档正文首行缩进"/>
    <w:qFormat/>
    <w:uiPriority w:val="0"/>
    <w:pPr>
      <w:spacing w:line="360" w:lineRule="auto"/>
      <w:ind w:firstLine="200" w:firstLineChars="200"/>
      <w:jc w:val="both"/>
    </w:pPr>
    <w:rPr>
      <w:rFonts w:ascii="Times New Roman" w:hAnsi="Times New Roman" w:eastAsia="仿宋" w:cs="微软雅黑"/>
      <w:sz w:val="28"/>
      <w:szCs w:val="48"/>
      <w:lang w:val="en-US" w:eastAsia="zh-CN" w:bidi="ar-SA"/>
    </w:rPr>
  </w:style>
  <w:style w:type="paragraph" w:customStyle="1" w:styleId="43">
    <w:name w:val="WPSOffice手动目录 2"/>
    <w:qFormat/>
    <w:uiPriority w:val="0"/>
    <w:pPr>
      <w:ind w:leftChars="200"/>
    </w:pPr>
    <w:rPr>
      <w:rFonts w:ascii="Calibri" w:hAnsi="Calibri" w:eastAsia="微软雅黑" w:cs="Times New Roman"/>
      <w:sz w:val="20"/>
      <w:szCs w:val="20"/>
    </w:rPr>
  </w:style>
  <w:style w:type="paragraph" w:customStyle="1" w:styleId="44">
    <w:name w:val="WPSOffice手动目录 1"/>
    <w:qFormat/>
    <w:uiPriority w:val="0"/>
    <w:pPr>
      <w:ind w:leftChars="0"/>
    </w:pPr>
    <w:rPr>
      <w:rFonts w:ascii="Calibri" w:hAnsi="Calibri" w:eastAsia="微软雅黑" w:cs="Times New Roman"/>
      <w:sz w:val="20"/>
      <w:szCs w:val="20"/>
    </w:rPr>
  </w:style>
  <w:style w:type="paragraph" w:customStyle="1" w:styleId="45">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46">
    <w:name w:val="Char Char Char Char Char Char Char"/>
    <w:basedOn w:val="1"/>
    <w:qFormat/>
    <w:uiPriority w:val="0"/>
    <w:rPr>
      <w:rFonts w:ascii="Times New Roman" w:hAnsi="Times New Roman" w:eastAsia="方正仿宋_GBK"/>
      <w:sz w:val="32"/>
      <w:szCs w:val="20"/>
    </w:rPr>
  </w:style>
  <w:style w:type="paragraph" w:customStyle="1" w:styleId="47">
    <w:name w:val="Normal_0"/>
    <w:qFormat/>
    <w:uiPriority w:val="0"/>
    <w:rPr>
      <w:rFonts w:ascii="Times New Roman" w:hAnsi="Times New Roman" w:eastAsia="Times New Roman" w:cs="Times New Roman"/>
      <w:sz w:val="24"/>
      <w:szCs w:val="24"/>
      <w:lang w:val="en-US" w:eastAsia="zh-CN" w:bidi="ar-SA"/>
    </w:rPr>
  </w:style>
  <w:style w:type="paragraph" w:customStyle="1" w:styleId="48">
    <w:name w:val="_Style 40"/>
    <w:basedOn w:val="1"/>
    <w:qFormat/>
    <w:uiPriority w:val="0"/>
    <w:pPr>
      <w:snapToGrid w:val="0"/>
      <w:spacing w:line="360" w:lineRule="auto"/>
      <w:ind w:firstLine="200" w:firstLineChars="200"/>
    </w:pPr>
    <w:rPr>
      <w:rFonts w:ascii="Times New Roman" w:hAnsi="Times New Roman" w:eastAsia="宋体"/>
      <w:spacing w:val="6"/>
      <w:sz w:val="28"/>
    </w:rPr>
  </w:style>
  <w:style w:type="paragraph" w:customStyle="1" w:styleId="49">
    <w:name w:val="Normal_1"/>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6888</Words>
  <Characters>39262</Characters>
  <Lines>327</Lines>
  <Paragraphs>92</Paragraphs>
  <TotalTime>2</TotalTime>
  <ScaleCrop>false</ScaleCrop>
  <LinksUpToDate>false</LinksUpToDate>
  <CharactersWithSpaces>46058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2020-07-15T17:25:00Z</dcterms:created>
  <dc:creator>Administrator</dc:creator>
  <cp:lastModifiedBy> </cp:lastModifiedBy>
  <cp:lastPrinted>2021-08-09T20:42:00Z</cp:lastPrinted>
  <dcterms:modified xsi:type="dcterms:W3CDTF">2023-11-27T15:42:54Z</dcterms:modified>
  <dc:title>黔江区促进大数据智能化发展实施意见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328673430_btnclosed</vt:lpwstr>
  </property>
  <property fmtid="{D5CDD505-2E9C-101B-9397-08002B2CF9AE}" pid="4" name="ICV">
    <vt:lpwstr>A7112954D0844E589DC6313438130A38</vt:lpwstr>
  </property>
</Properties>
</file>