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重庆市黔江区民族</w:t>
      </w:r>
      <w:r>
        <w:rPr>
          <w:rFonts w:hint="eastAsia" w:ascii="方正小标宋_GBK" w:hAnsi="方正小标宋_GBK" w:eastAsia="方正小标宋_GBK" w:cs="方正小标宋_GBK"/>
          <w:sz w:val="44"/>
          <w:szCs w:val="44"/>
          <w:lang w:val="en-US" w:eastAsia="zh-CN"/>
        </w:rPr>
        <w:t>研究所</w:t>
      </w:r>
      <w:r>
        <w:rPr>
          <w:rFonts w:hint="eastAsia" w:ascii="方正小标宋_GBK" w:hAnsi="方正小标宋_GBK" w:eastAsia="方正小标宋_GBK" w:cs="方正小标宋_GBK"/>
          <w:sz w:val="44"/>
          <w:szCs w:val="44"/>
          <w:lang w:eastAsia="zh-CN"/>
        </w:rPr>
        <w:t>2024</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单位</w:t>
      </w:r>
      <w:r>
        <w:rPr>
          <w:rFonts w:hint="eastAsia" w:ascii="方正小标宋_GBK" w:hAnsi="方正小标宋_GBK" w:eastAsia="方正小标宋_GBK" w:cs="方正小标宋_GBK"/>
          <w:sz w:val="44"/>
          <w:szCs w:val="44"/>
        </w:rPr>
        <w:t>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一、单位基本情况</w:t>
      </w:r>
    </w:p>
    <w:p>
      <w:pPr>
        <w:spacing w:line="60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（一）职能职责</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w:t>
      </w:r>
    </w:p>
    <w:p>
      <w:pPr>
        <w:numPr>
          <w:ilvl w:val="0"/>
          <w:numId w:val="0"/>
        </w:num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负责开展民族历史文化资料的收集整理与研究；</w:t>
      </w:r>
    </w:p>
    <w:p>
      <w:pPr>
        <w:numPr>
          <w:ilvl w:val="0"/>
          <w:numId w:val="0"/>
        </w:num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宣传党的民族政策和传播民族文化知识；</w:t>
      </w:r>
    </w:p>
    <w:p>
      <w:pPr>
        <w:numPr>
          <w:ilvl w:val="0"/>
          <w:numId w:val="0"/>
        </w:num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保护保存民族文化遗产，展示民族经济社会发展；</w:t>
      </w:r>
    </w:p>
    <w:p>
      <w:pPr>
        <w:numPr>
          <w:ilvl w:val="0"/>
          <w:numId w:val="0"/>
        </w:num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开展民族交流与合作，促进民族团结进步；</w:t>
      </w:r>
    </w:p>
    <w:p>
      <w:pPr>
        <w:numPr>
          <w:ilvl w:val="0"/>
          <w:numId w:val="0"/>
        </w:numPr>
        <w:spacing w:line="60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5.负责重庆市民族博物馆免费开放与正常运行。</w:t>
      </w:r>
    </w:p>
    <w:p>
      <w:pPr>
        <w:numPr>
          <w:ilvl w:val="0"/>
          <w:numId w:val="0"/>
        </w:num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负责其他交办任务。</w:t>
      </w:r>
    </w:p>
    <w:p>
      <w:pPr>
        <w:spacing w:line="60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（二）单位构成</w:t>
      </w:r>
    </w:p>
    <w:p>
      <w:p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本次预算单位</w:t>
      </w:r>
      <w:r>
        <w:rPr>
          <w:rFonts w:hint="eastAsia" w:ascii="方正仿宋_GBK" w:hAnsi="方正仿宋_GBK" w:eastAsia="方正仿宋_GBK" w:cs="方正仿宋_GBK"/>
          <w:sz w:val="32"/>
          <w:szCs w:val="32"/>
          <w:lang w:val="en-US" w:eastAsia="zh-CN"/>
        </w:rPr>
        <w:t>是黔江</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lang w:val="en-US" w:eastAsia="zh-CN"/>
        </w:rPr>
        <w:t>民族宗教</w:t>
      </w:r>
      <w:r>
        <w:rPr>
          <w:rFonts w:hint="eastAsia" w:ascii="方正仿宋_GBK" w:hAnsi="方正仿宋_GBK" w:eastAsia="方正仿宋_GBK" w:cs="方正仿宋_GBK"/>
          <w:sz w:val="32"/>
          <w:szCs w:val="32"/>
        </w:rPr>
        <w:t>委</w:t>
      </w:r>
      <w:r>
        <w:rPr>
          <w:rFonts w:hint="eastAsia" w:ascii="方正仿宋_GBK" w:hAnsi="方正仿宋_GBK" w:eastAsia="方正仿宋_GBK" w:cs="方正仿宋_GBK"/>
          <w:sz w:val="32"/>
          <w:szCs w:val="32"/>
          <w:lang w:val="en-US" w:eastAsia="zh-CN"/>
        </w:rPr>
        <w:t>下属</w:t>
      </w:r>
      <w:r>
        <w:rPr>
          <w:rFonts w:hint="eastAsia" w:ascii="方正仿宋_GBK" w:hAnsi="方正仿宋_GBK" w:eastAsia="方正仿宋_GBK" w:cs="方正仿宋_GBK"/>
          <w:sz w:val="32"/>
          <w:szCs w:val="32"/>
        </w:rPr>
        <w:t>二级单位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属公共管理类全额拨款事业单位</w:t>
      </w:r>
      <w:r>
        <w:rPr>
          <w:rFonts w:hint="eastAsia" w:ascii="方正仿宋_GBK" w:hAnsi="方正仿宋_GBK" w:eastAsia="方正仿宋_GBK" w:cs="方正仿宋_GBK"/>
          <w:sz w:val="32"/>
          <w:szCs w:val="32"/>
        </w:rPr>
        <w:t>。</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val="en-US" w:eastAsia="zh-CN"/>
        </w:rPr>
        <w:t>单位</w:t>
      </w:r>
      <w:r>
        <w:rPr>
          <w:rFonts w:hint="eastAsia" w:ascii="方正黑体_GBK" w:hAnsi="方正黑体_GBK" w:eastAsia="方正黑体_GBK" w:cs="方正黑体_GBK"/>
          <w:sz w:val="32"/>
          <w:szCs w:val="32"/>
        </w:rPr>
        <w:t>收支总体情况</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（一）收入预算：</w:t>
      </w:r>
      <w:r>
        <w:rPr>
          <w:rFonts w:hint="eastAsia" w:ascii="方正仿宋_GBK" w:hAnsi="方正仿宋_GBK" w:eastAsia="方正仿宋_GBK" w:cs="方正仿宋_GBK"/>
          <w:sz w:val="32"/>
          <w:szCs w:val="32"/>
          <w:lang w:eastAsia="zh-CN"/>
        </w:rPr>
        <w:t>2024</w:t>
      </w:r>
      <w:r>
        <w:rPr>
          <w:rFonts w:hint="eastAsia" w:ascii="方正仿宋_GBK" w:hAnsi="方正仿宋_GBK" w:eastAsia="方正仿宋_GBK" w:cs="方正仿宋_GBK"/>
          <w:sz w:val="32"/>
          <w:szCs w:val="32"/>
        </w:rPr>
        <w:t>年年初预算数</w:t>
      </w:r>
      <w:r>
        <w:rPr>
          <w:rFonts w:hint="eastAsia" w:ascii="方正仿宋_GBK" w:hAnsi="方正仿宋_GBK" w:eastAsia="方正仿宋_GBK" w:cs="方正仿宋_GBK"/>
          <w:sz w:val="32"/>
          <w:szCs w:val="32"/>
          <w:lang w:val="en-US" w:eastAsia="zh-CN"/>
        </w:rPr>
        <w:t>105.59</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val="en-US" w:eastAsia="zh-CN"/>
        </w:rPr>
        <w:t>较上年增加6.93万元，上升7.02%。</w:t>
      </w:r>
      <w:r>
        <w:rPr>
          <w:rFonts w:hint="eastAsia" w:ascii="方正仿宋_GBK" w:hAnsi="方正仿宋_GBK" w:eastAsia="方正仿宋_GBK" w:cs="方正仿宋_GBK"/>
          <w:sz w:val="32"/>
          <w:szCs w:val="32"/>
        </w:rPr>
        <w:t>其中：一般公共</w:t>
      </w:r>
      <w:r>
        <w:rPr>
          <w:rFonts w:hint="eastAsia" w:ascii="方正仿宋_GBK" w:hAnsi="方正仿宋_GBK" w:eastAsia="方正仿宋_GBK" w:cs="方正仿宋_GBK"/>
          <w:sz w:val="32"/>
          <w:szCs w:val="32"/>
          <w:lang w:val="en-US" w:eastAsia="zh-CN"/>
        </w:rPr>
        <w:t>预算资金105.59</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较上年增加6.93万元，增长7.02%，主要原因是基本支出中人员工资福利支出正常变动</w:t>
      </w:r>
      <w:r>
        <w:rPr>
          <w:rFonts w:hint="eastAsia" w:ascii="方正仿宋_GBK" w:hAnsi="方正仿宋_GBK" w:eastAsia="方正仿宋_GBK" w:cs="方正仿宋_GBK"/>
          <w:sz w:val="32"/>
          <w:szCs w:val="32"/>
        </w:rPr>
        <w:t>。</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（二）支出预算：</w:t>
      </w:r>
      <w:r>
        <w:rPr>
          <w:rFonts w:hint="eastAsia" w:ascii="方正仿宋_GBK" w:hAnsi="方正仿宋_GBK" w:eastAsia="方正仿宋_GBK" w:cs="方正仿宋_GBK"/>
          <w:sz w:val="32"/>
          <w:szCs w:val="32"/>
          <w:lang w:eastAsia="zh-CN"/>
        </w:rPr>
        <w:t>2024</w:t>
      </w:r>
      <w:r>
        <w:rPr>
          <w:rFonts w:hint="eastAsia" w:ascii="方正仿宋_GBK" w:hAnsi="方正仿宋_GBK" w:eastAsia="方正仿宋_GBK" w:cs="方正仿宋_GBK"/>
          <w:sz w:val="32"/>
          <w:szCs w:val="32"/>
        </w:rPr>
        <w:t>年年初预算数</w:t>
      </w:r>
      <w:r>
        <w:rPr>
          <w:rFonts w:hint="eastAsia" w:ascii="方正仿宋_GBK" w:hAnsi="方正仿宋_GBK" w:eastAsia="方正仿宋_GBK" w:cs="方正仿宋_GBK"/>
          <w:sz w:val="32"/>
          <w:szCs w:val="32"/>
          <w:lang w:val="en-US" w:eastAsia="zh-CN"/>
        </w:rPr>
        <w:t>105.59</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val="en-US" w:eastAsia="zh-CN"/>
        </w:rPr>
        <w:t>较上年增加6.93万元，上升7.02%。主要原因是基本支出中人员工资福利支出正常变动</w:t>
      </w:r>
      <w:r>
        <w:rPr>
          <w:rFonts w:hint="eastAsia" w:ascii="方正仿宋_GBK" w:hAnsi="方正仿宋_GBK" w:eastAsia="方正仿宋_GBK" w:cs="方正仿宋_GBK"/>
          <w:sz w:val="32"/>
          <w:szCs w:val="32"/>
        </w:rPr>
        <w:t>。其中：一般公共服务支出</w:t>
      </w:r>
      <w:r>
        <w:rPr>
          <w:rFonts w:hint="eastAsia" w:ascii="方正仿宋_GBK" w:hAnsi="方正仿宋_GBK" w:eastAsia="方正仿宋_GBK" w:cs="方正仿宋_GBK"/>
          <w:sz w:val="32"/>
          <w:szCs w:val="32"/>
          <w:lang w:val="en-US" w:eastAsia="zh-CN"/>
        </w:rPr>
        <w:t>83.15</w:t>
      </w:r>
      <w:r>
        <w:rPr>
          <w:rFonts w:hint="eastAsia" w:ascii="方正仿宋_GBK" w:hAnsi="方正仿宋_GBK" w:eastAsia="方正仿宋_GBK" w:cs="方正仿宋_GBK"/>
          <w:sz w:val="32"/>
          <w:szCs w:val="32"/>
        </w:rPr>
        <w:t>万元，社会保障和就业支出11.08</w:t>
      </w:r>
      <w:r>
        <w:rPr>
          <w:rFonts w:hint="eastAsia" w:ascii="方正仿宋_GBK" w:hAnsi="方正仿宋_GBK" w:eastAsia="方正仿宋_GBK" w:cs="方正仿宋_GBK"/>
          <w:sz w:val="32"/>
          <w:szCs w:val="32"/>
          <w:lang w:val="en-US" w:eastAsia="zh-CN"/>
        </w:rPr>
        <w:t>万元</w:t>
      </w:r>
      <w:r>
        <w:rPr>
          <w:rFonts w:hint="eastAsia" w:ascii="方正仿宋_GBK" w:hAnsi="方正仿宋_GBK" w:eastAsia="方正仿宋_GBK" w:cs="方正仿宋_GBK"/>
          <w:sz w:val="32"/>
          <w:szCs w:val="32"/>
        </w:rPr>
        <w:t>，卫生健康支出5.82万元，住房保障支出5.54万元。</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val="en-US" w:eastAsia="zh-CN"/>
        </w:rPr>
        <w:t>单位</w:t>
      </w:r>
      <w:r>
        <w:rPr>
          <w:rFonts w:hint="eastAsia" w:ascii="方正黑体_GBK" w:hAnsi="方正黑体_GBK" w:eastAsia="方正黑体_GBK" w:cs="方正黑体_GBK"/>
          <w:sz w:val="32"/>
          <w:szCs w:val="32"/>
        </w:rPr>
        <w:t>预算情况说明</w:t>
      </w:r>
    </w:p>
    <w:p>
      <w:p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lang w:eastAsia="zh-CN"/>
        </w:rPr>
        <w:t>2024</w:t>
      </w:r>
      <w:r>
        <w:rPr>
          <w:rFonts w:hint="eastAsia" w:ascii="方正仿宋_GBK" w:hAnsi="方正仿宋_GBK" w:eastAsia="方正仿宋_GBK" w:cs="方正仿宋_GBK"/>
          <w:sz w:val="32"/>
          <w:szCs w:val="32"/>
        </w:rPr>
        <w:t>年一般公共预算财政拨款收入</w:t>
      </w:r>
      <w:r>
        <w:rPr>
          <w:rFonts w:hint="eastAsia" w:ascii="方正仿宋_GBK" w:hAnsi="方正仿宋_GBK" w:eastAsia="方正仿宋_GBK" w:cs="方正仿宋_GBK"/>
          <w:sz w:val="32"/>
          <w:szCs w:val="32"/>
          <w:lang w:val="en-US" w:eastAsia="zh-CN"/>
        </w:rPr>
        <w:t>105.59</w:t>
      </w:r>
      <w:r>
        <w:rPr>
          <w:rFonts w:hint="eastAsia" w:ascii="方正仿宋_GBK" w:hAnsi="方正仿宋_GBK" w:eastAsia="方正仿宋_GBK" w:cs="方正仿宋_GBK"/>
          <w:sz w:val="32"/>
          <w:szCs w:val="32"/>
        </w:rPr>
        <w:t>万元，一般公共预算财政拨款支出</w:t>
      </w:r>
      <w:r>
        <w:rPr>
          <w:rFonts w:hint="eastAsia" w:ascii="方正仿宋_GBK" w:hAnsi="方正仿宋_GBK" w:eastAsia="方正仿宋_GBK" w:cs="方正仿宋_GBK"/>
          <w:sz w:val="32"/>
          <w:szCs w:val="32"/>
          <w:lang w:val="en-US" w:eastAsia="zh-CN"/>
        </w:rPr>
        <w:t>105.59</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其中：基本支出</w:t>
      </w:r>
      <w:r>
        <w:rPr>
          <w:rFonts w:hint="eastAsia" w:ascii="方正仿宋_GBK" w:hAnsi="方正仿宋_GBK" w:eastAsia="方正仿宋_GBK" w:cs="方正仿宋_GBK"/>
          <w:sz w:val="32"/>
          <w:szCs w:val="32"/>
          <w:lang w:val="en-US" w:eastAsia="zh-CN"/>
        </w:rPr>
        <w:t>105.59</w:t>
      </w:r>
      <w:r>
        <w:rPr>
          <w:rFonts w:hint="eastAsia" w:ascii="方正仿宋_GBK" w:hAnsi="方正仿宋_GBK" w:eastAsia="方正仿宋_GBK" w:cs="方正仿宋_GBK"/>
          <w:sz w:val="32"/>
          <w:szCs w:val="32"/>
        </w:rPr>
        <w:t>万</w:t>
      </w:r>
      <w:r>
        <w:rPr>
          <w:rFonts w:hint="eastAsia" w:ascii="方正仿宋_GBK" w:hAnsi="方正仿宋_GBK" w:eastAsia="方正仿宋_GBK" w:cs="方正仿宋_GBK"/>
          <w:sz w:val="32"/>
          <w:szCs w:val="32"/>
          <w:lang w:eastAsia="zh-CN"/>
        </w:rPr>
        <w:t>元</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较上年增加6.93万元，上升7.02%。，主要原因是基本支出中人员工资福利支出正常变动</w:t>
      </w:r>
      <w:r>
        <w:rPr>
          <w:rFonts w:hint="eastAsia" w:ascii="方正仿宋_GBK" w:hAnsi="方正仿宋_GBK" w:eastAsia="方正仿宋_GBK" w:cs="方正仿宋_GBK"/>
          <w:sz w:val="32"/>
          <w:szCs w:val="32"/>
        </w:rPr>
        <w:t>。</w:t>
      </w:r>
    </w:p>
    <w:p>
      <w:p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重庆市黔江区民族</w:t>
      </w:r>
      <w:r>
        <w:rPr>
          <w:rFonts w:hint="eastAsia" w:ascii="方正仿宋_GBK" w:hAnsi="方正仿宋_GBK" w:eastAsia="方正仿宋_GBK" w:cs="方正仿宋_GBK"/>
          <w:sz w:val="32"/>
          <w:szCs w:val="32"/>
          <w:lang w:val="en-US" w:eastAsia="zh-CN"/>
        </w:rPr>
        <w:t>研究所</w:t>
      </w:r>
      <w:r>
        <w:rPr>
          <w:rFonts w:hint="eastAsia" w:ascii="方正仿宋_GBK" w:hAnsi="方正仿宋_GBK" w:eastAsia="方正仿宋_GBK" w:cs="方正仿宋_GBK"/>
          <w:sz w:val="32"/>
          <w:szCs w:val="32"/>
          <w:lang w:eastAsia="zh-CN"/>
        </w:rPr>
        <w:t>2024</w:t>
      </w:r>
      <w:r>
        <w:rPr>
          <w:rFonts w:hint="eastAsia" w:ascii="方正仿宋_GBK" w:hAnsi="方正仿宋_GBK" w:eastAsia="方正仿宋_GBK" w:cs="方正仿宋_GBK"/>
          <w:sz w:val="32"/>
          <w:szCs w:val="32"/>
        </w:rPr>
        <w:t>年无使用政府性基金预算拨款安排的支出。</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四、“三公”经费情况说明</w:t>
      </w:r>
    </w:p>
    <w:p>
      <w:p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lang w:eastAsia="zh-CN"/>
        </w:rPr>
        <w:t>2024</w:t>
      </w:r>
      <w:r>
        <w:rPr>
          <w:rFonts w:hint="eastAsia" w:ascii="方正仿宋_GBK" w:hAnsi="方正仿宋_GBK" w:eastAsia="方正仿宋_GBK" w:cs="方正仿宋_GBK"/>
          <w:sz w:val="32"/>
          <w:szCs w:val="32"/>
        </w:rPr>
        <w:t>年“三公”经费预算</w:t>
      </w:r>
      <w:r>
        <w:rPr>
          <w:rFonts w:hint="eastAsia" w:ascii="方正仿宋_GBK" w:hAnsi="方正仿宋_GBK" w:eastAsia="方正仿宋_GBK" w:cs="方正仿宋_GBK"/>
          <w:sz w:val="32"/>
          <w:szCs w:val="32"/>
          <w:lang w:val="en-US" w:eastAsia="zh-CN"/>
        </w:rPr>
        <w:t>2.66</w:t>
      </w:r>
      <w:r>
        <w:rPr>
          <w:rFonts w:hint="eastAsia" w:ascii="方正仿宋_GBK" w:hAnsi="方正仿宋_GBK" w:eastAsia="方正仿宋_GBK" w:cs="方正仿宋_GBK"/>
          <w:sz w:val="32"/>
          <w:szCs w:val="32"/>
        </w:rPr>
        <w:t>万元。其中：公务用车运行维护费</w:t>
      </w:r>
      <w:r>
        <w:rPr>
          <w:rFonts w:hint="eastAsia" w:ascii="方正仿宋_GBK" w:hAnsi="方正仿宋_GBK" w:eastAsia="方正仿宋_GBK" w:cs="方正仿宋_GBK"/>
          <w:sz w:val="32"/>
          <w:szCs w:val="32"/>
          <w:lang w:val="en-US" w:eastAsia="zh-CN"/>
        </w:rPr>
        <w:t>2.66</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较上年减少0.14万元，下降5%</w:t>
      </w:r>
      <w:r>
        <w:rPr>
          <w:rFonts w:hint="eastAsia" w:ascii="方正仿宋_GBK" w:hAnsi="方正仿宋_GBK" w:eastAsia="方正仿宋_GBK" w:cs="方正仿宋_GBK"/>
          <w:sz w:val="32"/>
          <w:szCs w:val="32"/>
        </w:rPr>
        <w:t>。</w:t>
      </w:r>
      <w:bookmarkStart w:id="0" w:name="_GoBack"/>
      <w:bookmarkEnd w:id="0"/>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五、其他重要事项的情况说明</w:t>
      </w:r>
    </w:p>
    <w:p>
      <w:pPr>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rPr>
        <w:t>（一）机关运行经费。</w:t>
      </w:r>
      <w:r>
        <w:rPr>
          <w:rFonts w:hint="eastAsia" w:ascii="方正仿宋_GBK" w:hAnsi="方正仿宋_GBK" w:eastAsia="方正仿宋_GBK" w:cs="方正仿宋_GBK"/>
          <w:sz w:val="32"/>
          <w:szCs w:val="32"/>
          <w:lang w:val="en-US" w:eastAsia="zh-CN"/>
        </w:rPr>
        <w:t xml:space="preserve">本单位是事业单位，无机关运行经费预算。 </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（二）政府采购情况。</w:t>
      </w:r>
      <w:r>
        <w:rPr>
          <w:rFonts w:hint="eastAsia" w:ascii="方正仿宋_GBK" w:hAnsi="方正仿宋_GBK" w:eastAsia="方正仿宋_GBK" w:cs="方正仿宋_GBK"/>
          <w:sz w:val="32"/>
          <w:szCs w:val="32"/>
          <w:lang w:val="en-US" w:eastAsia="zh-CN"/>
        </w:rPr>
        <w:t>重庆市黔江区民族研究所2024无政务采购预算支出</w:t>
      </w:r>
      <w:r>
        <w:rPr>
          <w:rFonts w:hint="eastAsia" w:ascii="方正仿宋_GBK" w:hAnsi="方正仿宋_GBK" w:eastAsia="方正仿宋_GBK" w:cs="方正仿宋_GBK"/>
          <w:sz w:val="32"/>
          <w:szCs w:val="32"/>
        </w:rPr>
        <w:t>。</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（三）绩效目标设置情况。</w:t>
      </w:r>
      <w:r>
        <w:rPr>
          <w:rFonts w:hint="eastAsia" w:ascii="方正仿宋_GBK" w:hAnsi="方正仿宋_GBK" w:eastAsia="方正仿宋_GBK" w:cs="方正仿宋_GBK"/>
          <w:sz w:val="32"/>
          <w:szCs w:val="32"/>
          <w:lang w:val="en-US" w:eastAsia="zh-CN"/>
        </w:rPr>
        <w:t>重庆市黔江区民族研究所2024无项目预算支出</w:t>
      </w:r>
      <w:r>
        <w:rPr>
          <w:rFonts w:hint="eastAsia" w:ascii="方正仿宋_GBK" w:hAnsi="方正仿宋_GBK" w:eastAsia="方正仿宋_GBK" w:cs="方正仿宋_GBK"/>
          <w:sz w:val="32"/>
          <w:szCs w:val="32"/>
        </w:rPr>
        <w:t>。</w:t>
      </w:r>
    </w:p>
    <w:p>
      <w:pPr>
        <w:spacing w:line="600" w:lineRule="exact"/>
        <w:ind w:firstLine="640" w:firstLineChars="200"/>
        <w:rPr>
          <w:rFonts w:ascii="方正仿宋_GBK" w:hAnsi="方正仿宋_GBK" w:eastAsia="方正仿宋_GBK" w:cs="Times New Roman"/>
          <w:color w:val="000000"/>
          <w:sz w:val="32"/>
          <w:szCs w:val="32"/>
        </w:rPr>
      </w:pPr>
      <w:r>
        <w:rPr>
          <w:rFonts w:hint="eastAsia" w:ascii="方正楷体_GBK" w:hAnsi="方正楷体_GBK" w:eastAsia="方正楷体_GBK" w:cs="方正楷体_GBK"/>
          <w:color w:val="000000"/>
          <w:sz w:val="32"/>
          <w:szCs w:val="32"/>
        </w:rPr>
        <w:t>（四）国有资产占有使用情况。</w:t>
      </w:r>
      <w:r>
        <w:rPr>
          <w:rFonts w:hint="eastAsia" w:ascii="方正仿宋_GBK" w:hAnsi="方正仿宋_GBK" w:eastAsia="方正仿宋_GBK" w:cs="方正仿宋_GBK"/>
          <w:color w:val="000000"/>
          <w:sz w:val="32"/>
          <w:szCs w:val="32"/>
        </w:rPr>
        <w:t>截</w:t>
      </w:r>
      <w:r>
        <w:rPr>
          <w:rFonts w:hint="eastAsia" w:ascii="方正仿宋_GBK" w:hAnsi="方正仿宋_GBK" w:eastAsia="方正仿宋_GBK" w:cs="方正仿宋_GBK"/>
          <w:color w:val="000000"/>
          <w:sz w:val="32"/>
          <w:szCs w:val="32"/>
          <w:lang w:eastAsia="zh-CN"/>
        </w:rPr>
        <w:t>至2023</w:t>
      </w:r>
      <w:r>
        <w:rPr>
          <w:rFonts w:hint="eastAsia" w:ascii="方正仿宋_GBK" w:hAnsi="方正仿宋_GBK" w:eastAsia="方正仿宋_GBK" w:cs="方正仿宋_GBK"/>
          <w:color w:val="000000"/>
          <w:sz w:val="32"/>
          <w:szCs w:val="32"/>
        </w:rPr>
        <w:t>年</w:t>
      </w:r>
      <w:r>
        <w:rPr>
          <w:rFonts w:ascii="方正仿宋_GBK" w:hAnsi="方正仿宋_GBK" w:eastAsia="方正仿宋_GBK" w:cs="方正仿宋_GBK"/>
          <w:color w:val="000000"/>
          <w:sz w:val="32"/>
          <w:szCs w:val="32"/>
        </w:rPr>
        <w:t>12</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本</w:t>
      </w:r>
      <w:r>
        <w:rPr>
          <w:rFonts w:hint="eastAsia" w:ascii="方正仿宋_GBK" w:hAnsi="方正仿宋_GBK" w:eastAsia="方正仿宋_GBK" w:cs="方正仿宋_GBK"/>
          <w:color w:val="000000"/>
          <w:sz w:val="32"/>
          <w:szCs w:val="32"/>
        </w:rPr>
        <w:t>预算单位共有车辆</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辆，其中一般公务用车</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辆。</w:t>
      </w:r>
      <w:r>
        <w:rPr>
          <w:rFonts w:hint="eastAsia" w:ascii="方正仿宋_GBK" w:hAnsi="方正仿宋_GBK" w:eastAsia="方正仿宋_GBK" w:cs="方正仿宋_GBK"/>
          <w:color w:val="000000"/>
          <w:sz w:val="32"/>
          <w:szCs w:val="32"/>
          <w:lang w:eastAsia="zh-CN"/>
        </w:rPr>
        <w:t>2024</w:t>
      </w:r>
      <w:r>
        <w:rPr>
          <w:rFonts w:hint="eastAsia" w:ascii="方正仿宋_GBK" w:hAnsi="方正仿宋_GBK" w:eastAsia="方正仿宋_GBK" w:cs="方正仿宋_GBK"/>
          <w:color w:val="000000"/>
          <w:sz w:val="32"/>
          <w:szCs w:val="32"/>
        </w:rPr>
        <w:t>年一般公共预算未安排购置车辆。</w:t>
      </w:r>
    </w:p>
    <w:p>
      <w:pPr>
        <w:spacing w:line="600" w:lineRule="exact"/>
        <w:ind w:firstLine="640" w:firstLineChars="200"/>
        <w:rPr>
          <w:rFonts w:ascii="方正楷体_GBK" w:hAnsi="方正楷体_GBK" w:eastAsia="方正楷体_GBK" w:cs="Times New Roman"/>
          <w:color w:val="000000"/>
          <w:sz w:val="32"/>
          <w:szCs w:val="32"/>
        </w:rPr>
      </w:pPr>
      <w:r>
        <w:rPr>
          <w:rFonts w:hint="eastAsia" w:ascii="方正楷体_GBK" w:hAnsi="方正楷体_GBK" w:eastAsia="方正楷体_GBK" w:cs="方正楷体_GBK"/>
          <w:color w:val="000000"/>
          <w:sz w:val="32"/>
          <w:szCs w:val="32"/>
        </w:rPr>
        <w:t>（五）无其他重要事项说明。</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六、专业名词解释</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（二）财政专户管理资金收入：</w:t>
      </w:r>
      <w:r>
        <w:rPr>
          <w:rFonts w:hint="eastAsia" w:ascii="方正仿宋_GBK" w:hAnsi="方正仿宋_GBK" w:eastAsia="方正仿宋_GBK" w:cs="方正仿宋_GBK"/>
          <w:sz w:val="32"/>
          <w:szCs w:val="32"/>
        </w:rPr>
        <w:t>指缴入财政专户、实行专项管理的高中以上学费、住宿费、高校委托培养费、函大、电大、夜大及短训班培训费等教育收费。</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（三）事业收入：</w:t>
      </w:r>
      <w:r>
        <w:rPr>
          <w:rFonts w:hint="eastAsia" w:ascii="方正仿宋_GBK" w:hAnsi="方正仿宋_GBK" w:eastAsia="方正仿宋_GBK" w:cs="方正仿宋_GBK"/>
          <w:sz w:val="32"/>
          <w:szCs w:val="32"/>
        </w:rPr>
        <w:t>指事业单位开展专业业务活动及其辅助活动取得的收入，不包括教育收费</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（四）上级补助收入：</w:t>
      </w:r>
      <w:r>
        <w:rPr>
          <w:rFonts w:hint="eastAsia" w:ascii="方正仿宋_GBK" w:hAnsi="方正仿宋_GBK" w:eastAsia="方正仿宋_GBK" w:cs="方正仿宋_GBK"/>
          <w:sz w:val="32"/>
          <w:szCs w:val="32"/>
        </w:rPr>
        <w:t>指从主管部门或上级单位取得的财政拨款以外的其他补助收入。</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（五）附属单位上缴收入：</w:t>
      </w:r>
      <w:r>
        <w:rPr>
          <w:rFonts w:hint="eastAsia" w:ascii="方正仿宋_GBK" w:hAnsi="方正仿宋_GBK" w:eastAsia="方正仿宋_GBK" w:cs="方正仿宋_GBK"/>
          <w:sz w:val="32"/>
          <w:szCs w:val="32"/>
        </w:rPr>
        <w:t>指本单位所属下级单位上缴给本单位的全部收入（包括下级事业单位上缴的事业收入、其他收入和下级企业单位上缴的利润等）。</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（六）事业单位经营收入：</w:t>
      </w:r>
      <w:r>
        <w:rPr>
          <w:rFonts w:hint="eastAsia" w:ascii="方正仿宋_GBK" w:hAnsi="方正仿宋_GBK" w:eastAsia="方正仿宋_GBK" w:cs="方正仿宋_GBK"/>
          <w:sz w:val="32"/>
          <w:szCs w:val="32"/>
        </w:rPr>
        <w:t>指事业单位在专业业务活动及其辅助活动之外开展非独立核算经营活动取得的收入。</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（七）其他收入：</w:t>
      </w:r>
      <w:r>
        <w:rPr>
          <w:rFonts w:hint="eastAsia" w:ascii="方正仿宋_GBK" w:hAnsi="方正仿宋_GBK" w:eastAsia="方正仿宋_GBK" w:cs="方正仿宋_GBK"/>
          <w:sz w:val="32"/>
          <w:szCs w:val="32"/>
        </w:rPr>
        <w:t>指债务收入（不含政府债券、政府向外国政府贷款和国际组织贷款）、投资收益等收入。</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（八）基本支出：</w:t>
      </w:r>
      <w:r>
        <w:rPr>
          <w:rFonts w:hint="eastAsia" w:ascii="方正仿宋_GBK" w:hAnsi="方正仿宋_GBK" w:eastAsia="方正仿宋_GBK" w:cs="方正仿宋_GBK"/>
          <w:sz w:val="32"/>
          <w:szCs w:val="32"/>
        </w:rPr>
        <w:t>指为保障机构正常运转、完成日常工作任务而发生的人员经费和公用经费。</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（九）项目支出：</w:t>
      </w:r>
      <w:r>
        <w:rPr>
          <w:rFonts w:hint="eastAsia" w:ascii="方正仿宋_GBK" w:hAnsi="方正仿宋_GBK" w:eastAsia="方正仿宋_GBK" w:cs="方正仿宋_GBK"/>
          <w:sz w:val="32"/>
          <w:szCs w:val="32"/>
        </w:rPr>
        <w:t>指在基本支出之外为完成特定行政任务和事业发展目标所发生的支出。</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（十）“三公”经费：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方正仿宋_GBK" w:hAnsi="方正仿宋_GBK" w:eastAsia="方正仿宋_GBK" w:cs="Times New Roman"/>
          <w:sz w:val="32"/>
          <w:szCs w:val="32"/>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公开联系人：杨再永</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电话：</w:t>
      </w:r>
      <w:r>
        <w:rPr>
          <w:rFonts w:ascii="方正仿宋_GBK" w:hAnsi="方正仿宋_GBK" w:eastAsia="方正仿宋_GBK" w:cs="方正仿宋_GBK"/>
          <w:sz w:val="32"/>
          <w:szCs w:val="32"/>
        </w:rPr>
        <w:t>023-79237025</w:t>
      </w:r>
    </w:p>
    <w:sectPr>
      <w:pgSz w:w="16838" w:h="11906" w:orient="landscape"/>
      <w:pgMar w:top="1701" w:right="1701" w:bottom="1701" w:left="1701"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E1NzI3MDA0NWI2YzA4MmU4MzViNzZkNmI5ZDE4YzMifQ=="/>
  </w:docVars>
  <w:rsids>
    <w:rsidRoot w:val="004F7D1D"/>
    <w:rsid w:val="00006FB1"/>
    <w:rsid w:val="0001271B"/>
    <w:rsid w:val="00023A4C"/>
    <w:rsid w:val="00042219"/>
    <w:rsid w:val="00047C7A"/>
    <w:rsid w:val="00053834"/>
    <w:rsid w:val="000551A4"/>
    <w:rsid w:val="000624D8"/>
    <w:rsid w:val="00064B59"/>
    <w:rsid w:val="0007330D"/>
    <w:rsid w:val="00075914"/>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61474"/>
    <w:rsid w:val="00165A74"/>
    <w:rsid w:val="00180FFA"/>
    <w:rsid w:val="001957F9"/>
    <w:rsid w:val="001C0A7C"/>
    <w:rsid w:val="001D0CAA"/>
    <w:rsid w:val="001D4937"/>
    <w:rsid w:val="001E1AED"/>
    <w:rsid w:val="001E31D9"/>
    <w:rsid w:val="001F34AA"/>
    <w:rsid w:val="00202E0A"/>
    <w:rsid w:val="002132E9"/>
    <w:rsid w:val="00213635"/>
    <w:rsid w:val="0021644B"/>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488"/>
    <w:rsid w:val="0049017F"/>
    <w:rsid w:val="00492FB3"/>
    <w:rsid w:val="004B1650"/>
    <w:rsid w:val="004C42ED"/>
    <w:rsid w:val="004C60BD"/>
    <w:rsid w:val="004D1E02"/>
    <w:rsid w:val="004E34B3"/>
    <w:rsid w:val="004E592A"/>
    <w:rsid w:val="004E6E1A"/>
    <w:rsid w:val="004F1853"/>
    <w:rsid w:val="004F7D1D"/>
    <w:rsid w:val="00500B1D"/>
    <w:rsid w:val="00506DF4"/>
    <w:rsid w:val="00507823"/>
    <w:rsid w:val="00536713"/>
    <w:rsid w:val="00543257"/>
    <w:rsid w:val="00572736"/>
    <w:rsid w:val="0058350C"/>
    <w:rsid w:val="0059138D"/>
    <w:rsid w:val="005A1227"/>
    <w:rsid w:val="005A4606"/>
    <w:rsid w:val="005A4AD7"/>
    <w:rsid w:val="005B0F11"/>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3099"/>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B5B3E"/>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AF4F12"/>
    <w:rsid w:val="00B1352B"/>
    <w:rsid w:val="00B24FA7"/>
    <w:rsid w:val="00B257E3"/>
    <w:rsid w:val="00B54CE7"/>
    <w:rsid w:val="00B558CC"/>
    <w:rsid w:val="00B65450"/>
    <w:rsid w:val="00B72347"/>
    <w:rsid w:val="00B86388"/>
    <w:rsid w:val="00BB3B39"/>
    <w:rsid w:val="00BC2C3D"/>
    <w:rsid w:val="00BD5FA5"/>
    <w:rsid w:val="00BE573E"/>
    <w:rsid w:val="00BF67E7"/>
    <w:rsid w:val="00C2696C"/>
    <w:rsid w:val="00C427D3"/>
    <w:rsid w:val="00C47446"/>
    <w:rsid w:val="00C5449C"/>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5731B"/>
    <w:rsid w:val="00D64C2C"/>
    <w:rsid w:val="00D66063"/>
    <w:rsid w:val="00D77D37"/>
    <w:rsid w:val="00D80BC2"/>
    <w:rsid w:val="00D8620E"/>
    <w:rsid w:val="00DA7788"/>
    <w:rsid w:val="00DA7FE6"/>
    <w:rsid w:val="00DB0EC5"/>
    <w:rsid w:val="00DB4539"/>
    <w:rsid w:val="00DC4AFF"/>
    <w:rsid w:val="00DE3685"/>
    <w:rsid w:val="00DE5805"/>
    <w:rsid w:val="00E00D68"/>
    <w:rsid w:val="00E01CEB"/>
    <w:rsid w:val="00E0203E"/>
    <w:rsid w:val="00E11FB2"/>
    <w:rsid w:val="00E13C64"/>
    <w:rsid w:val="00E275D0"/>
    <w:rsid w:val="00E40ED1"/>
    <w:rsid w:val="00E4747D"/>
    <w:rsid w:val="00E712B9"/>
    <w:rsid w:val="00E96899"/>
    <w:rsid w:val="00EC09E7"/>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1F201C1"/>
    <w:rsid w:val="047B4BB6"/>
    <w:rsid w:val="0CB813B1"/>
    <w:rsid w:val="0F6A5695"/>
    <w:rsid w:val="14E9729B"/>
    <w:rsid w:val="18CC21E2"/>
    <w:rsid w:val="197B1477"/>
    <w:rsid w:val="19D75DEA"/>
    <w:rsid w:val="1A402B73"/>
    <w:rsid w:val="1B285AE1"/>
    <w:rsid w:val="22741F04"/>
    <w:rsid w:val="295461EA"/>
    <w:rsid w:val="2B837D82"/>
    <w:rsid w:val="2D516A8A"/>
    <w:rsid w:val="2D98014D"/>
    <w:rsid w:val="37C46825"/>
    <w:rsid w:val="3851621F"/>
    <w:rsid w:val="3AB8593E"/>
    <w:rsid w:val="3BC5739B"/>
    <w:rsid w:val="40D30C1D"/>
    <w:rsid w:val="47F239AB"/>
    <w:rsid w:val="48310C7F"/>
    <w:rsid w:val="4FCF5115"/>
    <w:rsid w:val="54882B71"/>
    <w:rsid w:val="68126850"/>
    <w:rsid w:val="6C795E3C"/>
    <w:rsid w:val="6CE17E25"/>
    <w:rsid w:val="6D34100C"/>
    <w:rsid w:val="6E2A5BAB"/>
    <w:rsid w:val="7258771B"/>
    <w:rsid w:val="735228EA"/>
    <w:rsid w:val="7757139A"/>
    <w:rsid w:val="7A120F06"/>
    <w:rsid w:val="7A6F71FB"/>
    <w:rsid w:val="7A9B506A"/>
    <w:rsid w:val="7B140B89"/>
    <w:rsid w:val="7C3D049D"/>
    <w:rsid w:val="7E3B6E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Balloon Text Char"/>
    <w:basedOn w:val="7"/>
    <w:link w:val="2"/>
    <w:qFormat/>
    <w:locked/>
    <w:uiPriority w:val="99"/>
    <w:rPr>
      <w:kern w:val="2"/>
      <w:sz w:val="18"/>
      <w:szCs w:val="18"/>
    </w:rPr>
  </w:style>
  <w:style w:type="character" w:customStyle="1" w:styleId="9">
    <w:name w:val="Footer Char"/>
    <w:basedOn w:val="7"/>
    <w:link w:val="3"/>
    <w:qFormat/>
    <w:locked/>
    <w:uiPriority w:val="99"/>
    <w:rPr>
      <w:kern w:val="2"/>
      <w:sz w:val="18"/>
      <w:szCs w:val="18"/>
    </w:rPr>
  </w:style>
  <w:style w:type="character" w:customStyle="1" w:styleId="10">
    <w:name w:val="Header Char"/>
    <w:basedOn w:val="7"/>
    <w:link w:val="4"/>
    <w:qFormat/>
    <w:locked/>
    <w:uiPriority w:val="99"/>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www.xunchi.com</Company>
  <Pages>4</Pages>
  <Words>1376</Words>
  <Characters>1479</Characters>
  <Lines>0</Lines>
  <Paragraphs>0</Paragraphs>
  <TotalTime>2</TotalTime>
  <ScaleCrop>false</ScaleCrop>
  <LinksUpToDate>false</LinksUpToDate>
  <CharactersWithSpaces>1486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锦瑟</cp:lastModifiedBy>
  <cp:lastPrinted>2021-12-30T03:18:00Z</cp:lastPrinted>
  <dcterms:modified xsi:type="dcterms:W3CDTF">2024-02-21T09:13:59Z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B11DDCA2FCEE44A2AE2EA453FC2A52CD</vt:lpwstr>
  </property>
</Properties>
</file>