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576" w:lineRule="exact"/>
        <w:jc w:val="center"/>
        <w:rPr>
          <w:rFonts w:hint="eastAsia" w:ascii="Times New Roman" w:hAnsi="Times New Roman" w:eastAsia="方正仿宋_GBK" w:cs="方正仿宋_GBK"/>
          <w:bCs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bidi="ar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黔江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bidi="ar"/>
        </w:rPr>
        <w:t>区法律服务“双随机、一公开”工作抽查结果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bidi="ar"/>
        </w:rPr>
        <w:t>公开表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126"/>
        <w:gridCol w:w="3402"/>
        <w:gridCol w:w="1276"/>
        <w:gridCol w:w="396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  <w:t>抽查时间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  <w:t>抽查对象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  <w:t>抽查内容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  <w:t>抽查人员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  <w:t>抽查结果及处理情况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2020.11.20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重庆金讼律师事务所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内部管理制度建立健全情况（风险防范、利益冲突审查、重大疑难案件集体研究、财务管理、投诉查处、违规律师辞退和除名、律师年度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考核等制度）；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律所负责人履行管理职责，律所统一收案、收费，规范使用合同文书等情况；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律师信息、收费管理办法、收费标准、投诉监督电话等公示情况；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律师办理案件履职尽责情况（是否对当事人进行风险告知，是否及时办理委托事项，是否认真履行辩护、代理职责，案件办结后是否及时立卷归档等）；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案件办理回访情况（回访服务态度、服务质量、当事人满意度等</w:t>
            </w:r>
            <w:r>
              <w:rPr>
                <w:rFonts w:hint="eastAsia" w:ascii="Times New Roman" w:hAnsi="Times New Roman" w:eastAsia="方正仿宋_GBK" w:cs="方正仿宋_GBK"/>
                <w:bCs/>
              </w:rPr>
              <w:t>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杨海霞、方勇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 w:eastAsia="zh-CN"/>
              </w:rPr>
              <w:t>发现问题已责令整改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2020.11.20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重庆市黔江区联合法律服务所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numPr>
                <w:numId w:val="0"/>
              </w:numPr>
              <w:tabs>
                <w:tab w:val="left" w:pos="835"/>
              </w:tabs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  <w:t>内部管理制度建立健全情况（利益冲突审查、重大疑难案件集体研究、财务管理等制度）；</w:t>
            </w:r>
          </w:p>
          <w:p>
            <w:pPr>
              <w:widowControl/>
              <w:numPr>
                <w:numId w:val="0"/>
              </w:numPr>
              <w:tabs>
                <w:tab w:val="left" w:pos="835"/>
              </w:tabs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  <w:t>基层法律服务所负责人履行管理职责，统一收案、收费及规范使用合同文书等情况；</w:t>
            </w:r>
          </w:p>
          <w:p>
            <w:pPr>
              <w:widowControl/>
              <w:numPr>
                <w:numId w:val="0"/>
              </w:numPr>
              <w:tabs>
                <w:tab w:val="left" w:pos="835"/>
              </w:tabs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  <w:t>基层法律服务工作者信息、收费管理办法、收费标准、投诉监督电话等公示情况；</w:t>
            </w:r>
          </w:p>
          <w:p>
            <w:pPr>
              <w:widowControl/>
              <w:numPr>
                <w:numId w:val="0"/>
              </w:numPr>
              <w:tabs>
                <w:tab w:val="left" w:pos="835"/>
              </w:tabs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  <w:t>基层法律服务工作者办理案件履职尽责和法律服务情况（是否及时办理委托事项、是否认真履行代理职责、案件办结后是否及时立卷归档、服务态度是否良好、服务是否规范等）；</w:t>
            </w:r>
          </w:p>
          <w:p>
            <w:pPr>
              <w:widowControl/>
              <w:numPr>
                <w:numId w:val="0"/>
              </w:numPr>
              <w:tabs>
                <w:tab w:val="left" w:pos="835"/>
              </w:tabs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  <w:t>案件办理回访情况（回访服务态度、服务质量、当事人满意度等）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杨海霞、方勇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 w:eastAsia="zh-CN"/>
              </w:rPr>
              <w:t>发现问题已责令整改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</w:tr>
    </w:tbl>
    <w:p>
      <w:pPr>
        <w:spacing w:line="576" w:lineRule="exact"/>
        <w:rPr>
          <w:rFonts w:hint="eastAsia" w:ascii="Times New Roman" w:hAnsi="Times New Roman" w:eastAsia="宋体"/>
          <w:bCs/>
          <w:lang w:val="en-US" w:eastAsia="zh-CN"/>
        </w:rPr>
      </w:pPr>
      <w:r>
        <w:rPr>
          <w:rFonts w:ascii="Times New Roman" w:hAnsi="宋体"/>
          <w:color w:val="000000"/>
          <w:kern w:val="0"/>
          <w:sz w:val="24"/>
          <w:szCs w:val="24"/>
          <w:lang w:val="en-US" w:bidi="ar"/>
        </w:rPr>
        <w:t>备注：随机抽查结束后</w:t>
      </w:r>
      <w:r>
        <w:rPr>
          <w:rFonts w:ascii="Times New Roman" w:hAnsi="Times New Roman"/>
          <w:color w:val="000000"/>
          <w:kern w:val="0"/>
          <w:sz w:val="24"/>
          <w:szCs w:val="24"/>
          <w:lang w:val="en-US" w:bidi="ar"/>
        </w:rPr>
        <w:t>15</w:t>
      </w:r>
      <w:r>
        <w:rPr>
          <w:rFonts w:ascii="Times New Roman" w:hAnsi="宋体"/>
          <w:color w:val="000000"/>
          <w:kern w:val="0"/>
          <w:sz w:val="24"/>
          <w:szCs w:val="24"/>
          <w:lang w:val="en-US" w:bidi="ar"/>
        </w:rPr>
        <w:t>个工作日内，将本表</w:t>
      </w:r>
      <w:r>
        <w:rPr>
          <w:rFonts w:hint="eastAsia" w:ascii="Times New Roman" w:hAnsi="宋体"/>
          <w:color w:val="000000"/>
          <w:kern w:val="0"/>
          <w:sz w:val="24"/>
          <w:szCs w:val="24"/>
          <w:lang w:val="en-US" w:bidi="ar"/>
        </w:rPr>
        <w:t>通过</w:t>
      </w:r>
      <w:r>
        <w:rPr>
          <w:rFonts w:ascii="Times New Roman" w:hAnsi="宋体"/>
          <w:color w:val="000000"/>
          <w:kern w:val="0"/>
          <w:sz w:val="24"/>
          <w:szCs w:val="24"/>
          <w:lang w:val="en-US" w:bidi="ar"/>
        </w:rPr>
        <w:t>单位</w:t>
      </w:r>
      <w:r>
        <w:rPr>
          <w:rFonts w:hint="eastAsia" w:ascii="Times New Roman" w:hAnsi="宋体"/>
          <w:color w:val="000000"/>
          <w:kern w:val="0"/>
          <w:sz w:val="24"/>
          <w:szCs w:val="24"/>
          <w:lang w:val="en-US" w:bidi="ar"/>
        </w:rPr>
        <w:t>门户</w:t>
      </w:r>
      <w:r>
        <w:rPr>
          <w:rFonts w:ascii="Times New Roman" w:hAnsi="宋体"/>
          <w:color w:val="000000"/>
          <w:kern w:val="0"/>
          <w:sz w:val="24"/>
          <w:szCs w:val="24"/>
          <w:lang w:val="en-US" w:bidi="ar"/>
        </w:rPr>
        <w:t>网站</w:t>
      </w:r>
      <w:r>
        <w:rPr>
          <w:rFonts w:hint="eastAsia" w:ascii="Times New Roman" w:hAnsi="宋体"/>
          <w:color w:val="000000"/>
          <w:kern w:val="0"/>
          <w:sz w:val="24"/>
          <w:szCs w:val="24"/>
          <w:lang w:val="en-US" w:bidi="ar"/>
        </w:rPr>
        <w:t>或其他公开途径</w:t>
      </w:r>
      <w:r>
        <w:rPr>
          <w:rFonts w:ascii="Times New Roman" w:hAnsi="宋体"/>
          <w:color w:val="000000"/>
          <w:kern w:val="0"/>
          <w:sz w:val="24"/>
          <w:szCs w:val="24"/>
          <w:lang w:val="en-US" w:bidi="ar"/>
        </w:rPr>
        <w:t>向社会公开。</w:t>
      </w:r>
      <w:r>
        <w:rPr>
          <w:rFonts w:hint="eastAsia" w:ascii="Times New Roman" w:hAnsi="Times New Roman" w:eastAsia="方正黑体_GBK"/>
          <w:bCs/>
          <w:lang w:val="en-US" w:eastAsia="zh-CN"/>
        </w:rPr>
        <w:t xml:space="preserve"> </w:t>
      </w:r>
    </w:p>
    <w:p/>
    <w:sectPr>
      <w:footerReference r:id="rId3" w:type="default"/>
      <w:pgSz w:w="16838" w:h="11906" w:orient="landscape"/>
      <w:pgMar w:top="1985" w:right="1474" w:bottom="1814" w:left="158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560"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6209"/>
    <w:multiLevelType w:val="singleLevel"/>
    <w:tmpl w:val="33CF62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17DB"/>
    <w:rsid w:val="3F2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2020-04-01T14:58:00Z</dcterms:created>
  <dc:creator>Administrator</dc:creator>
  <cp:lastModifiedBy>Administrator</cp:lastModifiedBy>
  <dcterms:modified xsi:type="dcterms:W3CDTF">2020-04-01T15:12:04Z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