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C00" w:rsidRDefault="00BA5796">
      <w:pPr>
        <w:spacing w:line="579" w:lineRule="exact"/>
        <w:jc w:val="center"/>
        <w:rPr>
          <w:rFonts w:ascii="Times New Roman" w:eastAsia="方正小标宋_GBK" w:hAnsi="Times New Roman" w:hint="default"/>
          <w:sz w:val="44"/>
          <w:szCs w:val="44"/>
        </w:rPr>
      </w:pPr>
      <w:r>
        <w:rPr>
          <w:rFonts w:ascii="Times New Roman" w:eastAsia="方正小标宋_GBK" w:hAnsi="Times New Roman" w:hint="default"/>
          <w:sz w:val="44"/>
          <w:szCs w:val="44"/>
        </w:rPr>
        <w:t>黔江区商务综合行政执法支队</w:t>
      </w:r>
    </w:p>
    <w:p w:rsidR="004F0C00" w:rsidRDefault="00BA5796">
      <w:pPr>
        <w:spacing w:line="579" w:lineRule="exact"/>
        <w:jc w:val="center"/>
        <w:rPr>
          <w:rFonts w:ascii="Times New Roman" w:eastAsia="方正小标宋_GBK" w:hAnsi="Times New Roman" w:hint="default"/>
          <w:sz w:val="44"/>
          <w:szCs w:val="44"/>
        </w:rPr>
      </w:pPr>
      <w:r>
        <w:rPr>
          <w:rFonts w:ascii="Times New Roman" w:eastAsia="方正小标宋_GBK" w:hAnsi="Times New Roman" w:hint="default"/>
          <w:sz w:val="44"/>
          <w:szCs w:val="44"/>
        </w:rPr>
        <w:t>2024</w:t>
      </w:r>
      <w:r>
        <w:rPr>
          <w:rFonts w:ascii="Times New Roman" w:eastAsia="方正小标宋_GBK" w:hAnsi="Times New Roman" w:hint="default"/>
          <w:sz w:val="44"/>
          <w:szCs w:val="44"/>
        </w:rPr>
        <w:t>年度决算公开说明</w:t>
      </w:r>
    </w:p>
    <w:p w:rsidR="004F0C00" w:rsidRDefault="004F0C00">
      <w:pPr>
        <w:spacing w:line="579" w:lineRule="exact"/>
        <w:ind w:firstLineChars="200" w:firstLine="640"/>
        <w:jc w:val="both"/>
        <w:rPr>
          <w:rFonts w:ascii="Times New Roman" w:eastAsia="方正仿宋_GBK" w:hAnsi="Times New Roman" w:hint="default"/>
          <w:sz w:val="32"/>
          <w:szCs w:val="32"/>
        </w:rPr>
      </w:pPr>
    </w:p>
    <w:p w:rsidR="004F0C00" w:rsidRDefault="00BA5796">
      <w:pPr>
        <w:spacing w:line="579" w:lineRule="exact"/>
        <w:ind w:firstLineChars="200" w:firstLine="640"/>
        <w:jc w:val="both"/>
        <w:rPr>
          <w:rFonts w:ascii="Times New Roman" w:eastAsia="方正黑体_GBK" w:hAnsi="Times New Roman" w:hint="default"/>
          <w:sz w:val="32"/>
          <w:szCs w:val="32"/>
        </w:rPr>
      </w:pPr>
      <w:r>
        <w:rPr>
          <w:rFonts w:ascii="Times New Roman" w:eastAsia="方正黑体_GBK" w:hAnsi="Times New Roman" w:hint="default"/>
          <w:sz w:val="32"/>
          <w:szCs w:val="32"/>
        </w:rPr>
        <w:t>一、部门基本情况</w:t>
      </w:r>
    </w:p>
    <w:p w:rsidR="004F0C00" w:rsidRDefault="00BA5796">
      <w:pPr>
        <w:spacing w:line="579"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（一）职能职责</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承担全区商贸流通领域、重点行业、重点商品的行政执法监管。负责行业的食品安全工作；协调开展专项整治行动，查处违法经营案件和投诉管理工作；受主管部门委托，承担成品油市场、单用途商业预付卡市场和再生资源回收行业、洗染业及酒类流通的行政执法和监督管理。</w:t>
      </w:r>
    </w:p>
    <w:p w:rsidR="004F0C00" w:rsidRDefault="00BA5796">
      <w:pPr>
        <w:spacing w:line="579"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（二）机构设置</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黔江区商务综合行政执法支队是重庆市黔江区商务委员会直属事业单位（全额拨款事业单位）。</w:t>
      </w:r>
    </w:p>
    <w:p w:rsidR="004F0C00" w:rsidRDefault="00BA5796">
      <w:pPr>
        <w:spacing w:line="579" w:lineRule="exact"/>
        <w:ind w:firstLineChars="200" w:firstLine="640"/>
        <w:jc w:val="both"/>
        <w:rPr>
          <w:rFonts w:ascii="Times New Roman" w:eastAsia="方正黑体_GBK" w:hAnsi="Times New Roman" w:hint="default"/>
          <w:sz w:val="32"/>
          <w:szCs w:val="32"/>
        </w:rPr>
      </w:pPr>
      <w:r>
        <w:rPr>
          <w:rFonts w:ascii="Times New Roman" w:eastAsia="方正黑体_GBK" w:hAnsi="Times New Roman" w:hint="default"/>
          <w:sz w:val="32"/>
          <w:szCs w:val="32"/>
        </w:rPr>
        <w:t>二、部门决算情况说明</w:t>
      </w:r>
    </w:p>
    <w:p w:rsidR="004F0C00" w:rsidRDefault="00BA5796">
      <w:pPr>
        <w:spacing w:line="579"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（一）收入支出决算总体情况说明</w:t>
      </w:r>
    </w:p>
    <w:p w:rsidR="004F0C00" w:rsidRDefault="00BA5796">
      <w:pPr>
        <w:spacing w:line="579"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sz w:val="32"/>
          <w:szCs w:val="32"/>
        </w:rPr>
        <w:t>1.</w:t>
      </w:r>
      <w:r>
        <w:rPr>
          <w:rFonts w:ascii="Times New Roman" w:eastAsia="方正仿宋_GBK" w:hAnsi="Times New Roman" w:hint="default"/>
          <w:b/>
          <w:sz w:val="32"/>
          <w:szCs w:val="32"/>
        </w:rPr>
        <w:t>总体情况。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年度收入总计</w:t>
      </w:r>
      <w:r>
        <w:rPr>
          <w:rFonts w:ascii="Times New Roman" w:eastAsia="方正仿宋_GBK" w:hAnsi="Times New Roman" w:hint="default"/>
          <w:sz w:val="32"/>
          <w:szCs w:val="32"/>
        </w:rPr>
        <w:t>120.68</w:t>
      </w:r>
      <w:r>
        <w:rPr>
          <w:rFonts w:ascii="Times New Roman" w:eastAsia="方正仿宋_GBK" w:hAnsi="Times New Roman" w:hint="default"/>
          <w:sz w:val="32"/>
          <w:szCs w:val="32"/>
        </w:rPr>
        <w:t>万元，支出总计</w:t>
      </w:r>
      <w:r>
        <w:rPr>
          <w:rFonts w:ascii="Times New Roman" w:eastAsia="方正仿宋_GBK" w:hAnsi="Times New Roman" w:hint="default"/>
          <w:sz w:val="32"/>
          <w:szCs w:val="32"/>
        </w:rPr>
        <w:t>120.68</w:t>
      </w:r>
      <w:r>
        <w:rPr>
          <w:rFonts w:ascii="Times New Roman" w:eastAsia="方正仿宋_GBK" w:hAnsi="Times New Roman" w:hint="default"/>
          <w:sz w:val="32"/>
          <w:szCs w:val="32"/>
        </w:rPr>
        <w:t>万元。收、支与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年度相比，减少</w:t>
      </w:r>
      <w:r>
        <w:rPr>
          <w:rFonts w:ascii="Times New Roman" w:eastAsia="方正仿宋_GBK" w:hAnsi="Times New Roman" w:hint="default"/>
          <w:sz w:val="32"/>
          <w:szCs w:val="32"/>
        </w:rPr>
        <w:t>19.51</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13.9%</w:t>
      </w:r>
      <w:r>
        <w:rPr>
          <w:rFonts w:ascii="Times New Roman" w:eastAsia="方正仿宋_GBK" w:hAnsi="Times New Roman" w:hint="default"/>
          <w:sz w:val="32"/>
          <w:szCs w:val="32"/>
        </w:rPr>
        <w:t>，主要原因是机构调整，职能划转，人员经费相应减少。</w:t>
      </w:r>
    </w:p>
    <w:p w:rsidR="004F0C00" w:rsidRDefault="00BA5796">
      <w:pPr>
        <w:spacing w:line="579"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sz w:val="32"/>
          <w:szCs w:val="32"/>
        </w:rPr>
        <w:t>2.</w:t>
      </w:r>
      <w:r>
        <w:rPr>
          <w:rFonts w:ascii="Times New Roman" w:eastAsia="方正仿宋_GBK" w:hAnsi="Times New Roman" w:hint="default"/>
          <w:b/>
          <w:sz w:val="32"/>
          <w:szCs w:val="32"/>
        </w:rPr>
        <w:t>收入情况。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年度收入合计</w:t>
      </w:r>
      <w:r>
        <w:rPr>
          <w:rFonts w:ascii="Times New Roman" w:eastAsia="方正仿宋_GBK" w:hAnsi="Times New Roman" w:hint="default"/>
          <w:sz w:val="32"/>
          <w:szCs w:val="32"/>
        </w:rPr>
        <w:t>120.68</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年度相比，减少</w:t>
      </w:r>
      <w:r>
        <w:rPr>
          <w:rFonts w:ascii="Times New Roman" w:eastAsia="方正仿宋_GBK" w:hAnsi="Times New Roman" w:hint="default"/>
          <w:sz w:val="32"/>
          <w:szCs w:val="32"/>
        </w:rPr>
        <w:t>19.51</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13.9%</w:t>
      </w:r>
      <w:r>
        <w:rPr>
          <w:rFonts w:ascii="Times New Roman" w:eastAsia="方正仿宋_GBK" w:hAnsi="Times New Roman" w:hint="default"/>
          <w:sz w:val="32"/>
          <w:szCs w:val="32"/>
        </w:rPr>
        <w:t>，主要原因是机构调整，职能划转，人员经费相应减少。其中：财政拨款收入</w:t>
      </w:r>
      <w:r>
        <w:rPr>
          <w:rFonts w:ascii="Times New Roman" w:eastAsia="方正仿宋_GBK" w:hAnsi="Times New Roman" w:hint="default"/>
          <w:sz w:val="32"/>
          <w:szCs w:val="32"/>
        </w:rPr>
        <w:t>120.68</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rPr>
        <w:t>。</w:t>
      </w:r>
    </w:p>
    <w:p w:rsidR="004F0C00" w:rsidRDefault="00BA5796">
      <w:pPr>
        <w:spacing w:line="579"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sz w:val="32"/>
          <w:szCs w:val="32"/>
        </w:rPr>
        <w:lastRenderedPageBreak/>
        <w:t>3.</w:t>
      </w:r>
      <w:r>
        <w:rPr>
          <w:rFonts w:ascii="Times New Roman" w:eastAsia="方正仿宋_GBK" w:hAnsi="Times New Roman" w:hint="default"/>
          <w:b/>
          <w:sz w:val="32"/>
          <w:szCs w:val="32"/>
        </w:rPr>
        <w:t>支出情况。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年度支出合计</w:t>
      </w:r>
      <w:r>
        <w:rPr>
          <w:rFonts w:ascii="Times New Roman" w:eastAsia="方正仿宋_GBK" w:hAnsi="Times New Roman" w:hint="default"/>
          <w:sz w:val="32"/>
          <w:szCs w:val="32"/>
        </w:rPr>
        <w:t>120.68</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年度相比，减少</w:t>
      </w:r>
      <w:r>
        <w:rPr>
          <w:rFonts w:ascii="Times New Roman" w:eastAsia="方正仿宋_GBK" w:hAnsi="Times New Roman" w:hint="default"/>
          <w:sz w:val="32"/>
          <w:szCs w:val="32"/>
        </w:rPr>
        <w:t>19.51</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13.9%</w:t>
      </w:r>
      <w:r>
        <w:rPr>
          <w:rFonts w:ascii="Times New Roman" w:eastAsia="方正仿宋_GBK" w:hAnsi="Times New Roman" w:hint="default"/>
          <w:sz w:val="32"/>
          <w:szCs w:val="32"/>
        </w:rPr>
        <w:t>，主要原因是机构调</w:t>
      </w:r>
      <w:r>
        <w:rPr>
          <w:rFonts w:ascii="Times New Roman" w:eastAsia="方正仿宋_GBK" w:hAnsi="Times New Roman" w:hint="default"/>
          <w:sz w:val="32"/>
          <w:szCs w:val="32"/>
        </w:rPr>
        <w:t>整，职能划转，人员经费相应减少。其中：基本支出</w:t>
      </w:r>
      <w:r>
        <w:rPr>
          <w:rFonts w:ascii="Times New Roman" w:eastAsia="方正仿宋_GBK" w:hAnsi="Times New Roman" w:hint="default"/>
          <w:sz w:val="32"/>
          <w:szCs w:val="32"/>
        </w:rPr>
        <w:t>120.68</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rPr>
        <w:t>。</w:t>
      </w:r>
    </w:p>
    <w:p w:rsidR="004F0C00" w:rsidRDefault="00BA5796">
      <w:pPr>
        <w:spacing w:line="579"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sz w:val="32"/>
          <w:szCs w:val="32"/>
        </w:rPr>
        <w:t>4.</w:t>
      </w:r>
      <w:r>
        <w:rPr>
          <w:rFonts w:ascii="Times New Roman" w:eastAsia="方正仿宋_GBK" w:hAnsi="Times New Roman" w:hint="default"/>
          <w:b/>
          <w:sz w:val="32"/>
          <w:szCs w:val="32"/>
        </w:rPr>
        <w:t>结转结余情况。</w:t>
      </w:r>
      <w:r>
        <w:rPr>
          <w:rFonts w:ascii="Times New Roman" w:eastAsia="方正仿宋_GBK" w:hAnsi="Times New Roman" w:hint="default"/>
          <w:sz w:val="32"/>
          <w:szCs w:val="32"/>
        </w:rPr>
        <w:t>无</w:t>
      </w:r>
    </w:p>
    <w:p w:rsidR="004F0C00" w:rsidRDefault="00BA5796">
      <w:pPr>
        <w:spacing w:line="579"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（二）财政拨款收入支出决算总体情况说明</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2024</w:t>
      </w:r>
      <w:r>
        <w:rPr>
          <w:rFonts w:ascii="Times New Roman" w:eastAsia="方正仿宋_GBK" w:hAnsi="Times New Roman" w:hint="default"/>
          <w:sz w:val="32"/>
          <w:szCs w:val="32"/>
        </w:rPr>
        <w:t>年度财政拨款收、支总计</w:t>
      </w:r>
      <w:r>
        <w:rPr>
          <w:rFonts w:ascii="Times New Roman" w:eastAsia="方正仿宋_GBK" w:hAnsi="Times New Roman" w:hint="default"/>
          <w:sz w:val="32"/>
          <w:szCs w:val="32"/>
        </w:rPr>
        <w:t>120.68</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年相比，财政拨款收、支总计各减少</w:t>
      </w:r>
      <w:r>
        <w:rPr>
          <w:rFonts w:ascii="Times New Roman" w:eastAsia="方正仿宋_GBK" w:hAnsi="Times New Roman" w:hint="default"/>
          <w:sz w:val="32"/>
          <w:szCs w:val="32"/>
        </w:rPr>
        <w:t>19.51</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13.9%</w:t>
      </w:r>
      <w:r>
        <w:rPr>
          <w:rFonts w:ascii="Times New Roman" w:eastAsia="方正仿宋_GBK" w:hAnsi="Times New Roman" w:hint="default"/>
          <w:sz w:val="32"/>
          <w:szCs w:val="32"/>
        </w:rPr>
        <w:t>。主要原因是机构调整，职能划转，人员经费相应减少。</w:t>
      </w:r>
    </w:p>
    <w:p w:rsidR="004F0C00" w:rsidRDefault="00BA5796">
      <w:pPr>
        <w:spacing w:line="579"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（三）一般公共预算财政拨款收入支出决算情况说明</w:t>
      </w:r>
    </w:p>
    <w:p w:rsidR="004F0C00" w:rsidRDefault="00BA5796">
      <w:pPr>
        <w:spacing w:line="579"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sz w:val="32"/>
          <w:szCs w:val="32"/>
        </w:rPr>
        <w:t>1.</w:t>
      </w:r>
      <w:r>
        <w:rPr>
          <w:rFonts w:ascii="Times New Roman" w:eastAsia="方正仿宋_GBK" w:hAnsi="Times New Roman" w:hint="default"/>
          <w:b/>
          <w:sz w:val="32"/>
          <w:szCs w:val="32"/>
        </w:rPr>
        <w:t>收入情况。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年度一般公共预算财政拨款收入</w:t>
      </w:r>
      <w:r>
        <w:rPr>
          <w:rFonts w:ascii="Times New Roman" w:eastAsia="方正仿宋_GBK" w:hAnsi="Times New Roman" w:hint="default"/>
          <w:sz w:val="32"/>
          <w:szCs w:val="32"/>
        </w:rPr>
        <w:t>120.68</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年度相比，减少</w:t>
      </w:r>
      <w:r>
        <w:rPr>
          <w:rFonts w:ascii="Times New Roman" w:eastAsia="方正仿宋_GBK" w:hAnsi="Times New Roman" w:hint="default"/>
          <w:sz w:val="32"/>
          <w:szCs w:val="32"/>
        </w:rPr>
        <w:t>19.51</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13.9%</w:t>
      </w:r>
      <w:r>
        <w:rPr>
          <w:rFonts w:ascii="Times New Roman" w:eastAsia="方正仿宋_GBK" w:hAnsi="Times New Roman" w:hint="default"/>
          <w:sz w:val="32"/>
          <w:szCs w:val="32"/>
        </w:rPr>
        <w:t>。主要原因是机构调整，职</w:t>
      </w:r>
      <w:r>
        <w:rPr>
          <w:rFonts w:ascii="Times New Roman" w:eastAsia="方正仿宋_GBK" w:hAnsi="Times New Roman" w:hint="default"/>
          <w:sz w:val="32"/>
          <w:szCs w:val="32"/>
        </w:rPr>
        <w:t>能划转，人员经费相应减少。较年初预算数减少</w:t>
      </w:r>
      <w:r>
        <w:rPr>
          <w:rFonts w:ascii="Times New Roman" w:eastAsia="方正仿宋_GBK" w:hAnsi="Times New Roman" w:hint="default"/>
          <w:sz w:val="32"/>
          <w:szCs w:val="32"/>
        </w:rPr>
        <w:t>27.31</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18.5%</w:t>
      </w:r>
      <w:r>
        <w:rPr>
          <w:rFonts w:ascii="Times New Roman" w:eastAsia="方正仿宋_GBK" w:hAnsi="Times New Roman" w:hint="default"/>
          <w:sz w:val="32"/>
          <w:szCs w:val="32"/>
        </w:rPr>
        <w:t>。主要原因是机构调整，职能划转，人员经费相应减少。</w:t>
      </w:r>
    </w:p>
    <w:p w:rsidR="004F0C00" w:rsidRDefault="00BA5796">
      <w:pPr>
        <w:spacing w:line="579"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sz w:val="32"/>
          <w:szCs w:val="32"/>
        </w:rPr>
        <w:t>2.</w:t>
      </w:r>
      <w:r>
        <w:rPr>
          <w:rFonts w:ascii="Times New Roman" w:eastAsia="方正仿宋_GBK" w:hAnsi="Times New Roman" w:hint="default"/>
          <w:b/>
          <w:sz w:val="32"/>
          <w:szCs w:val="32"/>
        </w:rPr>
        <w:t>支出情况。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年度一般公共预算财政拨款支出</w:t>
      </w:r>
      <w:r>
        <w:rPr>
          <w:rFonts w:ascii="Times New Roman" w:eastAsia="方正仿宋_GBK" w:hAnsi="Times New Roman" w:hint="default"/>
          <w:sz w:val="32"/>
          <w:szCs w:val="32"/>
        </w:rPr>
        <w:t>120.68</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年度相比，减少</w:t>
      </w:r>
      <w:r>
        <w:rPr>
          <w:rFonts w:ascii="Times New Roman" w:eastAsia="方正仿宋_GBK" w:hAnsi="Times New Roman" w:hint="default"/>
          <w:sz w:val="32"/>
          <w:szCs w:val="32"/>
        </w:rPr>
        <w:t>19.51</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13.9%</w:t>
      </w:r>
      <w:r>
        <w:rPr>
          <w:rFonts w:ascii="Times New Roman" w:eastAsia="方正仿宋_GBK" w:hAnsi="Times New Roman" w:hint="default"/>
          <w:sz w:val="32"/>
          <w:szCs w:val="32"/>
        </w:rPr>
        <w:t>。主要原因是机构调整，职能划转，人员经费相应减少。较年初预算数减少</w:t>
      </w:r>
      <w:r>
        <w:rPr>
          <w:rFonts w:ascii="Times New Roman" w:eastAsia="方正仿宋_GBK" w:hAnsi="Times New Roman" w:hint="default"/>
          <w:sz w:val="32"/>
          <w:szCs w:val="32"/>
        </w:rPr>
        <w:t>27.31</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18.5%</w:t>
      </w:r>
      <w:r>
        <w:rPr>
          <w:rFonts w:ascii="Times New Roman" w:eastAsia="方正仿宋_GBK" w:hAnsi="Times New Roman" w:hint="default"/>
          <w:sz w:val="32"/>
          <w:szCs w:val="32"/>
        </w:rPr>
        <w:t>。主要原因是机构调整，职能划转，人员经费相应减少。</w:t>
      </w:r>
    </w:p>
    <w:p w:rsidR="004F0C00" w:rsidRDefault="00BA5796">
      <w:pPr>
        <w:spacing w:line="579"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sz w:val="32"/>
          <w:szCs w:val="32"/>
        </w:rPr>
        <w:t>3.</w:t>
      </w:r>
      <w:r>
        <w:rPr>
          <w:rFonts w:ascii="Times New Roman" w:eastAsia="方正仿宋_GBK" w:hAnsi="Times New Roman" w:hint="default"/>
          <w:b/>
          <w:sz w:val="32"/>
          <w:szCs w:val="32"/>
        </w:rPr>
        <w:t>结转结余情况。</w:t>
      </w:r>
      <w:r>
        <w:rPr>
          <w:rFonts w:ascii="Times New Roman" w:eastAsia="方正仿宋_GBK" w:hAnsi="Times New Roman" w:hint="default"/>
          <w:sz w:val="32"/>
          <w:szCs w:val="32"/>
        </w:rPr>
        <w:t>无</w:t>
      </w:r>
    </w:p>
    <w:p w:rsidR="004F0C00" w:rsidRDefault="00BA5796">
      <w:pPr>
        <w:spacing w:line="579" w:lineRule="exact"/>
        <w:ind w:firstLineChars="200" w:firstLine="643"/>
        <w:jc w:val="both"/>
        <w:rPr>
          <w:rFonts w:ascii="Times New Roman" w:eastAsia="方正仿宋_GBK" w:hAnsi="Times New Roman" w:hint="default"/>
          <w:sz w:val="32"/>
          <w:szCs w:val="32"/>
          <w:highlight w:val="cyan"/>
        </w:rPr>
      </w:pPr>
      <w:r>
        <w:rPr>
          <w:rFonts w:ascii="Times New Roman" w:eastAsia="方正仿宋_GBK" w:hAnsi="Times New Roman" w:hint="default"/>
          <w:b/>
          <w:sz w:val="32"/>
          <w:szCs w:val="32"/>
        </w:rPr>
        <w:lastRenderedPageBreak/>
        <w:t>4.</w:t>
      </w:r>
      <w:r>
        <w:rPr>
          <w:rFonts w:ascii="Times New Roman" w:eastAsia="方正仿宋_GBK" w:hAnsi="Times New Roman" w:hint="default"/>
          <w:b/>
          <w:sz w:val="32"/>
          <w:szCs w:val="32"/>
        </w:rPr>
        <w:t>比较情况。</w:t>
      </w:r>
      <w:r>
        <w:rPr>
          <w:rFonts w:ascii="Times New Roman" w:eastAsia="方正仿宋_GBK" w:hAnsi="Times New Roman" w:hint="default"/>
          <w:sz w:val="32"/>
          <w:szCs w:val="32"/>
        </w:rPr>
        <w:t>本部门</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年度一般公共预算财政拨款支出主要用于以下几个方面：</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w:t>
      </w:r>
      <w:r>
        <w:rPr>
          <w:rFonts w:ascii="Times New Roman" w:eastAsia="方正仿宋_GBK" w:hAnsi="Times New Roman" w:hint="default"/>
          <w:sz w:val="32"/>
          <w:szCs w:val="32"/>
        </w:rPr>
        <w:t>1</w:t>
      </w:r>
      <w:r>
        <w:rPr>
          <w:rFonts w:ascii="Times New Roman" w:eastAsia="方正仿宋_GBK" w:hAnsi="Times New Roman" w:hint="default"/>
          <w:sz w:val="32"/>
          <w:szCs w:val="32"/>
        </w:rPr>
        <w:t>）一般公共服务支出</w:t>
      </w:r>
      <w:r>
        <w:rPr>
          <w:rFonts w:ascii="Times New Roman" w:eastAsia="方正仿宋_GBK" w:hAnsi="Times New Roman" w:hint="default"/>
          <w:sz w:val="32"/>
          <w:szCs w:val="32"/>
        </w:rPr>
        <w:t>84.02</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69.62%</w:t>
      </w:r>
      <w:r>
        <w:rPr>
          <w:rFonts w:ascii="Times New Roman" w:eastAsia="方正仿宋_GBK" w:hAnsi="Times New Roman" w:hint="default"/>
          <w:sz w:val="32"/>
          <w:szCs w:val="32"/>
        </w:rPr>
        <w:t>，较年初预算数减少</w:t>
      </w:r>
      <w:r>
        <w:rPr>
          <w:rFonts w:ascii="Times New Roman" w:eastAsia="方正仿宋_GBK" w:hAnsi="Times New Roman" w:hint="default"/>
          <w:sz w:val="32"/>
          <w:szCs w:val="32"/>
        </w:rPr>
        <w:t>29.12</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25.7%</w:t>
      </w:r>
      <w:r>
        <w:rPr>
          <w:rFonts w:ascii="Times New Roman" w:eastAsia="方正仿宋_GBK" w:hAnsi="Times New Roman" w:hint="default"/>
          <w:sz w:val="32"/>
          <w:szCs w:val="32"/>
        </w:rPr>
        <w:t>，主要原因是机构调整，职能划转，人员工资等相应减少。</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w:t>
      </w:r>
      <w:r>
        <w:rPr>
          <w:rFonts w:ascii="Times New Roman" w:eastAsia="方正仿宋_GBK" w:hAnsi="Times New Roman" w:hint="default"/>
          <w:sz w:val="32"/>
          <w:szCs w:val="32"/>
        </w:rPr>
        <w:t>2</w:t>
      </w:r>
      <w:r>
        <w:rPr>
          <w:rFonts w:ascii="Times New Roman" w:eastAsia="方正仿宋_GBK" w:hAnsi="Times New Roman" w:hint="default"/>
          <w:sz w:val="32"/>
          <w:szCs w:val="32"/>
        </w:rPr>
        <w:t>）社会保障与就业支出</w:t>
      </w:r>
      <w:r>
        <w:rPr>
          <w:rFonts w:ascii="Times New Roman" w:eastAsia="方正仿宋_GBK" w:hAnsi="Times New Roman" w:hint="default"/>
          <w:sz w:val="32"/>
          <w:szCs w:val="32"/>
        </w:rPr>
        <w:t>22.50</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18.64%</w:t>
      </w:r>
      <w:r>
        <w:rPr>
          <w:rFonts w:ascii="Times New Roman" w:eastAsia="方正仿宋_GBK" w:hAnsi="Times New Roman" w:hint="default"/>
          <w:sz w:val="32"/>
          <w:szCs w:val="32"/>
        </w:rPr>
        <w:t>，较年初预算数增加</w:t>
      </w:r>
      <w:r>
        <w:rPr>
          <w:rFonts w:ascii="Times New Roman" w:eastAsia="方正仿宋_GBK" w:hAnsi="Times New Roman" w:hint="default"/>
          <w:sz w:val="32"/>
          <w:szCs w:val="32"/>
        </w:rPr>
        <w:t>3.29</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17.1%</w:t>
      </w:r>
      <w:r>
        <w:rPr>
          <w:rFonts w:ascii="Times New Roman" w:eastAsia="方正仿宋_GBK" w:hAnsi="Times New Roman" w:hint="default"/>
          <w:sz w:val="32"/>
          <w:szCs w:val="32"/>
        </w:rPr>
        <w:t>，主要原因是社保缴费基数调整。</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w:t>
      </w:r>
      <w:r>
        <w:rPr>
          <w:rFonts w:ascii="Times New Roman" w:eastAsia="方正仿宋_GBK" w:hAnsi="Times New Roman" w:hint="default"/>
          <w:sz w:val="32"/>
          <w:szCs w:val="32"/>
        </w:rPr>
        <w:t>3</w:t>
      </w:r>
      <w:r>
        <w:rPr>
          <w:rFonts w:ascii="Times New Roman" w:eastAsia="方正仿宋_GBK" w:hAnsi="Times New Roman" w:hint="default"/>
          <w:sz w:val="32"/>
          <w:szCs w:val="32"/>
        </w:rPr>
        <w:t>）卫生健康支出</w:t>
      </w:r>
      <w:r>
        <w:rPr>
          <w:rFonts w:ascii="Times New Roman" w:eastAsia="方正仿宋_GBK" w:hAnsi="Times New Roman" w:hint="default"/>
          <w:sz w:val="32"/>
          <w:szCs w:val="32"/>
        </w:rPr>
        <w:t>6.86</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5.69%</w:t>
      </w:r>
      <w:r>
        <w:rPr>
          <w:rFonts w:ascii="Times New Roman" w:eastAsia="方正仿宋_GBK" w:hAnsi="Times New Roman" w:hint="default"/>
          <w:sz w:val="32"/>
          <w:szCs w:val="32"/>
        </w:rPr>
        <w:t>，较年初预算数减少</w:t>
      </w:r>
      <w:r>
        <w:rPr>
          <w:rFonts w:ascii="Times New Roman" w:eastAsia="方正仿宋_GBK" w:hAnsi="Times New Roman" w:hint="default"/>
          <w:sz w:val="32"/>
          <w:szCs w:val="32"/>
        </w:rPr>
        <w:t>1.47</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17.7%</w:t>
      </w:r>
      <w:r>
        <w:rPr>
          <w:rFonts w:ascii="Times New Roman" w:eastAsia="方正仿宋_GBK" w:hAnsi="Times New Roman" w:hint="default"/>
          <w:sz w:val="32"/>
          <w:szCs w:val="32"/>
        </w:rPr>
        <w:t>，主要原因是机构调整，职能划转，卫生健康支出相应减少。</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w:t>
      </w:r>
      <w:r>
        <w:rPr>
          <w:rFonts w:ascii="Times New Roman" w:eastAsia="方正仿宋_GBK" w:hAnsi="Times New Roman" w:hint="default"/>
          <w:sz w:val="32"/>
          <w:szCs w:val="32"/>
        </w:rPr>
        <w:t>4</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7.31</w:t>
      </w:r>
      <w:r>
        <w:rPr>
          <w:rFonts w:ascii="Times New Roman" w:eastAsia="方正仿宋_GBK" w:hAnsi="Times New Roman" w:hint="default"/>
          <w:sz w:val="32"/>
          <w:szCs w:val="32"/>
        </w:rPr>
        <w:t>万元，占</w:t>
      </w:r>
      <w:r>
        <w:rPr>
          <w:rFonts w:ascii="Times New Roman" w:eastAsia="方正仿宋_GBK" w:hAnsi="Times New Roman" w:hint="default"/>
          <w:sz w:val="32"/>
          <w:szCs w:val="32"/>
        </w:rPr>
        <w:t>6.05%</w:t>
      </w:r>
      <w:r>
        <w:rPr>
          <w:rFonts w:ascii="Times New Roman" w:eastAsia="方正仿宋_GBK" w:hAnsi="Times New Roman" w:hint="default"/>
          <w:sz w:val="32"/>
          <w:szCs w:val="32"/>
        </w:rPr>
        <w:t>，较年初预算数无增减。</w:t>
      </w:r>
    </w:p>
    <w:p w:rsidR="004F0C00" w:rsidRDefault="00BA5796">
      <w:pPr>
        <w:spacing w:line="579"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（四）一般公共预算财政拨款基本支出决算情况说明</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 2024</w:t>
      </w:r>
      <w:r>
        <w:rPr>
          <w:rFonts w:ascii="Times New Roman" w:eastAsia="方正仿宋_GBK" w:hAnsi="Times New Roman" w:hint="default"/>
          <w:sz w:val="32"/>
          <w:szCs w:val="32"/>
        </w:rPr>
        <w:t>年度一般公共财政拨款基本支出</w:t>
      </w:r>
      <w:r>
        <w:rPr>
          <w:rFonts w:ascii="Times New Roman" w:eastAsia="方正仿宋_GBK" w:hAnsi="Times New Roman" w:hint="default"/>
          <w:sz w:val="32"/>
          <w:szCs w:val="32"/>
        </w:rPr>
        <w:t>120.68</w:t>
      </w:r>
      <w:r>
        <w:rPr>
          <w:rFonts w:ascii="Times New Roman" w:eastAsia="方正仿宋_GBK" w:hAnsi="Times New Roman" w:hint="default"/>
          <w:sz w:val="32"/>
          <w:szCs w:val="32"/>
        </w:rPr>
        <w:t>万元。其中：人员经费</w:t>
      </w:r>
      <w:r>
        <w:rPr>
          <w:rFonts w:ascii="Times New Roman" w:eastAsia="方正仿宋_GBK" w:hAnsi="Times New Roman" w:hint="default"/>
          <w:sz w:val="32"/>
          <w:szCs w:val="32"/>
        </w:rPr>
        <w:t>109.27</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年度相比，减少</w:t>
      </w:r>
      <w:r>
        <w:rPr>
          <w:rFonts w:ascii="Times New Roman" w:eastAsia="方正仿宋_GBK" w:hAnsi="Times New Roman" w:hint="default"/>
          <w:sz w:val="32"/>
          <w:szCs w:val="32"/>
        </w:rPr>
        <w:t>20.56</w:t>
      </w:r>
      <w:r>
        <w:rPr>
          <w:rFonts w:ascii="Times New Roman" w:eastAsia="方正仿宋_GBK" w:hAnsi="Times New Roman" w:hint="default"/>
          <w:sz w:val="32"/>
          <w:szCs w:val="32"/>
        </w:rPr>
        <w:t>万元，下降</w:t>
      </w:r>
      <w:r>
        <w:rPr>
          <w:rFonts w:ascii="Times New Roman" w:eastAsia="方正仿宋_GBK" w:hAnsi="Times New Roman" w:hint="default"/>
          <w:sz w:val="32"/>
          <w:szCs w:val="32"/>
        </w:rPr>
        <w:t>15.8%</w:t>
      </w:r>
      <w:r>
        <w:rPr>
          <w:rFonts w:ascii="Times New Roman" w:eastAsia="方正仿宋_GBK" w:hAnsi="Times New Roman" w:hint="default"/>
          <w:sz w:val="32"/>
          <w:szCs w:val="32"/>
        </w:rPr>
        <w:t>，主要原因是机构调整，职能划转，人员经费相应减少。人员经费用途主要包括基本工资、津贴补贴、绩效工资、社会保障缴费、住房公积金、退休人员生活补助及医疗补助等。公用经费</w:t>
      </w:r>
      <w:r>
        <w:rPr>
          <w:rFonts w:ascii="Times New Roman" w:eastAsia="方正仿宋_GBK" w:hAnsi="Times New Roman" w:hint="default"/>
          <w:sz w:val="32"/>
          <w:szCs w:val="32"/>
        </w:rPr>
        <w:t>11.41</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年度相比，增加</w:t>
      </w:r>
      <w:r>
        <w:rPr>
          <w:rFonts w:ascii="Times New Roman" w:eastAsia="方正仿宋_GBK" w:hAnsi="Times New Roman" w:hint="default"/>
          <w:sz w:val="32"/>
          <w:szCs w:val="32"/>
        </w:rPr>
        <w:t>1.06</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10.2%</w:t>
      </w:r>
      <w:r>
        <w:rPr>
          <w:rFonts w:ascii="Times New Roman" w:eastAsia="方正仿宋_GBK" w:hAnsi="Times New Roman" w:hint="default"/>
          <w:sz w:val="32"/>
          <w:szCs w:val="32"/>
        </w:rPr>
        <w:t>，主要原因是职工教育培训经费、福利费及工会经费等根据工资核</w:t>
      </w:r>
      <w:r>
        <w:rPr>
          <w:rFonts w:ascii="Times New Roman" w:eastAsia="方正仿宋_GBK" w:hAnsi="Times New Roman" w:hint="default"/>
          <w:sz w:val="32"/>
          <w:szCs w:val="32"/>
        </w:rPr>
        <w:lastRenderedPageBreak/>
        <w:t>定的科目预算增加。公用经费用途主</w:t>
      </w:r>
      <w:r>
        <w:rPr>
          <w:rFonts w:ascii="Times New Roman" w:eastAsia="方正仿宋_GBK" w:hAnsi="Times New Roman" w:hint="default"/>
          <w:sz w:val="32"/>
          <w:szCs w:val="32"/>
        </w:rPr>
        <w:t>要包括办公费、邮电费、培训费、工会经费等。</w:t>
      </w:r>
    </w:p>
    <w:p w:rsidR="004F0C00" w:rsidRDefault="00BA5796">
      <w:pPr>
        <w:spacing w:line="579"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（五）政府性基金预算收支决算情况说明</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本部门</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年度无政府性基金预算财政拨款收支。</w:t>
      </w:r>
    </w:p>
    <w:p w:rsidR="004F0C00" w:rsidRDefault="00BA5796">
      <w:pPr>
        <w:spacing w:line="579"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（六）国有资本经营预算财政拨款支出决算情况说明</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本部门</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年度无国有资本经营预算财政拨款支出。</w:t>
      </w:r>
    </w:p>
    <w:p w:rsidR="004F0C00" w:rsidRDefault="00BA5796">
      <w:pPr>
        <w:spacing w:line="579" w:lineRule="exact"/>
        <w:ind w:firstLineChars="200" w:firstLine="640"/>
        <w:jc w:val="both"/>
        <w:rPr>
          <w:rFonts w:ascii="Times New Roman" w:eastAsia="方正黑体_GBK" w:hAnsi="Times New Roman" w:hint="default"/>
          <w:sz w:val="32"/>
          <w:szCs w:val="32"/>
        </w:rPr>
      </w:pPr>
      <w:r>
        <w:rPr>
          <w:rFonts w:ascii="Times New Roman" w:eastAsia="方正黑体_GBK" w:hAnsi="Times New Roman" w:hint="default"/>
          <w:sz w:val="32"/>
          <w:szCs w:val="32"/>
        </w:rPr>
        <w:t>三、</w:t>
      </w:r>
      <w:r>
        <w:rPr>
          <w:rFonts w:ascii="Times New Roman" w:eastAsia="方正黑体_GBK" w:hAnsi="Times New Roman" w:hint="default"/>
          <w:sz w:val="32"/>
          <w:szCs w:val="32"/>
        </w:rPr>
        <w:t>“</w:t>
      </w:r>
      <w:r>
        <w:rPr>
          <w:rFonts w:ascii="Times New Roman" w:eastAsia="方正黑体_GBK" w:hAnsi="Times New Roman" w:hint="default"/>
          <w:sz w:val="32"/>
          <w:szCs w:val="32"/>
        </w:rPr>
        <w:t>三公</w:t>
      </w:r>
      <w:r>
        <w:rPr>
          <w:rFonts w:ascii="Times New Roman" w:eastAsia="方正黑体_GBK" w:hAnsi="Times New Roman" w:hint="default"/>
          <w:sz w:val="32"/>
          <w:szCs w:val="32"/>
        </w:rPr>
        <w:t>”</w:t>
      </w:r>
      <w:r>
        <w:rPr>
          <w:rFonts w:ascii="Times New Roman" w:eastAsia="方正黑体_GBK" w:hAnsi="Times New Roman" w:hint="default"/>
          <w:sz w:val="32"/>
          <w:szCs w:val="32"/>
        </w:rPr>
        <w:t>经费情况说明</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我单位是重庆市黔江区商务委员会直属事业单位，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年公用经费由主管部门统筹安排使用，在</w:t>
      </w:r>
      <w:r>
        <w:rPr>
          <w:rFonts w:ascii="Times New Roman" w:eastAsia="方正仿宋_GBK" w:hAnsi="Times New Roman" w:hint="default"/>
          <w:sz w:val="32"/>
          <w:szCs w:val="32"/>
        </w:rPr>
        <w:t>2024</w:t>
      </w:r>
      <w:r>
        <w:rPr>
          <w:rFonts w:ascii="Times New Roman" w:eastAsia="方正仿宋_GBK" w:hAnsi="Times New Roman" w:hint="default"/>
          <w:sz w:val="32"/>
          <w:szCs w:val="32"/>
        </w:rPr>
        <w:t>年无</w:t>
      </w:r>
      <w:r>
        <w:rPr>
          <w:rFonts w:ascii="Times New Roman" w:eastAsia="方正仿宋_GBK" w:hAnsi="Times New Roman" w:hint="default"/>
          <w:sz w:val="32"/>
          <w:szCs w:val="32"/>
        </w:rPr>
        <w:t>“</w:t>
      </w:r>
      <w:r>
        <w:rPr>
          <w:rFonts w:ascii="Times New Roman" w:eastAsia="方正仿宋_GBK" w:hAnsi="Times New Roman" w:hint="default"/>
          <w:sz w:val="32"/>
          <w:szCs w:val="32"/>
        </w:rPr>
        <w:t>三公</w:t>
      </w:r>
      <w:r>
        <w:rPr>
          <w:rFonts w:ascii="Times New Roman" w:eastAsia="方正仿宋_GBK" w:hAnsi="Times New Roman" w:hint="default"/>
          <w:sz w:val="32"/>
          <w:szCs w:val="32"/>
        </w:rPr>
        <w:t>”</w:t>
      </w:r>
      <w:r>
        <w:rPr>
          <w:rFonts w:ascii="Times New Roman" w:eastAsia="方正仿宋_GBK" w:hAnsi="Times New Roman" w:hint="default"/>
          <w:sz w:val="32"/>
          <w:szCs w:val="32"/>
        </w:rPr>
        <w:t>经费支出。</w:t>
      </w:r>
    </w:p>
    <w:p w:rsidR="004F0C00" w:rsidRDefault="00BA5796">
      <w:pPr>
        <w:spacing w:line="579" w:lineRule="exact"/>
        <w:ind w:firstLineChars="200" w:firstLine="640"/>
        <w:jc w:val="both"/>
        <w:rPr>
          <w:rFonts w:ascii="Times New Roman" w:eastAsia="方正黑体_GBK" w:hAnsi="Times New Roman" w:hint="default"/>
          <w:sz w:val="32"/>
          <w:szCs w:val="32"/>
        </w:rPr>
      </w:pPr>
      <w:r>
        <w:rPr>
          <w:rFonts w:ascii="Times New Roman" w:eastAsia="方正黑体_GBK" w:hAnsi="Times New Roman" w:hint="default"/>
          <w:sz w:val="32"/>
          <w:szCs w:val="32"/>
        </w:rPr>
        <w:t>四、其他需要说明的事项</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楷体_GBK" w:hAnsi="Times New Roman" w:hint="default"/>
          <w:sz w:val="32"/>
          <w:szCs w:val="32"/>
        </w:rPr>
        <w:t>（一）财政拨款会议费和培训费情况说明</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本年度会议费支出</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年度相比，无增减。本年度培训费支</w:t>
      </w:r>
      <w:r>
        <w:rPr>
          <w:rFonts w:ascii="Times New Roman" w:eastAsia="方正仿宋_GBK" w:hAnsi="Times New Roman" w:hint="default"/>
          <w:sz w:val="32"/>
          <w:szCs w:val="32"/>
        </w:rPr>
        <w:t>出</w:t>
      </w:r>
      <w:r>
        <w:rPr>
          <w:rFonts w:ascii="Times New Roman" w:eastAsia="方正仿宋_GBK" w:hAnsi="Times New Roman" w:hint="default"/>
          <w:sz w:val="32"/>
          <w:szCs w:val="32"/>
        </w:rPr>
        <w:t>0.91</w:t>
      </w:r>
      <w:r>
        <w:rPr>
          <w:rFonts w:ascii="Times New Roman" w:eastAsia="方正仿宋_GBK" w:hAnsi="Times New Roman" w:hint="default"/>
          <w:sz w:val="32"/>
          <w:szCs w:val="32"/>
        </w:rPr>
        <w:t>万元，与</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年度相比，增加</w:t>
      </w:r>
      <w:r>
        <w:rPr>
          <w:rFonts w:ascii="Times New Roman" w:eastAsia="方正仿宋_GBK" w:hAnsi="Times New Roman" w:hint="default"/>
          <w:sz w:val="32"/>
          <w:szCs w:val="32"/>
        </w:rPr>
        <w:t>0.89</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4450.0%</w:t>
      </w:r>
      <w:r>
        <w:rPr>
          <w:rFonts w:ascii="Times New Roman" w:eastAsia="方正仿宋_GBK" w:hAnsi="Times New Roman" w:hint="default"/>
          <w:sz w:val="32"/>
          <w:szCs w:val="32"/>
        </w:rPr>
        <w:t>，主要原因是参加培训的人数及费用增加。</w:t>
      </w:r>
    </w:p>
    <w:p w:rsidR="004F0C00" w:rsidRDefault="00BA5796">
      <w:pPr>
        <w:spacing w:line="579"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（二）机关运行经费情况说明</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按照部门决算列报口径，我单位不在机关运行经费统计范围之内。</w:t>
      </w:r>
    </w:p>
    <w:p w:rsidR="004F0C00" w:rsidRDefault="00BA5796">
      <w:pPr>
        <w:spacing w:line="579"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（三）国有资产占用情况说明</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截至</w:t>
      </w:r>
      <w:r>
        <w:rPr>
          <w:rFonts w:ascii="Times New Roman" w:eastAsia="方正仿宋_GBK" w:hAnsi="Times New Roman" w:hint="default"/>
          <w:sz w:val="32"/>
          <w:szCs w:val="32"/>
        </w:rPr>
        <w:t>2024</w:t>
      </w:r>
      <w:r>
        <w:rPr>
          <w:rFonts w:ascii="Times New Roman" w:eastAsia="方正仿宋_GBK" w:hAnsi="Times New Roman" w:hint="default"/>
          <w:sz w:val="32"/>
          <w:szCs w:val="32"/>
        </w:rPr>
        <w:t>年</w:t>
      </w:r>
      <w:r>
        <w:rPr>
          <w:rFonts w:ascii="Times New Roman" w:eastAsia="方正仿宋_GBK" w:hAnsi="Times New Roman" w:hint="default"/>
          <w:sz w:val="32"/>
          <w:szCs w:val="32"/>
        </w:rPr>
        <w:t>12</w:t>
      </w:r>
      <w:r>
        <w:rPr>
          <w:rFonts w:ascii="Times New Roman" w:eastAsia="方正仿宋_GBK" w:hAnsi="Times New Roman" w:hint="default"/>
          <w:sz w:val="32"/>
          <w:szCs w:val="32"/>
        </w:rPr>
        <w:t>月</w:t>
      </w:r>
      <w:r>
        <w:rPr>
          <w:rFonts w:ascii="Times New Roman" w:eastAsia="方正仿宋_GBK" w:hAnsi="Times New Roman" w:hint="default"/>
          <w:sz w:val="32"/>
          <w:szCs w:val="32"/>
        </w:rPr>
        <w:t>31</w:t>
      </w:r>
      <w:r>
        <w:rPr>
          <w:rFonts w:ascii="Times New Roman" w:eastAsia="方正仿宋_GBK" w:hAnsi="Times New Roman" w:hint="default"/>
          <w:sz w:val="32"/>
          <w:szCs w:val="32"/>
        </w:rPr>
        <w:t>日，本部门共有车辆</w:t>
      </w:r>
      <w:r>
        <w:rPr>
          <w:rFonts w:ascii="Times New Roman" w:eastAsia="方正仿宋_GBK" w:hAnsi="Times New Roman" w:hint="default"/>
          <w:sz w:val="32"/>
          <w:szCs w:val="32"/>
        </w:rPr>
        <w:t>0</w:t>
      </w:r>
      <w:r>
        <w:rPr>
          <w:rFonts w:ascii="Times New Roman" w:eastAsia="方正仿宋_GBK" w:hAnsi="Times New Roman" w:hint="default"/>
          <w:sz w:val="32"/>
          <w:szCs w:val="32"/>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rPr>
        <w:t>辆、应急保障用车</w:t>
      </w:r>
      <w:r>
        <w:rPr>
          <w:rFonts w:ascii="Times New Roman" w:eastAsia="方正仿宋_GBK" w:hAnsi="Times New Roman" w:hint="default"/>
          <w:sz w:val="32"/>
          <w:szCs w:val="32"/>
        </w:rPr>
        <w:t>0</w:t>
      </w:r>
      <w:r>
        <w:rPr>
          <w:rFonts w:ascii="Times New Roman" w:eastAsia="方正仿宋_GBK" w:hAnsi="Times New Roman" w:hint="default"/>
          <w:sz w:val="32"/>
          <w:szCs w:val="32"/>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rPr>
        <w:t>辆，特种专业</w:t>
      </w:r>
      <w:r>
        <w:rPr>
          <w:rFonts w:ascii="Times New Roman" w:eastAsia="方正仿宋_GBK" w:hAnsi="Times New Roman" w:hint="default"/>
          <w:sz w:val="32"/>
          <w:szCs w:val="32"/>
        </w:rPr>
        <w:lastRenderedPageBreak/>
        <w:t>技术用车</w:t>
      </w:r>
      <w:r>
        <w:rPr>
          <w:rFonts w:ascii="Times New Roman" w:eastAsia="方正仿宋_GBK" w:hAnsi="Times New Roman" w:hint="default"/>
          <w:sz w:val="32"/>
          <w:szCs w:val="32"/>
        </w:rPr>
        <w:t>0</w:t>
      </w:r>
      <w:r>
        <w:rPr>
          <w:rFonts w:ascii="Times New Roman" w:eastAsia="方正仿宋_GBK" w:hAnsi="Times New Roman" w:hint="default"/>
          <w:sz w:val="32"/>
          <w:szCs w:val="32"/>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rPr>
        <w:t>辆。单价</w:t>
      </w:r>
      <w:r>
        <w:rPr>
          <w:rFonts w:ascii="Times New Roman" w:eastAsia="方正仿宋_GBK" w:hAnsi="Times New Roman" w:hint="default"/>
          <w:sz w:val="32"/>
          <w:szCs w:val="32"/>
        </w:rPr>
        <w:t>100</w:t>
      </w:r>
      <w:r>
        <w:rPr>
          <w:rFonts w:ascii="Times New Roman" w:eastAsia="方正仿宋_GBK" w:hAnsi="Times New Roman" w:hint="default"/>
          <w:sz w:val="32"/>
          <w:szCs w:val="32"/>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rPr>
        <w:t>台（套）。</w:t>
      </w:r>
    </w:p>
    <w:p w:rsidR="004F0C00" w:rsidRDefault="00BA5796">
      <w:pPr>
        <w:spacing w:line="579" w:lineRule="exact"/>
        <w:ind w:firstLineChars="200" w:firstLine="640"/>
        <w:jc w:val="both"/>
        <w:rPr>
          <w:rFonts w:ascii="Times New Roman" w:eastAsia="方正楷体_GBK" w:hAnsi="Times New Roman" w:hint="default"/>
          <w:sz w:val="32"/>
          <w:szCs w:val="32"/>
        </w:rPr>
      </w:pPr>
      <w:r>
        <w:rPr>
          <w:rFonts w:ascii="Times New Roman" w:eastAsia="方正楷体_GBK" w:hAnsi="Times New Roman" w:hint="default"/>
          <w:sz w:val="32"/>
          <w:szCs w:val="32"/>
        </w:rPr>
        <w:t>（四）政府采购支出情况说明</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2024</w:t>
      </w:r>
      <w:r>
        <w:rPr>
          <w:rFonts w:ascii="Times New Roman" w:eastAsia="方正仿宋_GBK" w:hAnsi="Times New Roman" w:hint="default"/>
          <w:sz w:val="32"/>
          <w:szCs w:val="32"/>
        </w:rPr>
        <w:t>年度我单位未发生政府采购事项，无相关经费支出。</w:t>
      </w:r>
    </w:p>
    <w:p w:rsidR="004F0C00" w:rsidRDefault="00BA5796">
      <w:pPr>
        <w:spacing w:line="579" w:lineRule="exact"/>
        <w:ind w:firstLineChars="200" w:firstLine="640"/>
        <w:jc w:val="both"/>
        <w:rPr>
          <w:rFonts w:ascii="Times New Roman" w:eastAsia="方正黑体_GBK" w:hAnsi="Times New Roman" w:hint="default"/>
          <w:sz w:val="32"/>
          <w:szCs w:val="32"/>
        </w:rPr>
      </w:pPr>
      <w:r>
        <w:rPr>
          <w:rFonts w:ascii="Times New Roman" w:eastAsia="方正黑体_GBK" w:hAnsi="Times New Roman" w:hint="default"/>
          <w:sz w:val="32"/>
          <w:szCs w:val="32"/>
        </w:rPr>
        <w:t>五、预算绩效管理情况说明</w:t>
      </w:r>
    </w:p>
    <w:p w:rsidR="004F0C00" w:rsidRDefault="00BA5796">
      <w:pPr>
        <w:spacing w:line="579" w:lineRule="exact"/>
        <w:ind w:firstLineChars="200" w:firstLine="640"/>
        <w:jc w:val="both"/>
        <w:rPr>
          <w:rFonts w:ascii="Times New Roman" w:eastAsia="方正仿宋_GBK" w:hAnsi="Times New Roman" w:hint="default"/>
          <w:sz w:val="32"/>
          <w:szCs w:val="32"/>
          <w:highlight w:val="yellow"/>
        </w:rPr>
      </w:pPr>
      <w:r>
        <w:rPr>
          <w:rFonts w:ascii="Times New Roman" w:eastAsia="方正仿宋_GBK" w:hAnsi="Times New Roman" w:hint="default"/>
          <w:sz w:val="32"/>
          <w:szCs w:val="32"/>
        </w:rPr>
        <w:t>2024</w:t>
      </w:r>
      <w:r>
        <w:rPr>
          <w:rFonts w:ascii="Times New Roman" w:eastAsia="方正仿宋_GBK" w:hAnsi="Times New Roman" w:hint="default"/>
          <w:sz w:val="32"/>
          <w:szCs w:val="32"/>
        </w:rPr>
        <w:t>年，我单位编制绩效目标的项目</w:t>
      </w:r>
      <w:r>
        <w:rPr>
          <w:rFonts w:ascii="Times New Roman" w:eastAsia="方正仿宋_GBK" w:hAnsi="Times New Roman" w:hint="default"/>
          <w:sz w:val="32"/>
          <w:szCs w:val="32"/>
        </w:rPr>
        <w:t>0</w:t>
      </w:r>
      <w:r>
        <w:rPr>
          <w:rFonts w:ascii="Times New Roman" w:eastAsia="方正仿宋_GBK" w:hAnsi="Times New Roman" w:hint="default"/>
          <w:sz w:val="32"/>
          <w:szCs w:val="32"/>
        </w:rPr>
        <w:t>个，涉及支出预算</w:t>
      </w:r>
      <w:r>
        <w:rPr>
          <w:rFonts w:ascii="Times New Roman" w:eastAsia="方正仿宋_GBK" w:hAnsi="Times New Roman" w:hint="default"/>
          <w:sz w:val="32"/>
          <w:szCs w:val="32"/>
        </w:rPr>
        <w:t>0</w:t>
      </w:r>
      <w:r>
        <w:rPr>
          <w:rFonts w:ascii="Times New Roman" w:eastAsia="方正仿宋_GBK" w:hAnsi="Times New Roman" w:hint="default"/>
          <w:sz w:val="32"/>
          <w:szCs w:val="32"/>
        </w:rPr>
        <w:t>万元。开展绩效评价的项目</w:t>
      </w:r>
      <w:r>
        <w:rPr>
          <w:rFonts w:ascii="Times New Roman" w:eastAsia="方正仿宋_GBK" w:hAnsi="Times New Roman" w:hint="default"/>
          <w:sz w:val="32"/>
          <w:szCs w:val="32"/>
        </w:rPr>
        <w:t>0</w:t>
      </w:r>
      <w:r>
        <w:rPr>
          <w:rFonts w:ascii="Times New Roman" w:eastAsia="方正仿宋_GBK" w:hAnsi="Times New Roman" w:hint="default"/>
          <w:sz w:val="32"/>
          <w:szCs w:val="32"/>
        </w:rPr>
        <w:t>个，涉及支出</w:t>
      </w:r>
      <w:r>
        <w:rPr>
          <w:rFonts w:ascii="Times New Roman" w:eastAsia="方正仿宋_GBK" w:hAnsi="Times New Roman" w:hint="default"/>
          <w:sz w:val="32"/>
          <w:szCs w:val="32"/>
        </w:rPr>
        <w:t>0</w:t>
      </w:r>
      <w:r>
        <w:rPr>
          <w:rFonts w:ascii="Times New Roman" w:eastAsia="方正仿宋_GBK" w:hAnsi="Times New Roman" w:hint="default"/>
          <w:sz w:val="32"/>
          <w:szCs w:val="32"/>
        </w:rPr>
        <w:t>万元。</w:t>
      </w:r>
    </w:p>
    <w:p w:rsidR="004F0C00" w:rsidRDefault="00BA5796">
      <w:pPr>
        <w:spacing w:line="579" w:lineRule="exact"/>
        <w:ind w:firstLineChars="200" w:firstLine="640"/>
        <w:jc w:val="both"/>
        <w:rPr>
          <w:rFonts w:ascii="Times New Roman" w:eastAsia="方正黑体_GBK" w:hAnsi="Times New Roman" w:hint="default"/>
          <w:sz w:val="32"/>
          <w:szCs w:val="32"/>
        </w:rPr>
      </w:pPr>
      <w:r>
        <w:rPr>
          <w:rFonts w:ascii="Times New Roman" w:eastAsia="方正黑体_GBK" w:hAnsi="Times New Roman" w:hint="default"/>
          <w:sz w:val="32"/>
          <w:szCs w:val="32"/>
        </w:rPr>
        <w:t>六、专业名词解释</w:t>
      </w:r>
    </w:p>
    <w:p w:rsidR="004F0C00" w:rsidRDefault="00BA5796">
      <w:pPr>
        <w:spacing w:line="579" w:lineRule="exact"/>
        <w:ind w:firstLineChars="200" w:firstLine="640"/>
        <w:jc w:val="both"/>
        <w:rPr>
          <w:rFonts w:ascii="Times New Roman" w:eastAsia="方正黑体_GBK" w:hAnsi="Times New Roman" w:hint="default"/>
          <w:sz w:val="32"/>
          <w:szCs w:val="32"/>
        </w:rPr>
      </w:pPr>
      <w:r>
        <w:rPr>
          <w:rFonts w:ascii="Times New Roman" w:eastAsia="方正楷体_GBK" w:hAnsi="Times New Roman" w:hint="default"/>
          <w:sz w:val="32"/>
          <w:szCs w:val="32"/>
        </w:rPr>
        <w:t>（一）财政拨款收入：</w:t>
      </w:r>
      <w:r>
        <w:rPr>
          <w:rFonts w:ascii="Times New Roman" w:eastAsia="方正仿宋_GBK" w:hAnsi="Times New Roman" w:hint="default"/>
          <w:sz w:val="32"/>
          <w:szCs w:val="32"/>
        </w:rPr>
        <w:t>指本年度从本级财政部门取得的财政拨款，包括一般公共预算财政拨款和政府性基金预算财政拨款。</w:t>
      </w:r>
    </w:p>
    <w:p w:rsidR="004F0C00" w:rsidRDefault="00BA5796">
      <w:pPr>
        <w:spacing w:line="579" w:lineRule="exact"/>
        <w:ind w:firstLineChars="200" w:firstLine="640"/>
        <w:jc w:val="both"/>
        <w:rPr>
          <w:rFonts w:ascii="Times New Roman" w:eastAsia="方正黑体_GBK" w:hAnsi="Times New Roman" w:hint="default"/>
          <w:sz w:val="32"/>
          <w:szCs w:val="32"/>
        </w:rPr>
      </w:pPr>
      <w:r>
        <w:rPr>
          <w:rFonts w:ascii="Times New Roman" w:eastAsia="方正楷体_GBK" w:hAnsi="Times New Roman" w:hint="default"/>
          <w:sz w:val="32"/>
          <w:szCs w:val="32"/>
        </w:rPr>
        <w:t>（二）年初结转和结余：</w:t>
      </w:r>
      <w:r>
        <w:rPr>
          <w:rFonts w:ascii="Times New Roman" w:eastAsia="方正仿宋_GBK" w:hAnsi="Times New Roman" w:hint="default"/>
          <w:sz w:val="32"/>
          <w:szCs w:val="32"/>
        </w:rPr>
        <w:t>指单位上年结转本年使用的基本支出结转、项目支出结转和结余、经营结余。</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楷体_GBK" w:hAnsi="Times New Roman" w:hint="default"/>
          <w:sz w:val="32"/>
          <w:szCs w:val="32"/>
        </w:rPr>
        <w:t>（三）年末结转和结余：</w:t>
      </w:r>
      <w:r>
        <w:rPr>
          <w:rFonts w:ascii="Times New Roman" w:eastAsia="方正仿宋_GBK" w:hAnsi="Times New Roman" w:hint="default"/>
          <w:sz w:val="32"/>
          <w:szCs w:val="32"/>
        </w:rPr>
        <w:t>指单位结转下年的基本支出结转、项目支出结转和结余、经营结余。</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楷体_GBK" w:hAnsi="Times New Roman" w:hint="default"/>
          <w:sz w:val="32"/>
          <w:szCs w:val="32"/>
        </w:rPr>
        <w:t>（四）基本支出：</w:t>
      </w:r>
      <w:r>
        <w:rPr>
          <w:rFonts w:ascii="Times New Roman" w:eastAsia="方正仿宋_GBK" w:hAnsi="Times New Roman" w:hint="default"/>
          <w:sz w:val="32"/>
          <w:szCs w:val="32"/>
        </w:rPr>
        <w:t>指为保</w:t>
      </w:r>
      <w:r>
        <w:rPr>
          <w:rFonts w:ascii="Times New Roman" w:eastAsia="方正仿宋_GBK" w:hAnsi="Times New Roman" w:hint="default"/>
          <w:sz w:val="32"/>
          <w:szCs w:val="32"/>
        </w:rPr>
        <w:t>障机构正常运转、完成日常工作任务而发生的人员经费和公用经费。其中：人员经费指政府收支分类经济科目中的</w:t>
      </w:r>
      <w:r>
        <w:rPr>
          <w:rFonts w:ascii="Times New Roman" w:eastAsia="方正仿宋_GBK" w:hAnsi="Times New Roman" w:hint="default"/>
          <w:sz w:val="32"/>
          <w:szCs w:val="32"/>
        </w:rPr>
        <w:t>“</w:t>
      </w:r>
      <w:r>
        <w:rPr>
          <w:rFonts w:ascii="Times New Roman" w:eastAsia="方正仿宋_GBK" w:hAnsi="Times New Roman" w:hint="default"/>
          <w:sz w:val="32"/>
          <w:szCs w:val="32"/>
        </w:rPr>
        <w:t>工资福利支出</w:t>
      </w:r>
      <w:r>
        <w:rPr>
          <w:rFonts w:ascii="Times New Roman" w:eastAsia="方正仿宋_GBK" w:hAnsi="Times New Roman" w:hint="default"/>
          <w:sz w:val="32"/>
          <w:szCs w:val="32"/>
        </w:rPr>
        <w:t>”</w:t>
      </w:r>
      <w:r>
        <w:rPr>
          <w:rFonts w:ascii="Times New Roman" w:eastAsia="方正仿宋_GBK" w:hAnsi="Times New Roman" w:hint="default"/>
          <w:sz w:val="32"/>
          <w:szCs w:val="32"/>
        </w:rPr>
        <w:t>和</w:t>
      </w:r>
      <w:r>
        <w:rPr>
          <w:rFonts w:ascii="Times New Roman" w:eastAsia="方正仿宋_GBK" w:hAnsi="Times New Roman" w:hint="default"/>
          <w:sz w:val="32"/>
          <w:szCs w:val="32"/>
        </w:rPr>
        <w:t>“</w:t>
      </w:r>
      <w:r>
        <w:rPr>
          <w:rFonts w:ascii="Times New Roman" w:eastAsia="方正仿宋_GBK" w:hAnsi="Times New Roman" w:hint="default"/>
          <w:sz w:val="32"/>
          <w:szCs w:val="32"/>
        </w:rPr>
        <w:t>对个人和家庭的补助</w:t>
      </w:r>
      <w:r>
        <w:rPr>
          <w:rFonts w:ascii="Times New Roman" w:eastAsia="方正仿宋_GBK" w:hAnsi="Times New Roman" w:hint="default"/>
          <w:sz w:val="32"/>
          <w:szCs w:val="32"/>
        </w:rPr>
        <w:t>”</w:t>
      </w:r>
      <w:r>
        <w:rPr>
          <w:rFonts w:ascii="Times New Roman" w:eastAsia="方正仿宋_GBK" w:hAnsi="Times New Roman" w:hint="default"/>
          <w:sz w:val="32"/>
          <w:szCs w:val="32"/>
        </w:rPr>
        <w:t>；公用经费指政府收支分类经济科目中除</w:t>
      </w:r>
      <w:r>
        <w:rPr>
          <w:rFonts w:ascii="Times New Roman" w:eastAsia="方正仿宋_GBK" w:hAnsi="Times New Roman" w:hint="default"/>
          <w:sz w:val="32"/>
          <w:szCs w:val="32"/>
        </w:rPr>
        <w:t>“</w:t>
      </w:r>
      <w:r>
        <w:rPr>
          <w:rFonts w:ascii="Times New Roman" w:eastAsia="方正仿宋_GBK" w:hAnsi="Times New Roman" w:hint="default"/>
          <w:sz w:val="32"/>
          <w:szCs w:val="32"/>
        </w:rPr>
        <w:t>工资福利支出</w:t>
      </w:r>
      <w:r>
        <w:rPr>
          <w:rFonts w:ascii="Times New Roman" w:eastAsia="方正仿宋_GBK" w:hAnsi="Times New Roman" w:hint="default"/>
          <w:sz w:val="32"/>
          <w:szCs w:val="32"/>
        </w:rPr>
        <w:t>”</w:t>
      </w:r>
      <w:r>
        <w:rPr>
          <w:rFonts w:ascii="Times New Roman" w:eastAsia="方正仿宋_GBK" w:hAnsi="Times New Roman" w:hint="default"/>
          <w:sz w:val="32"/>
          <w:szCs w:val="32"/>
        </w:rPr>
        <w:t>和</w:t>
      </w:r>
      <w:r>
        <w:rPr>
          <w:rFonts w:ascii="Times New Roman" w:eastAsia="方正仿宋_GBK" w:hAnsi="Times New Roman" w:hint="default"/>
          <w:sz w:val="32"/>
          <w:szCs w:val="32"/>
        </w:rPr>
        <w:t>“</w:t>
      </w:r>
      <w:r>
        <w:rPr>
          <w:rFonts w:ascii="Times New Roman" w:eastAsia="方正仿宋_GBK" w:hAnsi="Times New Roman" w:hint="default"/>
          <w:sz w:val="32"/>
          <w:szCs w:val="32"/>
        </w:rPr>
        <w:t>对个人和家庭的补助</w:t>
      </w:r>
      <w:r>
        <w:rPr>
          <w:rFonts w:ascii="Times New Roman" w:eastAsia="方正仿宋_GBK" w:hAnsi="Times New Roman" w:hint="default"/>
          <w:sz w:val="32"/>
          <w:szCs w:val="32"/>
        </w:rPr>
        <w:t>”</w:t>
      </w:r>
      <w:r>
        <w:rPr>
          <w:rFonts w:ascii="Times New Roman" w:eastAsia="方正仿宋_GBK" w:hAnsi="Times New Roman" w:hint="default"/>
          <w:sz w:val="32"/>
          <w:szCs w:val="32"/>
        </w:rPr>
        <w:t>外的其他支出。</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楷体_GBK" w:hAnsi="Times New Roman" w:hint="default"/>
          <w:sz w:val="32"/>
          <w:szCs w:val="32"/>
        </w:rPr>
        <w:t>（五）项目支出：</w:t>
      </w:r>
      <w:r>
        <w:rPr>
          <w:rFonts w:ascii="Times New Roman" w:eastAsia="方正仿宋_GBK" w:hAnsi="Times New Roman" w:hint="default"/>
          <w:sz w:val="32"/>
          <w:szCs w:val="32"/>
        </w:rPr>
        <w:t>指在基本支出之外为完成特定行政任务和事业发展目标所发生的支出。</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楷体_GBK" w:hAnsi="Times New Roman" w:hint="default"/>
          <w:sz w:val="32"/>
          <w:szCs w:val="32"/>
        </w:rPr>
        <w:lastRenderedPageBreak/>
        <w:t>（六）</w:t>
      </w:r>
      <w:r>
        <w:rPr>
          <w:rFonts w:ascii="Times New Roman" w:eastAsia="方正楷体_GBK" w:hAnsi="Times New Roman" w:hint="default"/>
          <w:sz w:val="32"/>
          <w:szCs w:val="32"/>
        </w:rPr>
        <w:t>“</w:t>
      </w:r>
      <w:r>
        <w:rPr>
          <w:rFonts w:ascii="Times New Roman" w:eastAsia="方正楷体_GBK" w:hAnsi="Times New Roman" w:hint="default"/>
          <w:sz w:val="32"/>
          <w:szCs w:val="32"/>
        </w:rPr>
        <w:t>三公</w:t>
      </w:r>
      <w:r>
        <w:rPr>
          <w:rFonts w:ascii="Times New Roman" w:eastAsia="方正楷体_GBK" w:hAnsi="Times New Roman" w:hint="default"/>
          <w:sz w:val="32"/>
          <w:szCs w:val="32"/>
        </w:rPr>
        <w:t>”</w:t>
      </w:r>
      <w:r>
        <w:rPr>
          <w:rFonts w:ascii="Times New Roman" w:eastAsia="方正楷体_GBK" w:hAnsi="Times New Roman" w:hint="default"/>
          <w:sz w:val="32"/>
          <w:szCs w:val="32"/>
        </w:rPr>
        <w:t>经费：</w:t>
      </w:r>
      <w:r>
        <w:rPr>
          <w:rFonts w:ascii="Times New Roman" w:eastAsia="方正仿宋_GBK" w:hAnsi="Times New Roman" w:hint="default"/>
          <w:sz w:val="32"/>
          <w:szCs w:val="32"/>
        </w:rPr>
        <w:t>指用一般公共预算财政拨款安排的因公出国（境）费、公务用车购置及运行维护费、公务接待费。其中，因公出国（境）费反映单位公务出国（境）的国际旅费、国外城市间交通费、住宿费、伙食费、培训</w:t>
      </w:r>
      <w:r>
        <w:rPr>
          <w:rFonts w:ascii="Times New Roman" w:eastAsia="方正仿宋_GBK" w:hAnsi="Times New Roman" w:hint="default"/>
          <w:sz w:val="32"/>
          <w:szCs w:val="32"/>
        </w:rPr>
        <w:t>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楷体_GBK" w:hAnsi="Times New Roman" w:hint="default"/>
          <w:sz w:val="32"/>
          <w:szCs w:val="32"/>
        </w:rPr>
        <w:t>（七）机关运行经费：</w:t>
      </w:r>
      <w:r>
        <w:rPr>
          <w:rFonts w:ascii="Times New Roman" w:eastAsia="方正仿宋_GBK" w:hAnsi="Times New Roman" w:hint="default"/>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w:t>
      </w:r>
      <w:r>
        <w:rPr>
          <w:rFonts w:ascii="Times New Roman" w:eastAsia="方正仿宋_GBK" w:hAnsi="Times New Roman" w:hint="default"/>
          <w:sz w:val="32"/>
          <w:szCs w:val="32"/>
        </w:rPr>
        <w:t>费用。</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楷体_GBK" w:hAnsi="Times New Roman" w:hint="default"/>
          <w:sz w:val="32"/>
          <w:szCs w:val="32"/>
        </w:rPr>
        <w:t>（八）工资福利支出（支出经济分类科目类级）：</w:t>
      </w:r>
      <w:r>
        <w:rPr>
          <w:rFonts w:ascii="Times New Roman" w:eastAsia="方正仿宋_GBK" w:hAnsi="Times New Roman" w:hint="default"/>
          <w:sz w:val="32"/>
          <w:szCs w:val="32"/>
        </w:rPr>
        <w:t>反映单位开支的在职职工和编制外长期聘用人员的各类劳动报酬，以及为上述人员缴纳的各项社会保险费等。</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楷体_GBK" w:hAnsi="Times New Roman" w:hint="default"/>
          <w:sz w:val="32"/>
          <w:szCs w:val="32"/>
        </w:rPr>
        <w:t>（九）商品和服务支出（支出经济分类科目类级）：</w:t>
      </w:r>
      <w:r>
        <w:rPr>
          <w:rFonts w:ascii="Times New Roman" w:eastAsia="方正仿宋_GBK" w:hAnsi="Times New Roman" w:hint="default"/>
          <w:sz w:val="32"/>
          <w:szCs w:val="32"/>
        </w:rPr>
        <w:t>反映单位购买商品和服务的支出（不包括用于购置固定资产的支出、战略性和应急储备支出）。</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楷体_GBK" w:hAnsi="Times New Roman" w:hint="default"/>
          <w:sz w:val="32"/>
          <w:szCs w:val="32"/>
        </w:rPr>
        <w:t>（十）对个人和家庭的补助（支出经济分类科目类级）：</w:t>
      </w:r>
      <w:r>
        <w:rPr>
          <w:rFonts w:ascii="Times New Roman" w:eastAsia="方正仿宋_GBK" w:hAnsi="Times New Roman" w:hint="default"/>
          <w:sz w:val="32"/>
          <w:szCs w:val="32"/>
        </w:rPr>
        <w:t>反映用于对个人和家庭的补助支出。</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楷体_GBK" w:hAnsi="Times New Roman" w:hint="default"/>
          <w:sz w:val="32"/>
          <w:szCs w:val="32"/>
        </w:rPr>
        <w:lastRenderedPageBreak/>
        <w:t>（十一）其他资本性支出（支出经济分类科目类级）：</w:t>
      </w:r>
      <w:r>
        <w:rPr>
          <w:rFonts w:ascii="Times New Roman" w:eastAsia="方正仿宋_GBK" w:hAnsi="Times New Roman" w:hint="default"/>
          <w:sz w:val="32"/>
          <w:szCs w:val="32"/>
        </w:rPr>
        <w:t>反映非各级发展与改革部门集中安排的用于购置固定资产、战略性和应急性储备、土地和无形资产，以及构建基础设施、大型修缮和财政支持企业更新改造所发生的支出。</w:t>
      </w:r>
    </w:p>
    <w:p w:rsidR="004F0C00" w:rsidRDefault="00BA5796">
      <w:pPr>
        <w:spacing w:line="579" w:lineRule="exact"/>
        <w:ind w:firstLineChars="200" w:firstLine="640"/>
        <w:jc w:val="both"/>
        <w:rPr>
          <w:rFonts w:ascii="Times New Roman" w:eastAsia="方正黑体_GBK" w:hAnsi="Times New Roman" w:hint="default"/>
          <w:sz w:val="32"/>
          <w:szCs w:val="32"/>
        </w:rPr>
      </w:pPr>
      <w:r>
        <w:rPr>
          <w:rFonts w:ascii="Times New Roman" w:eastAsia="方正黑体_GBK" w:hAnsi="Times New Roman" w:hint="default"/>
          <w:sz w:val="32"/>
          <w:szCs w:val="32"/>
        </w:rPr>
        <w:t>七、决算公开联系方式及信息反馈渠道</w:t>
      </w:r>
    </w:p>
    <w:p w:rsidR="004F0C00" w:rsidRDefault="00BA5796">
      <w:pPr>
        <w:spacing w:line="579"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本单位决算公开信息反馈和联系方式：</w:t>
      </w:r>
      <w:r>
        <w:rPr>
          <w:rFonts w:ascii="Times New Roman" w:eastAsia="方正仿宋_GBK" w:hAnsi="Times New Roman" w:hint="default"/>
          <w:sz w:val="32"/>
          <w:szCs w:val="32"/>
        </w:rPr>
        <w:t>023-79222688</w:t>
      </w:r>
      <w:r>
        <w:rPr>
          <w:rFonts w:ascii="Times New Roman" w:eastAsia="方正仿宋_GBK" w:hAnsi="Times New Roman" w:hint="default"/>
          <w:sz w:val="32"/>
          <w:szCs w:val="32"/>
        </w:rPr>
        <w:t>。</w:t>
      </w:r>
    </w:p>
    <w:p w:rsidR="004F0C00" w:rsidRDefault="004F0C00">
      <w:pPr>
        <w:spacing w:line="579" w:lineRule="exact"/>
        <w:rPr>
          <w:rFonts w:ascii="Times New Roman" w:eastAsia="方正仿宋_GBK" w:hAnsi="Times New Roman" w:hint="default"/>
          <w:sz w:val="32"/>
          <w:szCs w:val="32"/>
        </w:rPr>
      </w:pPr>
    </w:p>
    <w:p w:rsidR="004F0C00" w:rsidRDefault="004F0C00">
      <w:pPr>
        <w:spacing w:line="579" w:lineRule="exact"/>
        <w:rPr>
          <w:rFonts w:ascii="Times New Roman" w:eastAsia="方正仿宋_GBK" w:hAnsi="Times New Roman" w:hint="default"/>
          <w:sz w:val="32"/>
          <w:szCs w:val="32"/>
        </w:rPr>
      </w:pPr>
    </w:p>
    <w:p w:rsidR="004F0C00" w:rsidRDefault="004F0C00">
      <w:pPr>
        <w:pStyle w:val="1"/>
        <w:autoSpaceDE w:val="0"/>
        <w:ind w:firstLineChars="0" w:firstLine="0"/>
        <w:rPr>
          <w:rStyle w:val="a9"/>
          <w:rFonts w:ascii="Times New Roman" w:eastAsia="方正仿宋_GBK" w:hAnsi="Times New Roman"/>
          <w:sz w:val="32"/>
          <w:szCs w:val="32"/>
          <w:shd w:val="clear" w:color="auto" w:fill="FFFF00"/>
        </w:rPr>
        <w:sectPr w:rsidR="004F0C00">
          <w:footerReference w:type="default" r:id="rId7"/>
          <w:pgSz w:w="11915" w:h="16840"/>
          <w:pgMar w:top="2098" w:right="1474" w:bottom="1985" w:left="1588" w:header="851" w:footer="992" w:gutter="0"/>
          <w:pgNumType w:fmt="numberInDash"/>
          <w:cols w:space="720"/>
          <w:docGrid w:type="lines" w:linePitch="326"/>
        </w:sectPr>
      </w:pPr>
    </w:p>
    <w:p w:rsidR="004F0C00" w:rsidRDefault="004F0C00">
      <w:pPr>
        <w:rPr>
          <w:rFonts w:ascii="Times New Roman" w:hAnsi="Times New Roman" w:hint="default"/>
          <w:sz w:val="21"/>
          <w:szCs w:val="21"/>
        </w:rPr>
      </w:pPr>
    </w:p>
    <w:tbl>
      <w:tblPr>
        <w:tblW w:w="22292" w:type="dxa"/>
        <w:tblLayout w:type="fixed"/>
        <w:tblCellMar>
          <w:left w:w="0" w:type="dxa"/>
          <w:right w:w="0" w:type="dxa"/>
        </w:tblCellMar>
        <w:tblLook w:val="04A0" w:firstRow="1" w:lastRow="0" w:firstColumn="1" w:lastColumn="0" w:noHBand="0" w:noVBand="1"/>
      </w:tblPr>
      <w:tblGrid>
        <w:gridCol w:w="6581"/>
        <w:gridCol w:w="4358"/>
        <w:gridCol w:w="7536"/>
        <w:gridCol w:w="3817"/>
      </w:tblGrid>
      <w:tr w:rsidR="004F0C00">
        <w:trPr>
          <w:trHeight w:val="565"/>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rsidR="004F0C00" w:rsidRDefault="00BA5796">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t>收入支出决算总表</w:t>
            </w:r>
          </w:p>
        </w:tc>
      </w:tr>
      <w:tr w:rsidR="004F0C00">
        <w:trPr>
          <w:trHeight w:val="289"/>
        </w:trPr>
        <w:tc>
          <w:tcPr>
            <w:tcW w:w="6581"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rsidR="004F0C00" w:rsidRDefault="004F0C00">
            <w:pPr>
              <w:jc w:val="right"/>
              <w:rPr>
                <w:rFonts w:ascii="Times New Roman" w:hAnsi="Times New Roman" w:hint="default"/>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01</w:t>
            </w:r>
            <w:r>
              <w:rPr>
                <w:rFonts w:ascii="Times New Roman" w:hAnsi="Times New Roman" w:hint="default"/>
                <w:color w:val="000000"/>
                <w:lang w:bidi="ar"/>
              </w:rPr>
              <w:t>表</w:t>
            </w:r>
          </w:p>
        </w:tc>
      </w:tr>
      <w:tr w:rsidR="004F0C00">
        <w:trPr>
          <w:trHeight w:val="289"/>
        </w:trPr>
        <w:tc>
          <w:tcPr>
            <w:tcW w:w="6581" w:type="dxa"/>
            <w:tcBorders>
              <w:top w:val="nil"/>
              <w:left w:val="nil"/>
              <w:bottom w:val="nil"/>
              <w:right w:val="nil"/>
            </w:tcBorders>
            <w:shd w:val="clear" w:color="auto" w:fill="auto"/>
            <w:noWrap/>
            <w:tcMar>
              <w:top w:w="15" w:type="dxa"/>
              <w:left w:w="15" w:type="dxa"/>
              <w:right w:w="15" w:type="dxa"/>
            </w:tcMar>
            <w:vAlign w:val="bottom"/>
          </w:tcPr>
          <w:p w:rsidR="004F0C00" w:rsidRDefault="00BA5796">
            <w:pPr>
              <w:textAlignment w:val="bottom"/>
              <w:rPr>
                <w:rFonts w:ascii="Times New Roman" w:hAnsi="Times New Roman" w:hint="default"/>
                <w:color w:val="000000"/>
              </w:rPr>
            </w:pPr>
            <w:r>
              <w:rPr>
                <w:rFonts w:ascii="Times New Roman" w:hAnsi="Times New Roman" w:hint="default"/>
              </w:rPr>
              <w:t>公开单位：黔江区商务综合行政执法支队</w:t>
            </w:r>
          </w:p>
        </w:tc>
        <w:tc>
          <w:tcPr>
            <w:tcW w:w="4358" w:type="dxa"/>
            <w:tcBorders>
              <w:top w:val="nil"/>
              <w:left w:val="nil"/>
              <w:bottom w:val="nil"/>
              <w:right w:val="nil"/>
            </w:tcBorders>
            <w:shd w:val="clear" w:color="auto" w:fill="auto"/>
            <w:noWrap/>
            <w:tcMar>
              <w:top w:w="15" w:type="dxa"/>
              <w:left w:w="15" w:type="dxa"/>
              <w:right w:w="15" w:type="dxa"/>
            </w:tcMar>
            <w:vAlign w:val="bottom"/>
          </w:tcPr>
          <w:p w:rsidR="004F0C00" w:rsidRDefault="004F0C00">
            <w:pPr>
              <w:jc w:val="right"/>
              <w:rPr>
                <w:rFonts w:ascii="Times New Roman" w:hAnsi="Times New Roman" w:hint="default"/>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F0C00">
        <w:trPr>
          <w:trHeight w:val="298"/>
        </w:trPr>
        <w:tc>
          <w:tcPr>
            <w:tcW w:w="10939"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收入</w:t>
            </w:r>
          </w:p>
        </w:tc>
        <w:tc>
          <w:tcPr>
            <w:tcW w:w="11353" w:type="dxa"/>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支出</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435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决算数</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rPr>
              <w:t>功能分类科目</w:t>
            </w:r>
          </w:p>
        </w:tc>
        <w:tc>
          <w:tcPr>
            <w:tcW w:w="381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决算数</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一、一般公共预算财政拨款收入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120.68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一、一般公共服务支出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84.02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二、政府性基金预算财政拨款收入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二、外交支出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三、国有资本经营预算财政拨款收入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三、国防支出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四、上级补助收入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四、公共安全支出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五、事业收入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五、教育支出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六、经营收入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六、科学技术支出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七、附属单位上缴收入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七、文化旅游体育与传媒支出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八、其他收入</w:t>
            </w:r>
          </w:p>
        </w:tc>
        <w:tc>
          <w:tcPr>
            <w:tcW w:w="4358" w:type="dxa"/>
            <w:tcBorders>
              <w:top w:val="nil"/>
              <w:left w:val="nil"/>
              <w:bottom w:val="nil"/>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八、社会保障和就业支出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22.50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jc w:val="right"/>
              <w:rPr>
                <w:rFonts w:ascii="Times New Roman" w:hAnsi="Times New Roman" w:hint="default"/>
                <w:color w:val="000000"/>
                <w:sz w:val="20"/>
                <w:szCs w:val="20"/>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九、卫生健康支出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6.86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jc w:val="right"/>
              <w:rPr>
                <w:rFonts w:ascii="Times New Roman" w:hAnsi="Times New Roman" w:hint="default"/>
                <w:color w:val="000000"/>
                <w:sz w:val="20"/>
                <w:szCs w:val="20"/>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十、节能环保支出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jc w:val="right"/>
              <w:rPr>
                <w:rFonts w:ascii="Times New Roman" w:hAnsi="Times New Roman" w:hint="default"/>
                <w:color w:val="000000"/>
                <w:sz w:val="20"/>
                <w:szCs w:val="20"/>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十一、城乡社区支出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jc w:val="right"/>
              <w:rPr>
                <w:rFonts w:ascii="Times New Roman" w:hAnsi="Times New Roman" w:hint="default"/>
                <w:color w:val="000000"/>
                <w:sz w:val="20"/>
                <w:szCs w:val="20"/>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十二、农林水支出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十三、交通运输支出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十四、资源勘探工业信息等支出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十五、商业服务业等支出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十六、金融支出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十七、援助其他地区支出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十八、自然资源海洋气象等支出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十九、住房保障支出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7.31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二十、粮油物资储备支出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二十一、国有资本经营预算支出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二十二、灾害防治及应急管理支出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二十三、其他支出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二十四、债务还本支出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二十五、债务付息支出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二十六、抗疫特别国债安排的支出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本年收入合计</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120.68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本年支出合计</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120.68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使用非财政拨款结余和专用结余</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结余分配</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年初结转和结余</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年末结转和结余</w:t>
            </w:r>
          </w:p>
        </w:tc>
        <w:tc>
          <w:tcPr>
            <w:tcW w:w="3817"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07"/>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总计</w:t>
            </w: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120.68 </w:t>
            </w:r>
          </w:p>
        </w:tc>
        <w:tc>
          <w:tcPr>
            <w:tcW w:w="7536" w:type="dxa"/>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总计</w:t>
            </w:r>
          </w:p>
        </w:tc>
        <w:tc>
          <w:tcPr>
            <w:tcW w:w="38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1"/>
                <w:szCs w:val="21"/>
                <w:lang w:bidi="ar"/>
              </w:rPr>
              <w:t xml:space="preserve">120.68 </w:t>
            </w:r>
          </w:p>
        </w:tc>
      </w:tr>
    </w:tbl>
    <w:p w:rsidR="004F0C00" w:rsidRDefault="00BA5796">
      <w:pPr>
        <w:rPr>
          <w:rFonts w:ascii="Times New Roman" w:hAnsi="Times New Roman" w:hint="default"/>
          <w:sz w:val="21"/>
          <w:szCs w:val="21"/>
          <w:lang w:bidi="ar"/>
        </w:rPr>
      </w:pPr>
      <w:r>
        <w:rPr>
          <w:rFonts w:ascii="Times New Roman" w:hAnsi="Times New Roman" w:hint="default"/>
          <w:sz w:val="21"/>
          <w:szCs w:val="21"/>
          <w:lang w:bidi="ar"/>
        </w:rPr>
        <w:t>备注：</w:t>
      </w:r>
      <w:r>
        <w:rPr>
          <w:rFonts w:ascii="Times New Roman" w:hAnsi="Times New Roman" w:hint="default"/>
          <w:sz w:val="21"/>
          <w:szCs w:val="21"/>
          <w:lang w:bidi="ar"/>
        </w:rPr>
        <w:t>1.</w:t>
      </w:r>
      <w:r>
        <w:rPr>
          <w:rFonts w:ascii="Times New Roman" w:hAnsi="Times New Roman" w:hint="default"/>
          <w:sz w:val="21"/>
          <w:szCs w:val="21"/>
          <w:lang w:bidi="ar"/>
        </w:rPr>
        <w:t>本表反映单位本年度的总收支和年末结转结余情况。</w:t>
      </w:r>
      <w:r>
        <w:rPr>
          <w:rFonts w:ascii="Times New Roman" w:hAnsi="Times New Roman" w:hint="default"/>
          <w:sz w:val="21"/>
          <w:szCs w:val="21"/>
          <w:lang w:bidi="ar"/>
        </w:rPr>
        <w:br/>
      </w:r>
      <w:r>
        <w:rPr>
          <w:rFonts w:ascii="Times New Roman" w:hAnsi="Times New Roman" w:hint="default"/>
          <w:sz w:val="21"/>
          <w:szCs w:val="21"/>
          <w:lang w:bidi="ar"/>
        </w:rPr>
        <w:t xml:space="preserve">      2.</w:t>
      </w:r>
      <w:r>
        <w:rPr>
          <w:rFonts w:ascii="Times New Roman" w:hAnsi="Times New Roman" w:hint="default"/>
          <w:sz w:val="21"/>
          <w:szCs w:val="21"/>
          <w:lang w:bidi="ar"/>
        </w:rPr>
        <w:t>本套报表金额单位转换时可能存在尾数误差。</w:t>
      </w:r>
      <w:r>
        <w:rPr>
          <w:rFonts w:ascii="Times New Roman" w:hAnsi="Times New Roman" w:hint="default"/>
          <w:sz w:val="21"/>
          <w:szCs w:val="21"/>
          <w:lang w:bidi="ar"/>
        </w:rPr>
        <w:br/>
      </w:r>
      <w:r>
        <w:rPr>
          <w:rFonts w:ascii="Times New Roman" w:hAnsi="Times New Roman" w:hint="default"/>
          <w:sz w:val="21"/>
          <w:szCs w:val="21"/>
        </w:rPr>
        <w:br/>
      </w:r>
    </w:p>
    <w:p w:rsidR="004F0C00" w:rsidRDefault="00BA5796">
      <w:pPr>
        <w:rPr>
          <w:rFonts w:ascii="Times New Roman" w:hAnsi="Times New Roman" w:hint="default"/>
          <w:sz w:val="21"/>
          <w:szCs w:val="21"/>
          <w:lang w:bidi="ar"/>
        </w:rPr>
      </w:pPr>
      <w:r>
        <w:rPr>
          <w:rFonts w:ascii="Times New Roman" w:hAnsi="Times New Roman" w:hint="default"/>
          <w:sz w:val="21"/>
          <w:szCs w:val="21"/>
          <w:lang w:bidi="ar"/>
        </w:rPr>
        <w:br w:type="page"/>
      </w:r>
    </w:p>
    <w:p w:rsidR="004F0C00" w:rsidRDefault="004F0C00">
      <w:pPr>
        <w:rPr>
          <w:rFonts w:ascii="Times New Roman" w:hAnsi="Times New Roman" w:hint="default"/>
          <w:sz w:val="21"/>
          <w:szCs w:val="21"/>
          <w:lang w:bidi="ar"/>
        </w:rPr>
      </w:pPr>
    </w:p>
    <w:tbl>
      <w:tblPr>
        <w:tblW w:w="22220" w:type="dxa"/>
        <w:tblLayout w:type="fixed"/>
        <w:tblCellMar>
          <w:left w:w="0" w:type="dxa"/>
          <w:right w:w="0" w:type="dxa"/>
        </w:tblCellMar>
        <w:tblLook w:val="04A0" w:firstRow="1" w:lastRow="0" w:firstColumn="1" w:lastColumn="0" w:noHBand="0" w:noVBand="1"/>
      </w:tblPr>
      <w:tblGrid>
        <w:gridCol w:w="1941"/>
        <w:gridCol w:w="3317"/>
        <w:gridCol w:w="2412"/>
        <w:gridCol w:w="2399"/>
        <w:gridCol w:w="1963"/>
        <w:gridCol w:w="1963"/>
        <w:gridCol w:w="1963"/>
        <w:gridCol w:w="1963"/>
        <w:gridCol w:w="1963"/>
        <w:gridCol w:w="2336"/>
      </w:tblGrid>
      <w:tr w:rsidR="004F0C00">
        <w:trPr>
          <w:trHeight w:val="641"/>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rsidR="004F0C00" w:rsidRDefault="00BA5796">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t>收入决算表</w:t>
            </w:r>
          </w:p>
        </w:tc>
      </w:tr>
      <w:tr w:rsidR="004F0C00">
        <w:trPr>
          <w:trHeight w:val="328"/>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rsidR="004F0C00" w:rsidRDefault="00BA5796">
            <w:pPr>
              <w:rPr>
                <w:rFonts w:ascii="Times New Roman" w:hAnsi="Times New Roman" w:hint="default"/>
                <w:color w:val="000000"/>
                <w:sz w:val="22"/>
                <w:szCs w:val="22"/>
              </w:rPr>
            </w:pPr>
            <w:r>
              <w:rPr>
                <w:rFonts w:ascii="Times New Roman" w:hAnsi="Times New Roman" w:hint="default"/>
              </w:rPr>
              <w:t>公开单位：黔江区商务综合行政执法支队</w:t>
            </w:r>
          </w:p>
        </w:tc>
        <w:tc>
          <w:tcPr>
            <w:tcW w:w="2412"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02</w:t>
            </w:r>
            <w:r>
              <w:rPr>
                <w:rFonts w:ascii="Times New Roman" w:hAnsi="Times New Roman" w:hint="default"/>
                <w:color w:val="000000"/>
                <w:lang w:bidi="ar"/>
              </w:rPr>
              <w:t>表</w:t>
            </w:r>
          </w:p>
        </w:tc>
      </w:tr>
      <w:tr w:rsidR="004F0C00">
        <w:trPr>
          <w:trHeight w:val="328"/>
        </w:trPr>
        <w:tc>
          <w:tcPr>
            <w:tcW w:w="5258" w:type="dxa"/>
            <w:gridSpan w:val="2"/>
            <w:vMerge/>
            <w:tcBorders>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F0C00">
        <w:trPr>
          <w:trHeight w:val="431"/>
        </w:trPr>
        <w:tc>
          <w:tcPr>
            <w:tcW w:w="5258" w:type="dxa"/>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rsidR="004F0C00" w:rsidRDefault="00BA5796">
            <w:pPr>
              <w:jc w:val="center"/>
              <w:textAlignment w:val="bottom"/>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本年收入合计</w:t>
            </w:r>
          </w:p>
        </w:tc>
        <w:tc>
          <w:tcPr>
            <w:tcW w:w="239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财政拨款收入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上级补助收入</w:t>
            </w:r>
          </w:p>
        </w:tc>
        <w:tc>
          <w:tcPr>
            <w:tcW w:w="3926"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F0C00" w:rsidRDefault="00BA5796">
            <w:pPr>
              <w:jc w:val="center"/>
              <w:textAlignment w:val="bottom"/>
              <w:rPr>
                <w:rFonts w:ascii="Times New Roman" w:hAnsi="Times New Roman" w:hint="default"/>
                <w:b/>
                <w:color w:val="000000"/>
                <w:sz w:val="22"/>
                <w:szCs w:val="22"/>
              </w:rPr>
            </w:pPr>
            <w:r>
              <w:rPr>
                <w:rFonts w:ascii="Times New Roman" w:hAnsi="Times New Roman" w:hint="default"/>
                <w:b/>
                <w:color w:val="000000"/>
                <w:sz w:val="22"/>
                <w:szCs w:val="22"/>
                <w:lang w:bidi="ar"/>
              </w:rPr>
              <w:t>事业收入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经营收入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附属单位上缴收入</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其他收入</w:t>
            </w:r>
          </w:p>
        </w:tc>
      </w:tr>
      <w:tr w:rsidR="004F0C00">
        <w:trPr>
          <w:trHeight w:val="334"/>
        </w:trPr>
        <w:tc>
          <w:tcPr>
            <w:tcW w:w="1941"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功能分类科目编码</w:t>
            </w:r>
          </w:p>
        </w:tc>
        <w:tc>
          <w:tcPr>
            <w:tcW w:w="3317" w:type="dxa"/>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项</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小计</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其中：教育收费</w:t>
            </w: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34"/>
        </w:trPr>
        <w:tc>
          <w:tcPr>
            <w:tcW w:w="1941"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3317"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34"/>
        </w:trPr>
        <w:tc>
          <w:tcPr>
            <w:tcW w:w="1941"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3317"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34"/>
        </w:trPr>
        <w:tc>
          <w:tcPr>
            <w:tcW w:w="1941"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3317"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38"/>
        </w:trPr>
        <w:tc>
          <w:tcPr>
            <w:tcW w:w="5258"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24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120.68 </w:t>
            </w:r>
          </w:p>
        </w:tc>
        <w:tc>
          <w:tcPr>
            <w:tcW w:w="23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120.68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一般公共服务支出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84.02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84.02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20113</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商贸事务</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84.02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84.02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2011350</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事业运行</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84.02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84.02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社会保障和就业支出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22.50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22.50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20805</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行政事业单位养老支出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22.50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22.50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2080505</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机关事业单位基本养老保险缴费支出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11.91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11.91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2080506</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机关事业单位职业年金缴费支出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5.99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5.99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2080599</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其他行政事业单位养老支出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4.60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4.60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210</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卫生健康支出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6.86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6.86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21011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行政事业单位医疗</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6.86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6.86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2101102</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事业单位医疗</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4.62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4.62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2101199</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其他行政事业单位医疗支出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2.24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2.24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221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住房保障支出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7.31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7.31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22102</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住房改革支出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7.31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7.31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2210201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住房公积金</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7.31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7.31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bl>
    <w:p w:rsidR="004F0C00" w:rsidRDefault="00BA5796">
      <w:pPr>
        <w:ind w:left="630" w:hangingChars="300" w:hanging="630"/>
        <w:rPr>
          <w:rFonts w:ascii="Times New Roman" w:hAnsi="Times New Roman" w:hint="default"/>
          <w:sz w:val="21"/>
          <w:szCs w:val="21"/>
          <w:lang w:bidi="ar"/>
        </w:rPr>
      </w:pPr>
      <w:r>
        <w:rPr>
          <w:rFonts w:ascii="Times New Roman" w:hAnsi="Times New Roman" w:hint="default"/>
          <w:sz w:val="21"/>
          <w:szCs w:val="21"/>
          <w:lang w:bidi="ar"/>
        </w:rPr>
        <w:t>备注：</w:t>
      </w:r>
      <w:r>
        <w:rPr>
          <w:rFonts w:ascii="Times New Roman" w:hAnsi="Times New Roman" w:hint="default"/>
          <w:sz w:val="21"/>
          <w:szCs w:val="21"/>
          <w:lang w:bidi="ar"/>
        </w:rPr>
        <w:t>1.</w:t>
      </w:r>
      <w:r>
        <w:rPr>
          <w:rFonts w:ascii="Times New Roman" w:hAnsi="Times New Roman" w:hint="default"/>
          <w:sz w:val="21"/>
          <w:szCs w:val="21"/>
          <w:lang w:bidi="ar"/>
        </w:rPr>
        <w:t>本表反映单位本年度取得的各项收入情况。</w:t>
      </w:r>
      <w:r>
        <w:rPr>
          <w:rFonts w:ascii="Times New Roman" w:hAnsi="Times New Roman" w:hint="default"/>
          <w:sz w:val="21"/>
          <w:szCs w:val="21"/>
          <w:lang w:bidi="ar"/>
        </w:rPr>
        <w:br/>
        <w:t>2.</w:t>
      </w:r>
      <w:r>
        <w:rPr>
          <w:rFonts w:ascii="Times New Roman" w:hAnsi="Times New Roman" w:hint="default"/>
          <w:sz w:val="21"/>
          <w:szCs w:val="21"/>
          <w:lang w:bidi="ar"/>
        </w:rPr>
        <w:t>本套报表金额单位转换时可能存在尾数误差。</w:t>
      </w:r>
      <w:r>
        <w:rPr>
          <w:rFonts w:ascii="Times New Roman" w:hAnsi="Times New Roman" w:hint="default"/>
          <w:sz w:val="21"/>
          <w:szCs w:val="21"/>
          <w:lang w:bidi="ar"/>
        </w:rPr>
        <w:br/>
      </w:r>
      <w:r>
        <w:rPr>
          <w:rFonts w:ascii="Times New Roman" w:hAnsi="Times New Roman" w:hint="default"/>
          <w:sz w:val="21"/>
          <w:szCs w:val="21"/>
          <w:lang w:bidi="ar"/>
        </w:rPr>
        <w:br/>
      </w:r>
    </w:p>
    <w:p w:rsidR="004F0C00" w:rsidRDefault="00BA5796">
      <w:pPr>
        <w:rPr>
          <w:rFonts w:ascii="Times New Roman" w:hAnsi="Times New Roman" w:hint="default"/>
          <w:sz w:val="21"/>
          <w:szCs w:val="21"/>
          <w:lang w:bidi="ar"/>
        </w:rPr>
      </w:pPr>
      <w:r>
        <w:rPr>
          <w:rFonts w:ascii="Times New Roman" w:hAnsi="Times New Roman" w:hint="default"/>
          <w:sz w:val="21"/>
          <w:szCs w:val="21"/>
          <w:lang w:bidi="ar"/>
        </w:rPr>
        <w:br w:type="page"/>
      </w:r>
    </w:p>
    <w:p w:rsidR="004F0C00" w:rsidRDefault="004F0C00">
      <w:pPr>
        <w:ind w:left="630" w:hangingChars="300" w:hanging="630"/>
        <w:rPr>
          <w:rFonts w:ascii="Times New Roman" w:hAnsi="Times New Roman" w:hint="default"/>
          <w:sz w:val="21"/>
          <w:szCs w:val="21"/>
          <w:lang w:bidi="ar"/>
        </w:rPr>
      </w:pPr>
    </w:p>
    <w:tbl>
      <w:tblPr>
        <w:tblW w:w="22180" w:type="dxa"/>
        <w:tblLayout w:type="fixed"/>
        <w:tblCellMar>
          <w:left w:w="0" w:type="dxa"/>
          <w:right w:w="0" w:type="dxa"/>
        </w:tblCellMar>
        <w:tblLook w:val="04A0" w:firstRow="1" w:lastRow="0" w:firstColumn="1" w:lastColumn="0" w:noHBand="0" w:noVBand="1"/>
      </w:tblPr>
      <w:tblGrid>
        <w:gridCol w:w="2082"/>
        <w:gridCol w:w="3528"/>
        <w:gridCol w:w="2760"/>
        <w:gridCol w:w="2760"/>
        <w:gridCol w:w="2760"/>
        <w:gridCol w:w="2760"/>
        <w:gridCol w:w="2760"/>
        <w:gridCol w:w="2770"/>
      </w:tblGrid>
      <w:tr w:rsidR="004F0C00">
        <w:trPr>
          <w:trHeight w:val="654"/>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rsidR="004F0C00" w:rsidRDefault="00BA5796">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t>支出决算表</w:t>
            </w:r>
          </w:p>
        </w:tc>
      </w:tr>
      <w:tr w:rsidR="004F0C00">
        <w:trPr>
          <w:trHeight w:val="342"/>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rsidR="004F0C00" w:rsidRDefault="00BA5796">
            <w:pPr>
              <w:rPr>
                <w:rFonts w:ascii="Times New Roman" w:hAnsi="Times New Roman" w:hint="default"/>
                <w:color w:val="000000"/>
                <w:sz w:val="20"/>
                <w:szCs w:val="20"/>
              </w:rPr>
            </w:pPr>
            <w:r>
              <w:rPr>
                <w:rFonts w:ascii="Times New Roman" w:eastAsiaTheme="minorEastAsia" w:hAnsi="Times New Roman" w:hint="default"/>
              </w:rPr>
              <w:t>公开单位</w:t>
            </w:r>
            <w:r>
              <w:rPr>
                <w:rFonts w:ascii="Times New Roman" w:eastAsiaTheme="minorEastAsia" w:hAnsi="Times New Roman" w:hint="default"/>
                <w:color w:val="000000"/>
                <w:lang w:bidi="ar"/>
              </w:rPr>
              <w:t>：</w:t>
            </w:r>
            <w:r>
              <w:rPr>
                <w:rFonts w:ascii="Times New Roman" w:eastAsiaTheme="minorEastAsia" w:hAnsi="Times New Roman" w:hint="default"/>
                <w:color w:val="000000"/>
                <w:lang w:bidi="ar"/>
              </w:rPr>
              <w:t xml:space="preserve"> </w:t>
            </w:r>
            <w:r>
              <w:rPr>
                <w:rFonts w:ascii="Times New Roman" w:hAnsi="Times New Roman" w:hint="default"/>
                <w:color w:val="000000"/>
              </w:rPr>
              <w:t>黔江区商务综合行政执法支队</w:t>
            </w:r>
            <w:r>
              <w:rPr>
                <w:rFonts w:ascii="Times New Roman" w:hAnsi="Times New Roman" w:hint="default"/>
                <w:color w:val="000000"/>
              </w:rPr>
              <w:t xml:space="preserve"> </w:t>
            </w:r>
          </w:p>
        </w:tc>
        <w:tc>
          <w:tcPr>
            <w:tcW w:w="2760"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03</w:t>
            </w:r>
            <w:r>
              <w:rPr>
                <w:rFonts w:ascii="Times New Roman" w:hAnsi="Times New Roman" w:hint="default"/>
                <w:color w:val="000000"/>
                <w:lang w:bidi="ar"/>
              </w:rPr>
              <w:t>表</w:t>
            </w:r>
          </w:p>
        </w:tc>
      </w:tr>
      <w:tr w:rsidR="004F0C00">
        <w:trPr>
          <w:trHeight w:val="342"/>
        </w:trPr>
        <w:tc>
          <w:tcPr>
            <w:tcW w:w="5610" w:type="dxa"/>
            <w:gridSpan w:val="2"/>
            <w:vMerge/>
            <w:tcBorders>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F0C00">
        <w:trPr>
          <w:trHeight w:val="362"/>
        </w:trPr>
        <w:tc>
          <w:tcPr>
            <w:tcW w:w="5610"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F0C00" w:rsidRDefault="00BA5796">
            <w:pPr>
              <w:jc w:val="center"/>
              <w:textAlignment w:val="bottom"/>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本年支出合计</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基本支出</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项目支出</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上缴上级支出</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经营支出</w:t>
            </w:r>
          </w:p>
        </w:tc>
        <w:tc>
          <w:tcPr>
            <w:tcW w:w="277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对附属单位补助支出</w:t>
            </w:r>
          </w:p>
        </w:tc>
      </w:tr>
      <w:tr w:rsidR="004F0C00">
        <w:trPr>
          <w:trHeight w:val="338"/>
        </w:trPr>
        <w:tc>
          <w:tcPr>
            <w:tcW w:w="2082"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功能分类科目编码</w:t>
            </w:r>
          </w:p>
        </w:tc>
        <w:tc>
          <w:tcPr>
            <w:tcW w:w="3528" w:type="dxa"/>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项</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38"/>
        </w:trPr>
        <w:tc>
          <w:tcPr>
            <w:tcW w:w="2082"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3528"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38"/>
        </w:trPr>
        <w:tc>
          <w:tcPr>
            <w:tcW w:w="2082"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3528"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38"/>
        </w:trPr>
        <w:tc>
          <w:tcPr>
            <w:tcW w:w="2082"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3528"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62"/>
        </w:trPr>
        <w:tc>
          <w:tcPr>
            <w:tcW w:w="5610"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120.68 </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120.68 </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一般公共服务支出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84.02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84.02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20113</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商贸事务</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84.02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84.02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2011350</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事业运行</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84.02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84.02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社会保障和就业支出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22.50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22.50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20805</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行政事业单位养老支出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22.50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22.50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2080505</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机关事业单位基本养老保险缴费支出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11.91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11.91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2080506</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机关事业单位职业年金缴费支出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5.99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5.99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2080599</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其他行政事业单位养老支出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4.60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4.60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210</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卫生健康支出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6.86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6.86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21011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行政事业单位医疗</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6.86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6.86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2101102</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事业单位医疗</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4.62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4.62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2101199</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其他行政事业单位医疗支出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2.24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2.24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221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住房保障支出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7.31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7.31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22102</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住房改革支出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7.31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7.31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F0C00">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2210201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住房公积金</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7.31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7.31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bl>
    <w:p w:rsidR="004F0C00" w:rsidRDefault="00BA5796">
      <w:pPr>
        <w:rPr>
          <w:rFonts w:ascii="Times New Roman" w:hAnsi="Times New Roman" w:hint="default"/>
          <w:sz w:val="21"/>
          <w:szCs w:val="21"/>
        </w:rPr>
      </w:pPr>
      <w:r>
        <w:rPr>
          <w:rFonts w:ascii="Times New Roman" w:hAnsi="Times New Roman" w:hint="default"/>
          <w:sz w:val="21"/>
          <w:szCs w:val="21"/>
          <w:lang w:bidi="ar"/>
        </w:rPr>
        <w:t>备注：</w:t>
      </w:r>
      <w:r>
        <w:rPr>
          <w:rFonts w:ascii="Times New Roman" w:hAnsi="Times New Roman" w:hint="default"/>
          <w:sz w:val="21"/>
          <w:szCs w:val="21"/>
          <w:lang w:bidi="ar"/>
        </w:rPr>
        <w:t>1.</w:t>
      </w:r>
      <w:r>
        <w:rPr>
          <w:rFonts w:ascii="Times New Roman" w:hAnsi="Times New Roman" w:hint="default"/>
          <w:sz w:val="21"/>
          <w:szCs w:val="21"/>
          <w:lang w:bidi="ar"/>
        </w:rPr>
        <w:t>本表反映单位本年度取得的各项收入情况。</w:t>
      </w:r>
      <w:r>
        <w:rPr>
          <w:rFonts w:ascii="Times New Roman" w:hAnsi="Times New Roman" w:hint="default"/>
          <w:sz w:val="21"/>
          <w:szCs w:val="21"/>
          <w:lang w:bidi="ar"/>
        </w:rPr>
        <w:br/>
        <w:t xml:space="preserve">      2.</w:t>
      </w:r>
      <w:r>
        <w:rPr>
          <w:rFonts w:ascii="Times New Roman" w:hAnsi="Times New Roman" w:hint="default"/>
          <w:sz w:val="21"/>
          <w:szCs w:val="21"/>
          <w:lang w:bidi="ar"/>
        </w:rPr>
        <w:t>本套报表金额单位转换时可能存在尾数误差。</w:t>
      </w:r>
      <w:r>
        <w:rPr>
          <w:rFonts w:ascii="Times New Roman" w:hAnsi="Times New Roman" w:hint="default"/>
          <w:sz w:val="21"/>
          <w:szCs w:val="21"/>
          <w:lang w:bidi="ar"/>
        </w:rPr>
        <w:br/>
      </w:r>
      <w:r>
        <w:rPr>
          <w:rFonts w:ascii="Times New Roman" w:hAnsi="Times New Roman" w:hint="default"/>
          <w:sz w:val="21"/>
          <w:szCs w:val="21"/>
        </w:rPr>
        <w:br/>
      </w:r>
    </w:p>
    <w:p w:rsidR="004F0C00" w:rsidRDefault="00BA5796">
      <w:pPr>
        <w:rPr>
          <w:rFonts w:ascii="Times New Roman" w:hAnsi="Times New Roman" w:hint="default"/>
          <w:sz w:val="21"/>
          <w:szCs w:val="21"/>
          <w:lang w:bidi="ar"/>
        </w:rPr>
      </w:pPr>
      <w:r>
        <w:rPr>
          <w:rFonts w:ascii="Times New Roman" w:hAnsi="Times New Roman" w:hint="default"/>
          <w:sz w:val="21"/>
          <w:szCs w:val="21"/>
          <w:lang w:bidi="ar"/>
        </w:rPr>
        <w:br w:type="page"/>
      </w:r>
    </w:p>
    <w:p w:rsidR="004F0C00" w:rsidRDefault="004F0C00">
      <w:pPr>
        <w:rPr>
          <w:rFonts w:ascii="Times New Roman" w:hAnsi="Times New Roman" w:hint="default"/>
          <w:sz w:val="21"/>
          <w:szCs w:val="21"/>
          <w:lang w:bidi="ar"/>
        </w:rPr>
      </w:pPr>
    </w:p>
    <w:tbl>
      <w:tblPr>
        <w:tblW w:w="22360" w:type="dxa"/>
        <w:tblLayout w:type="fixed"/>
        <w:tblCellMar>
          <w:left w:w="0" w:type="dxa"/>
          <w:right w:w="0" w:type="dxa"/>
        </w:tblCellMar>
        <w:tblLook w:val="04A0" w:firstRow="1" w:lastRow="0" w:firstColumn="1" w:lastColumn="0" w:noHBand="0" w:noVBand="1"/>
      </w:tblPr>
      <w:tblGrid>
        <w:gridCol w:w="4068"/>
        <w:gridCol w:w="2674"/>
        <w:gridCol w:w="3752"/>
        <w:gridCol w:w="2952"/>
        <w:gridCol w:w="2952"/>
        <w:gridCol w:w="2952"/>
        <w:gridCol w:w="3010"/>
      </w:tblGrid>
      <w:tr w:rsidR="004F0C00">
        <w:trPr>
          <w:trHeight w:val="90"/>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rsidR="004F0C00" w:rsidRDefault="00BA5796">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t>财政拨款收入支出决算总表</w:t>
            </w:r>
          </w:p>
        </w:tc>
      </w:tr>
      <w:tr w:rsidR="004F0C00">
        <w:trPr>
          <w:trHeight w:val="90"/>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rsidR="004F0C00" w:rsidRDefault="00BA5796">
            <w:pPr>
              <w:rPr>
                <w:rFonts w:ascii="Times New Roman" w:hAnsi="Times New Roman" w:hint="default"/>
                <w:color w:val="000000"/>
                <w:sz w:val="22"/>
                <w:szCs w:val="22"/>
              </w:rPr>
            </w:pPr>
            <w:r>
              <w:rPr>
                <w:rFonts w:ascii="Times New Roman" w:eastAsiaTheme="minorEastAsia" w:hAnsi="Times New Roman" w:hint="default"/>
              </w:rPr>
              <w:t>公开单位</w:t>
            </w:r>
            <w:r>
              <w:rPr>
                <w:rFonts w:ascii="Times New Roman" w:eastAsiaTheme="minorEastAsia" w:hAnsi="Times New Roman" w:hint="default"/>
                <w:color w:val="000000"/>
                <w:lang w:bidi="ar"/>
              </w:rPr>
              <w:t>：</w:t>
            </w:r>
            <w:r>
              <w:rPr>
                <w:rFonts w:ascii="Times New Roman" w:eastAsiaTheme="minorEastAsia" w:hAnsi="Times New Roman" w:hint="default"/>
                <w:color w:val="000000"/>
                <w:lang w:bidi="ar"/>
              </w:rPr>
              <w:t xml:space="preserve"> </w:t>
            </w:r>
            <w:r>
              <w:rPr>
                <w:rFonts w:ascii="Times New Roman" w:hAnsi="Times New Roman" w:hint="default"/>
                <w:color w:val="000000"/>
              </w:rPr>
              <w:t>黔江区商务综合行政执法支队</w:t>
            </w:r>
          </w:p>
        </w:tc>
        <w:tc>
          <w:tcPr>
            <w:tcW w:w="3752"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04</w:t>
            </w:r>
            <w:r>
              <w:rPr>
                <w:rFonts w:ascii="Times New Roman" w:hAnsi="Times New Roman" w:hint="default"/>
                <w:color w:val="000000"/>
                <w:lang w:bidi="ar"/>
              </w:rPr>
              <w:t>表</w:t>
            </w:r>
          </w:p>
        </w:tc>
      </w:tr>
      <w:tr w:rsidR="004F0C00">
        <w:trPr>
          <w:trHeight w:val="90"/>
        </w:trPr>
        <w:tc>
          <w:tcPr>
            <w:tcW w:w="6742" w:type="dxa"/>
            <w:gridSpan w:val="2"/>
            <w:vMerge/>
            <w:tcBorders>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F0C00">
        <w:trPr>
          <w:trHeight w:val="90"/>
        </w:trPr>
        <w:tc>
          <w:tcPr>
            <w:tcW w:w="6742"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收</w:t>
            </w:r>
            <w:r>
              <w:rPr>
                <w:rFonts w:ascii="Times New Roman" w:hAnsi="Times New Roman" w:hint="default"/>
                <w:b/>
                <w:color w:val="000000"/>
                <w:sz w:val="22"/>
                <w:szCs w:val="22"/>
                <w:lang w:bidi="ar"/>
              </w:rPr>
              <w:t xml:space="preserve">     </w:t>
            </w:r>
            <w:r>
              <w:rPr>
                <w:rFonts w:ascii="Times New Roman" w:hAnsi="Times New Roman" w:hint="default"/>
                <w:b/>
                <w:color w:val="000000"/>
                <w:sz w:val="22"/>
                <w:szCs w:val="22"/>
                <w:lang w:bidi="ar"/>
              </w:rPr>
              <w:t>入</w:t>
            </w:r>
          </w:p>
        </w:tc>
        <w:tc>
          <w:tcPr>
            <w:tcW w:w="15618" w:type="dxa"/>
            <w:gridSpan w:val="5"/>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支</w:t>
            </w:r>
            <w:r>
              <w:rPr>
                <w:rFonts w:ascii="Times New Roman" w:hAnsi="Times New Roman" w:hint="default"/>
                <w:b/>
                <w:color w:val="000000"/>
                <w:sz w:val="22"/>
                <w:szCs w:val="22"/>
                <w:lang w:bidi="ar"/>
              </w:rPr>
              <w:t xml:space="preserve">     </w:t>
            </w:r>
            <w:r>
              <w:rPr>
                <w:rFonts w:ascii="Times New Roman" w:hAnsi="Times New Roman" w:hint="default"/>
                <w:b/>
                <w:color w:val="000000"/>
                <w:sz w:val="22"/>
                <w:szCs w:val="22"/>
                <w:lang w:bidi="ar"/>
              </w:rPr>
              <w:t>出</w:t>
            </w:r>
          </w:p>
        </w:tc>
      </w:tr>
      <w:tr w:rsidR="004F0C00">
        <w:trPr>
          <w:trHeight w:val="90"/>
        </w:trPr>
        <w:tc>
          <w:tcPr>
            <w:tcW w:w="4068"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267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决算数</w:t>
            </w:r>
          </w:p>
        </w:tc>
        <w:tc>
          <w:tcPr>
            <w:tcW w:w="375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功能分类科目</w:t>
            </w:r>
          </w:p>
        </w:tc>
        <w:tc>
          <w:tcPr>
            <w:tcW w:w="11866" w:type="dxa"/>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决算数</w:t>
            </w:r>
          </w:p>
        </w:tc>
      </w:tr>
      <w:tr w:rsidR="004F0C00">
        <w:trPr>
          <w:trHeight w:val="90"/>
        </w:trPr>
        <w:tc>
          <w:tcPr>
            <w:tcW w:w="406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67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375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9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小计</w:t>
            </w:r>
          </w:p>
        </w:tc>
        <w:tc>
          <w:tcPr>
            <w:tcW w:w="29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一般公共预算财政拨款</w:t>
            </w:r>
          </w:p>
        </w:tc>
        <w:tc>
          <w:tcPr>
            <w:tcW w:w="29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政府性基金预算财政拨款</w:t>
            </w:r>
          </w:p>
        </w:tc>
        <w:tc>
          <w:tcPr>
            <w:tcW w:w="301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国有资本经营预算财政拨款</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一、一般公共预算财政拨款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120.68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一、一般公共服务支出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84.02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84.02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二、政府性基金预算财政拨款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二、外交支出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三、国有资本经营预算财政拨款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三、国防支出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四、公共安全支出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五、教育支出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六、科学技术支出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七、文化旅游体育与传媒支出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八、社会保障和就业支出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22.50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22.50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九、卫生健康支出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6.86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6.86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十、节能环保支出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十一、城乡社区支出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十二、农林水支出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十三、交通运输支出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十四、资源勘探工业信息等支出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十五、商业服务业等支出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十六、金融支出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十七、援助其他地区支出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十八、自然资源海洋气象等支出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十九、住房保障支出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7.31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7.31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二十、粮油物资储备支出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二十一、国有资本经营预算支出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二十二、灾害防治及应急管理支出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二十三、其他支出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二十四、债务还本支出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二十五、债务付息支出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二十六、抗疫特别国债安排的支出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本年收入合计</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120.68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本年支出合计</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120.68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120.68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年初财政拨款结转和结余</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年末财政拨款结转和结余</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一般公共预算财政拨款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政府性基金预算财政拨款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0"/>
                <w:szCs w:val="20"/>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国有资本经营预算财政拨款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0"/>
                <w:szCs w:val="20"/>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r>
      <w:tr w:rsidR="004F0C00">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总计</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120.68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总计</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1"/>
                <w:szCs w:val="21"/>
                <w:lang w:bidi="ar"/>
              </w:rPr>
              <w:t xml:space="preserve">120.68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1"/>
                <w:szCs w:val="21"/>
                <w:lang w:bidi="ar"/>
              </w:rPr>
              <w:t xml:space="preserve">120.68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bl>
    <w:p w:rsidR="004F0C00" w:rsidRDefault="00BA5796">
      <w:pPr>
        <w:rPr>
          <w:rFonts w:ascii="Times New Roman" w:hAnsi="Times New Roman" w:hint="default"/>
          <w:sz w:val="21"/>
          <w:szCs w:val="21"/>
        </w:rPr>
      </w:pPr>
      <w:r>
        <w:rPr>
          <w:rFonts w:ascii="Times New Roman" w:hAnsi="Times New Roman" w:hint="default"/>
          <w:sz w:val="21"/>
          <w:szCs w:val="21"/>
          <w:lang w:bidi="ar"/>
        </w:rPr>
        <w:t>备注：</w:t>
      </w:r>
      <w:r>
        <w:rPr>
          <w:rFonts w:ascii="Times New Roman" w:hAnsi="Times New Roman" w:hint="default"/>
          <w:sz w:val="21"/>
          <w:szCs w:val="21"/>
          <w:lang w:bidi="ar"/>
        </w:rPr>
        <w:t>1.</w:t>
      </w:r>
      <w:r>
        <w:rPr>
          <w:rFonts w:ascii="Times New Roman" w:hAnsi="Times New Roman" w:hint="default"/>
          <w:sz w:val="21"/>
          <w:szCs w:val="21"/>
          <w:lang w:bidi="ar"/>
        </w:rPr>
        <w:t>本表反映单位本年度一般公共预算财政拨款、政府性基金预算财政拨款及国有资本经营预算财政拨款的总收支和年末结转结余情况。</w:t>
      </w:r>
      <w:r>
        <w:rPr>
          <w:rFonts w:ascii="Times New Roman" w:hAnsi="Times New Roman" w:hint="default"/>
          <w:sz w:val="21"/>
          <w:szCs w:val="21"/>
          <w:lang w:bidi="ar"/>
        </w:rPr>
        <w:br/>
      </w:r>
      <w:r>
        <w:rPr>
          <w:rFonts w:ascii="Times New Roman" w:hAnsi="Times New Roman" w:hint="default"/>
          <w:sz w:val="21"/>
          <w:szCs w:val="21"/>
          <w:lang w:bidi="ar"/>
        </w:rPr>
        <w:t xml:space="preserve">      2.</w:t>
      </w:r>
      <w:r>
        <w:rPr>
          <w:rFonts w:ascii="Times New Roman" w:hAnsi="Times New Roman" w:hint="default"/>
          <w:sz w:val="21"/>
          <w:szCs w:val="21"/>
          <w:lang w:bidi="ar"/>
        </w:rPr>
        <w:t>本套报表金额单位转换时可能存在尾数误差。</w:t>
      </w:r>
      <w:r>
        <w:rPr>
          <w:rFonts w:ascii="Times New Roman" w:hAnsi="Times New Roman" w:hint="default"/>
          <w:sz w:val="21"/>
          <w:szCs w:val="21"/>
          <w:lang w:bidi="ar"/>
        </w:rPr>
        <w:br/>
      </w:r>
      <w:r>
        <w:rPr>
          <w:rFonts w:ascii="Times New Roman" w:hAnsi="Times New Roman" w:hint="default"/>
          <w:sz w:val="21"/>
          <w:szCs w:val="21"/>
        </w:rPr>
        <w:br/>
      </w:r>
    </w:p>
    <w:p w:rsidR="004F0C00" w:rsidRDefault="00BA5796">
      <w:pPr>
        <w:rPr>
          <w:rFonts w:ascii="Times New Roman" w:hAnsi="Times New Roman" w:hint="default"/>
          <w:sz w:val="21"/>
          <w:szCs w:val="21"/>
        </w:rPr>
      </w:pPr>
      <w:r>
        <w:rPr>
          <w:rFonts w:ascii="Times New Roman" w:hAnsi="Times New Roman" w:hint="default"/>
          <w:sz w:val="21"/>
          <w:szCs w:val="21"/>
        </w:rPr>
        <w:br w:type="page"/>
      </w:r>
    </w:p>
    <w:tbl>
      <w:tblPr>
        <w:tblW w:w="22300" w:type="dxa"/>
        <w:tblLayout w:type="fixed"/>
        <w:tblCellMar>
          <w:left w:w="0" w:type="dxa"/>
          <w:right w:w="0" w:type="dxa"/>
        </w:tblCellMar>
        <w:tblLook w:val="04A0" w:firstRow="1" w:lastRow="0" w:firstColumn="1" w:lastColumn="0" w:noHBand="0" w:noVBand="1"/>
      </w:tblPr>
      <w:tblGrid>
        <w:gridCol w:w="2694"/>
        <w:gridCol w:w="5151"/>
        <w:gridCol w:w="4817"/>
        <w:gridCol w:w="4817"/>
        <w:gridCol w:w="4821"/>
      </w:tblGrid>
      <w:tr w:rsidR="004F0C00">
        <w:trPr>
          <w:trHeight w:val="510"/>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rsidR="004F0C00" w:rsidRDefault="00BA5796">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lastRenderedPageBreak/>
              <w:t>一般公共预算财政拨款支出决算表</w:t>
            </w:r>
          </w:p>
        </w:tc>
      </w:tr>
      <w:tr w:rsidR="004F0C00">
        <w:trPr>
          <w:trHeight w:val="255"/>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rsidR="004F0C00" w:rsidRDefault="00BA5796">
            <w:pPr>
              <w:rPr>
                <w:rFonts w:ascii="Times New Roman" w:hAnsi="Times New Roman" w:hint="default"/>
                <w:color w:val="000000"/>
                <w:sz w:val="20"/>
                <w:szCs w:val="20"/>
              </w:rPr>
            </w:pPr>
            <w:r>
              <w:rPr>
                <w:rFonts w:ascii="Times New Roman" w:eastAsiaTheme="minorEastAsia" w:hAnsi="Times New Roman" w:hint="default"/>
              </w:rPr>
              <w:t>公开单位</w:t>
            </w:r>
            <w:r>
              <w:rPr>
                <w:rFonts w:ascii="Times New Roman" w:eastAsiaTheme="minorEastAsia" w:hAnsi="Times New Roman" w:hint="default"/>
                <w:color w:val="000000"/>
                <w:lang w:bidi="ar"/>
              </w:rPr>
              <w:t>：</w:t>
            </w:r>
            <w:r>
              <w:rPr>
                <w:rFonts w:ascii="Times New Roman" w:eastAsiaTheme="minorEastAsia" w:hAnsi="Times New Roman" w:hint="default"/>
                <w:color w:val="000000"/>
                <w:lang w:bidi="ar"/>
              </w:rPr>
              <w:t xml:space="preserve"> </w:t>
            </w:r>
            <w:r>
              <w:rPr>
                <w:rFonts w:ascii="Times New Roman" w:hAnsi="Times New Roman" w:hint="default"/>
                <w:color w:val="000000"/>
              </w:rPr>
              <w:t>黔江区商务综合行政执法支队</w:t>
            </w:r>
          </w:p>
        </w:tc>
        <w:tc>
          <w:tcPr>
            <w:tcW w:w="4817"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05</w:t>
            </w:r>
            <w:r>
              <w:rPr>
                <w:rFonts w:ascii="Times New Roman" w:hAnsi="Times New Roman" w:hint="default"/>
                <w:color w:val="000000"/>
                <w:lang w:bidi="ar"/>
              </w:rPr>
              <w:t>表</w:t>
            </w:r>
          </w:p>
        </w:tc>
      </w:tr>
      <w:tr w:rsidR="004F0C00">
        <w:trPr>
          <w:trHeight w:val="285"/>
        </w:trPr>
        <w:tc>
          <w:tcPr>
            <w:tcW w:w="7845" w:type="dxa"/>
            <w:gridSpan w:val="2"/>
            <w:vMerge/>
            <w:tcBorders>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F0C00">
        <w:trPr>
          <w:trHeight w:val="308"/>
        </w:trPr>
        <w:tc>
          <w:tcPr>
            <w:tcW w:w="7845"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14455"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本年支出</w:t>
            </w:r>
          </w:p>
        </w:tc>
      </w:tr>
      <w:tr w:rsidR="004F0C00">
        <w:trPr>
          <w:trHeight w:val="312"/>
        </w:trPr>
        <w:tc>
          <w:tcPr>
            <w:tcW w:w="2694"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功能分类科目编码</w:t>
            </w:r>
          </w:p>
        </w:tc>
        <w:tc>
          <w:tcPr>
            <w:tcW w:w="515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项</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481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481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基本支出</w:t>
            </w:r>
          </w:p>
        </w:tc>
        <w:tc>
          <w:tcPr>
            <w:tcW w:w="482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项目支出</w:t>
            </w:r>
          </w:p>
        </w:tc>
      </w:tr>
      <w:tr w:rsidR="004F0C00">
        <w:trPr>
          <w:trHeight w:val="312"/>
        </w:trPr>
        <w:tc>
          <w:tcPr>
            <w:tcW w:w="2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515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82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615"/>
        </w:trPr>
        <w:tc>
          <w:tcPr>
            <w:tcW w:w="2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515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82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08"/>
        </w:trPr>
        <w:tc>
          <w:tcPr>
            <w:tcW w:w="7845"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120.68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120.68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一般公共服务支出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84.02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84.02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20113</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商贸事务</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84.02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84.02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2011350</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事业运行</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84.02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84.02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社会保障和就业支出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22.50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22.50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20805</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行政事业单位养老支出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22.50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22.50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2080505</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机关事业单位基本养老保险缴费支出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11.91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11.91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2080506</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机关事业单位职业年金缴费支出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5.99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5.99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2080599</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其他行政事业单位养老支出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4.60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4.60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210</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卫生健康支出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6.86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6.86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21011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行政事业单位医疗</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6.86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6.86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2101102</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事业单位医疗</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4.62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4.62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2101199</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其他行政事业单位医疗支出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2.24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2.24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221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住房保障支出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7.31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7.31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22102</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住房改革支出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7.31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7.31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F0C00">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2210201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住房公积金</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7.31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7.31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bl>
    <w:p w:rsidR="004F0C00" w:rsidRDefault="00BA5796">
      <w:pPr>
        <w:rPr>
          <w:rFonts w:ascii="Times New Roman" w:hAnsi="Times New Roman" w:hint="default"/>
          <w:sz w:val="21"/>
          <w:szCs w:val="21"/>
        </w:rPr>
      </w:pPr>
      <w:r>
        <w:rPr>
          <w:rFonts w:ascii="Times New Roman" w:hAnsi="Times New Roman" w:hint="default"/>
          <w:sz w:val="21"/>
          <w:szCs w:val="21"/>
          <w:lang w:bidi="ar"/>
        </w:rPr>
        <w:t>备注：</w:t>
      </w:r>
      <w:r>
        <w:rPr>
          <w:rFonts w:ascii="Times New Roman" w:hAnsi="Times New Roman" w:hint="default"/>
          <w:sz w:val="21"/>
          <w:szCs w:val="21"/>
          <w:lang w:bidi="ar"/>
        </w:rPr>
        <w:t>1.</w:t>
      </w:r>
      <w:r>
        <w:rPr>
          <w:rFonts w:ascii="Times New Roman" w:hAnsi="Times New Roman" w:hint="default"/>
          <w:sz w:val="21"/>
          <w:szCs w:val="21"/>
          <w:lang w:bidi="ar"/>
        </w:rPr>
        <w:t>本表反映单位本年度一般公共预算财政拨款支出情况。</w:t>
      </w:r>
      <w:r>
        <w:rPr>
          <w:rFonts w:ascii="Times New Roman" w:hAnsi="Times New Roman" w:hint="default"/>
          <w:sz w:val="21"/>
          <w:szCs w:val="21"/>
          <w:lang w:bidi="ar"/>
        </w:rPr>
        <w:br/>
        <w:t xml:space="preserve">      2.</w:t>
      </w:r>
      <w:r>
        <w:rPr>
          <w:rFonts w:ascii="Times New Roman" w:hAnsi="Times New Roman" w:hint="default"/>
          <w:sz w:val="21"/>
          <w:szCs w:val="21"/>
          <w:lang w:bidi="ar"/>
        </w:rPr>
        <w:t>本套报表金额单位转换时可能存在尾数误差。</w:t>
      </w:r>
      <w:r>
        <w:rPr>
          <w:rFonts w:ascii="Times New Roman" w:hAnsi="Times New Roman" w:hint="default"/>
          <w:sz w:val="21"/>
          <w:szCs w:val="21"/>
          <w:lang w:bidi="ar"/>
        </w:rPr>
        <w:br/>
      </w:r>
      <w:r>
        <w:rPr>
          <w:rFonts w:ascii="Times New Roman" w:hAnsi="Times New Roman" w:hint="default"/>
          <w:sz w:val="21"/>
          <w:szCs w:val="21"/>
        </w:rPr>
        <w:br/>
      </w:r>
    </w:p>
    <w:p w:rsidR="004F0C00" w:rsidRDefault="00BA5796">
      <w:pPr>
        <w:ind w:firstLineChars="300" w:firstLine="630"/>
        <w:rPr>
          <w:rFonts w:ascii="Times New Roman" w:hAnsi="Times New Roman" w:hint="default"/>
          <w:sz w:val="21"/>
          <w:szCs w:val="21"/>
        </w:rPr>
      </w:pPr>
      <w:r>
        <w:rPr>
          <w:rFonts w:ascii="Times New Roman" w:hAnsi="Times New Roman" w:hint="default"/>
          <w:sz w:val="21"/>
          <w:szCs w:val="21"/>
        </w:rPr>
        <w:br w:type="page"/>
      </w:r>
    </w:p>
    <w:tbl>
      <w:tblPr>
        <w:tblW w:w="22280" w:type="dxa"/>
        <w:tblLayout w:type="fixed"/>
        <w:tblCellMar>
          <w:left w:w="0" w:type="dxa"/>
          <w:right w:w="0" w:type="dxa"/>
        </w:tblCellMar>
        <w:tblLook w:val="04A0" w:firstRow="1" w:lastRow="0" w:firstColumn="1" w:lastColumn="0" w:noHBand="0" w:noVBand="1"/>
      </w:tblPr>
      <w:tblGrid>
        <w:gridCol w:w="1289"/>
        <w:gridCol w:w="3495"/>
        <w:gridCol w:w="2829"/>
        <w:gridCol w:w="1122"/>
        <w:gridCol w:w="2330"/>
        <w:gridCol w:w="2747"/>
        <w:gridCol w:w="1509"/>
        <w:gridCol w:w="4465"/>
        <w:gridCol w:w="2494"/>
      </w:tblGrid>
      <w:tr w:rsidR="004F0C00">
        <w:trPr>
          <w:trHeight w:val="590"/>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rsidR="004F0C00" w:rsidRDefault="00BA5796">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lastRenderedPageBreak/>
              <w:t>一般公共预算财政拨款基本支出决算表</w:t>
            </w:r>
          </w:p>
        </w:tc>
      </w:tr>
      <w:tr w:rsidR="004F0C00">
        <w:trPr>
          <w:trHeight w:val="302"/>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rsidR="004F0C00" w:rsidRDefault="00BA5796">
            <w:pPr>
              <w:rPr>
                <w:rFonts w:ascii="Times New Roman" w:hAnsi="Times New Roman" w:hint="default"/>
                <w:color w:val="000000"/>
                <w:sz w:val="22"/>
                <w:szCs w:val="22"/>
              </w:rPr>
            </w:pPr>
            <w:r>
              <w:rPr>
                <w:rFonts w:ascii="Times New Roman" w:eastAsiaTheme="minorEastAsia" w:hAnsi="Times New Roman" w:hint="default"/>
              </w:rPr>
              <w:t>公开单位</w:t>
            </w:r>
            <w:r>
              <w:rPr>
                <w:rFonts w:ascii="Times New Roman" w:eastAsiaTheme="minorEastAsia" w:hAnsi="Times New Roman" w:hint="default"/>
                <w:color w:val="000000"/>
                <w:lang w:bidi="ar"/>
              </w:rPr>
              <w:t>：</w:t>
            </w:r>
            <w:r>
              <w:rPr>
                <w:rFonts w:ascii="Times New Roman" w:eastAsiaTheme="minorEastAsia" w:hAnsi="Times New Roman" w:hint="default"/>
                <w:color w:val="000000"/>
                <w:lang w:bidi="ar"/>
              </w:rPr>
              <w:t xml:space="preserve"> </w:t>
            </w:r>
            <w:r>
              <w:rPr>
                <w:rFonts w:ascii="Times New Roman" w:hAnsi="Times New Roman" w:hint="default"/>
                <w:color w:val="000000"/>
              </w:rPr>
              <w:t>黔江区商务综合行政执法支队</w:t>
            </w:r>
          </w:p>
        </w:tc>
        <w:tc>
          <w:tcPr>
            <w:tcW w:w="2829"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06</w:t>
            </w:r>
            <w:r>
              <w:rPr>
                <w:rFonts w:ascii="Times New Roman" w:hAnsi="Times New Roman" w:hint="default"/>
                <w:color w:val="000000"/>
                <w:lang w:bidi="ar"/>
              </w:rPr>
              <w:t>表</w:t>
            </w:r>
          </w:p>
        </w:tc>
      </w:tr>
      <w:tr w:rsidR="004F0C00">
        <w:trPr>
          <w:trHeight w:val="302"/>
        </w:trPr>
        <w:tc>
          <w:tcPr>
            <w:tcW w:w="4784" w:type="dxa"/>
            <w:gridSpan w:val="2"/>
            <w:vMerge/>
            <w:tcBorders>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F0C00">
        <w:trPr>
          <w:trHeight w:val="311"/>
        </w:trPr>
        <w:tc>
          <w:tcPr>
            <w:tcW w:w="7613" w:type="dxa"/>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人员经费</w:t>
            </w:r>
          </w:p>
        </w:tc>
        <w:tc>
          <w:tcPr>
            <w:tcW w:w="14667" w:type="dxa"/>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公用经费</w:t>
            </w:r>
          </w:p>
        </w:tc>
      </w:tr>
      <w:tr w:rsidR="004F0C00">
        <w:trPr>
          <w:trHeight w:val="312"/>
        </w:trPr>
        <w:tc>
          <w:tcPr>
            <w:tcW w:w="1289"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经济分类科目编码</w:t>
            </w:r>
          </w:p>
        </w:tc>
        <w:tc>
          <w:tcPr>
            <w:tcW w:w="3495"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经济分类科目（按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款</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282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金额</w:t>
            </w:r>
          </w:p>
        </w:tc>
        <w:tc>
          <w:tcPr>
            <w:tcW w:w="1122"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经济分类科目编码</w:t>
            </w:r>
          </w:p>
        </w:tc>
        <w:tc>
          <w:tcPr>
            <w:tcW w:w="233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经济分类科目（按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款</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274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金额</w:t>
            </w:r>
          </w:p>
        </w:tc>
        <w:tc>
          <w:tcPr>
            <w:tcW w:w="1509"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经济分类科目编码</w:t>
            </w:r>
          </w:p>
        </w:tc>
        <w:tc>
          <w:tcPr>
            <w:tcW w:w="4465"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经济分类科目（按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款</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2494"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金额</w:t>
            </w:r>
          </w:p>
        </w:tc>
      </w:tr>
      <w:tr w:rsidR="004F0C00">
        <w:trPr>
          <w:trHeight w:val="799"/>
        </w:trPr>
        <w:tc>
          <w:tcPr>
            <w:tcW w:w="128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349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82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12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33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74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150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46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9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工资福利支出</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104.11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商品和服务支出</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11.41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资本性支出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基本工资</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25.41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办公费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2.57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房屋建筑物购建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30102</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津贴补贴</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2.52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印刷费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办公设备购置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奖金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30203</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咨询费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31003</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专用设备购置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30106</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伙食补助费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5.88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手续费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31005</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基础设施建设</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30107</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绩效工资</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38.66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30205</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水费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31006</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大型修缮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33"/>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30108</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机关事业单位基本养老保险缴费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11.91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30206</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电费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31007</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信息网络及软件购置更新</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职业年金缴费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5.99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邮电费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1.48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31008</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物资储备</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64"/>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30110</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职工基本医疗保险缴费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4.62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30208</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取暖费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土地补偿</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30111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公务员医疗补助缴费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物业管理费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31010</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安置补助</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33"/>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30112</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其他社会保障缴费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0.14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差旅费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31011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地上附着物和青苗补偿</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30113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住房公积金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7.31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因公出国（境）费用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31012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拆迁补偿</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30114</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医疗费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1.68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30213</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维修（护）费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31013</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公务用车购置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30199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其他工资福利支出</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租赁费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31019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其他交通工具购置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对个人和家庭的补助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5.16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30215</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会议费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31021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文物和陈列品购置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离休费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30216</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培训费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0.91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31022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无形资产购置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30302</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退休费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公务接待费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其他资本性支出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退职（役）费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30218</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专用材料费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对企业补助</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30304</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抚恤金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30224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被装购置费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31201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资本金注入</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30305</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生活补助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4.60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30225</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专用燃料费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31203</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政府投资基金股权投资</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30306</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救济费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30226</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劳务费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31204</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费用补贴</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30307</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医疗费补助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0.56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30227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委托业务费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31205</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利息补贴</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30308</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助学金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30228</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工会经费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5.23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31299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其他对企业补助</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奖励金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30229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福利费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1.22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其他支出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30310</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个人农业生产补贴</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30231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公务用车运行维护费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39907</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国家赔偿费用支出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30311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代缴社会保险费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30239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其他交通费用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39908</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对民间非营利组织和群众性自治组织补贴</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30399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其他对个人和家庭的补助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30240</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税金及附加费用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39909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经常性赠与</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30299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其他商品和服务支出</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39910</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资本性赠与</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债务利息及费用支出</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39999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30701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国内债务付息</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30702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国外债务付息</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30703</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国内债务发行费用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r>
      <w:tr w:rsidR="004F0C00">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30704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国外债务发行费用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4F0C00">
            <w:pPr>
              <w:rPr>
                <w:rFonts w:ascii="Times New Roman" w:hAnsi="Times New Roman" w:hint="default"/>
                <w:color w:val="000000"/>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color w:val="000000"/>
                <w:sz w:val="22"/>
                <w:szCs w:val="22"/>
              </w:rPr>
            </w:pPr>
          </w:p>
        </w:tc>
      </w:tr>
      <w:tr w:rsidR="004F0C00">
        <w:trPr>
          <w:trHeight w:val="321"/>
        </w:trPr>
        <w:tc>
          <w:tcPr>
            <w:tcW w:w="4784" w:type="dxa"/>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人员经费合计</w:t>
            </w:r>
          </w:p>
        </w:tc>
        <w:tc>
          <w:tcPr>
            <w:tcW w:w="28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F0C00" w:rsidRDefault="00BA5796">
            <w:pPr>
              <w:wordWrap w:val="0"/>
              <w:jc w:val="right"/>
              <w:textAlignment w:val="bottom"/>
              <w:rPr>
                <w:rFonts w:ascii="Times New Roman" w:hAnsi="Times New Roman" w:hint="default"/>
                <w:color w:val="000000"/>
                <w:sz w:val="20"/>
                <w:szCs w:val="20"/>
              </w:rPr>
            </w:pPr>
            <w:r>
              <w:rPr>
                <w:rFonts w:ascii="Times New Roman" w:hAnsi="Times New Roman" w:hint="default"/>
                <w:color w:val="000000"/>
                <w:sz w:val="21"/>
                <w:szCs w:val="21"/>
                <w:lang w:bidi="ar"/>
              </w:rPr>
              <w:t xml:space="preserve">109.27 </w:t>
            </w:r>
          </w:p>
        </w:tc>
        <w:tc>
          <w:tcPr>
            <w:tcW w:w="12173" w:type="dxa"/>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公用经费合计</w:t>
            </w:r>
          </w:p>
        </w:tc>
        <w:tc>
          <w:tcPr>
            <w:tcW w:w="2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11.41 </w:t>
            </w:r>
          </w:p>
        </w:tc>
      </w:tr>
    </w:tbl>
    <w:p w:rsidR="004F0C00" w:rsidRDefault="00BA5796">
      <w:pPr>
        <w:rPr>
          <w:rFonts w:ascii="Times New Roman" w:hAnsi="Times New Roman" w:hint="default"/>
          <w:sz w:val="21"/>
          <w:szCs w:val="21"/>
        </w:rPr>
      </w:pPr>
      <w:r>
        <w:rPr>
          <w:rFonts w:ascii="Times New Roman" w:hAnsi="Times New Roman" w:hint="default"/>
          <w:sz w:val="21"/>
          <w:szCs w:val="21"/>
          <w:lang w:bidi="ar"/>
        </w:rPr>
        <w:t>备注：</w:t>
      </w:r>
      <w:r>
        <w:rPr>
          <w:rFonts w:ascii="Times New Roman" w:hAnsi="Times New Roman" w:hint="default"/>
          <w:sz w:val="21"/>
          <w:szCs w:val="21"/>
          <w:lang w:bidi="ar"/>
        </w:rPr>
        <w:t>1.</w:t>
      </w:r>
      <w:r>
        <w:rPr>
          <w:rFonts w:ascii="Times New Roman" w:hAnsi="Times New Roman" w:hint="default"/>
          <w:sz w:val="21"/>
          <w:szCs w:val="21"/>
          <w:lang w:bidi="ar"/>
        </w:rPr>
        <w:t>本表反映单位本年度一般公共预算财政拨款基本支出明细情况。</w:t>
      </w:r>
      <w:r>
        <w:rPr>
          <w:rFonts w:ascii="Times New Roman" w:hAnsi="Times New Roman" w:hint="default"/>
          <w:sz w:val="21"/>
          <w:szCs w:val="21"/>
          <w:lang w:bidi="ar"/>
        </w:rPr>
        <w:br/>
        <w:t xml:space="preserve">      2.</w:t>
      </w:r>
      <w:r>
        <w:rPr>
          <w:rFonts w:ascii="Times New Roman" w:hAnsi="Times New Roman" w:hint="default"/>
          <w:sz w:val="21"/>
          <w:szCs w:val="21"/>
          <w:lang w:bidi="ar"/>
        </w:rPr>
        <w:t>本套报表金额单位转换时可能存在尾数误差。</w:t>
      </w:r>
      <w:r>
        <w:rPr>
          <w:rFonts w:ascii="Times New Roman" w:hAnsi="Times New Roman" w:hint="default"/>
          <w:sz w:val="21"/>
          <w:szCs w:val="21"/>
          <w:lang w:bidi="ar"/>
        </w:rPr>
        <w:br/>
      </w:r>
      <w:r>
        <w:rPr>
          <w:rFonts w:ascii="Times New Roman" w:hAnsi="Times New Roman" w:hint="default"/>
          <w:sz w:val="21"/>
          <w:szCs w:val="21"/>
        </w:rPr>
        <w:br/>
      </w:r>
    </w:p>
    <w:p w:rsidR="004F0C00" w:rsidRDefault="004F0C00">
      <w:pPr>
        <w:rPr>
          <w:rFonts w:ascii="Times New Roman" w:hAnsi="Times New Roman" w:hint="default"/>
          <w:sz w:val="21"/>
          <w:szCs w:val="21"/>
        </w:rPr>
      </w:pPr>
    </w:p>
    <w:tbl>
      <w:tblPr>
        <w:tblW w:w="22240" w:type="dxa"/>
        <w:tblLayout w:type="fixed"/>
        <w:tblCellMar>
          <w:left w:w="0" w:type="dxa"/>
          <w:right w:w="0" w:type="dxa"/>
        </w:tblCellMar>
        <w:tblLook w:val="04A0" w:firstRow="1" w:lastRow="0" w:firstColumn="1" w:lastColumn="0" w:noHBand="0" w:noVBand="1"/>
      </w:tblPr>
      <w:tblGrid>
        <w:gridCol w:w="2686"/>
        <w:gridCol w:w="4465"/>
        <w:gridCol w:w="2473"/>
        <w:gridCol w:w="2473"/>
        <w:gridCol w:w="2473"/>
        <w:gridCol w:w="2473"/>
        <w:gridCol w:w="2558"/>
        <w:gridCol w:w="2639"/>
      </w:tblGrid>
      <w:tr w:rsidR="004F0C00">
        <w:trPr>
          <w:trHeight w:val="644"/>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rsidR="004F0C00" w:rsidRDefault="00BA5796">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t>政府性基金预算财政拨款收入支出决算表</w:t>
            </w:r>
          </w:p>
        </w:tc>
      </w:tr>
      <w:tr w:rsidR="004F0C00">
        <w:trPr>
          <w:trHeight w:val="329"/>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rsidR="004F0C00" w:rsidRDefault="00BA5796">
            <w:pPr>
              <w:rPr>
                <w:rFonts w:ascii="Times New Roman" w:hAnsi="Times New Roman" w:hint="default"/>
                <w:color w:val="000000"/>
                <w:sz w:val="20"/>
                <w:szCs w:val="20"/>
              </w:rPr>
            </w:pPr>
            <w:r>
              <w:rPr>
                <w:rFonts w:ascii="Times New Roman" w:eastAsiaTheme="minorEastAsia" w:hAnsi="Times New Roman" w:hint="default"/>
              </w:rPr>
              <w:t>公开单位</w:t>
            </w:r>
            <w:r>
              <w:rPr>
                <w:rFonts w:ascii="Times New Roman" w:eastAsiaTheme="minorEastAsia" w:hAnsi="Times New Roman" w:hint="default"/>
                <w:color w:val="000000"/>
                <w:lang w:bidi="ar"/>
              </w:rPr>
              <w:t>：</w:t>
            </w:r>
            <w:r>
              <w:rPr>
                <w:rFonts w:ascii="Times New Roman" w:eastAsiaTheme="minorEastAsia" w:hAnsi="Times New Roman" w:hint="default"/>
                <w:color w:val="000000"/>
                <w:lang w:bidi="ar"/>
              </w:rPr>
              <w:t xml:space="preserve"> </w:t>
            </w:r>
            <w:r>
              <w:rPr>
                <w:rFonts w:ascii="Times New Roman" w:hAnsi="Times New Roman" w:hint="default"/>
                <w:color w:val="000000"/>
              </w:rPr>
              <w:t>黔江区商务综合行政执法支队</w:t>
            </w:r>
          </w:p>
        </w:tc>
        <w:tc>
          <w:tcPr>
            <w:tcW w:w="247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07</w:t>
            </w:r>
            <w:r>
              <w:rPr>
                <w:rFonts w:ascii="Times New Roman" w:hAnsi="Times New Roman" w:hint="default"/>
                <w:color w:val="000000"/>
                <w:lang w:bidi="ar"/>
              </w:rPr>
              <w:t>表</w:t>
            </w:r>
          </w:p>
        </w:tc>
      </w:tr>
      <w:tr w:rsidR="004F0C00">
        <w:trPr>
          <w:trHeight w:val="329"/>
        </w:trPr>
        <w:tc>
          <w:tcPr>
            <w:tcW w:w="7151" w:type="dxa"/>
            <w:gridSpan w:val="2"/>
            <w:vMerge/>
            <w:tcBorders>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F0C00">
        <w:trPr>
          <w:trHeight w:val="339"/>
        </w:trPr>
        <w:tc>
          <w:tcPr>
            <w:tcW w:w="7151"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2473"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年初结转和结余</w:t>
            </w:r>
          </w:p>
        </w:tc>
        <w:tc>
          <w:tcPr>
            <w:tcW w:w="247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本年收入</w:t>
            </w:r>
          </w:p>
        </w:tc>
        <w:tc>
          <w:tcPr>
            <w:tcW w:w="7504"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本年支出</w:t>
            </w:r>
          </w:p>
        </w:tc>
        <w:tc>
          <w:tcPr>
            <w:tcW w:w="263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年末结转和结余</w:t>
            </w:r>
          </w:p>
        </w:tc>
      </w:tr>
      <w:tr w:rsidR="004F0C00">
        <w:trPr>
          <w:trHeight w:val="335"/>
        </w:trPr>
        <w:tc>
          <w:tcPr>
            <w:tcW w:w="268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功能分类科目编码</w:t>
            </w:r>
          </w:p>
        </w:tc>
        <w:tc>
          <w:tcPr>
            <w:tcW w:w="446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项</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247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7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7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247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基本支出</w:t>
            </w:r>
          </w:p>
        </w:tc>
        <w:tc>
          <w:tcPr>
            <w:tcW w:w="2558"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项目支出</w:t>
            </w:r>
          </w:p>
        </w:tc>
        <w:tc>
          <w:tcPr>
            <w:tcW w:w="26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35"/>
        </w:trPr>
        <w:tc>
          <w:tcPr>
            <w:tcW w:w="268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46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7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7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55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6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645"/>
        </w:trPr>
        <w:tc>
          <w:tcPr>
            <w:tcW w:w="268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46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7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7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55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26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39"/>
        </w:trPr>
        <w:tc>
          <w:tcPr>
            <w:tcW w:w="7151"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r>
      <w:tr w:rsidR="004F0C00">
        <w:trPr>
          <w:trHeight w:val="349"/>
        </w:trPr>
        <w:tc>
          <w:tcPr>
            <w:tcW w:w="268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both"/>
              <w:textAlignment w:val="center"/>
              <w:rPr>
                <w:rFonts w:ascii="Times New Roman" w:hAnsi="Times New Roman" w:hint="default"/>
                <w:color w:val="000000"/>
                <w:sz w:val="22"/>
                <w:szCs w:val="22"/>
              </w:rPr>
            </w:pPr>
          </w:p>
        </w:tc>
        <w:tc>
          <w:tcPr>
            <w:tcW w:w="44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both"/>
              <w:textAlignment w:val="center"/>
              <w:rPr>
                <w:rFonts w:ascii="Times New Roman" w:hAnsi="Times New Roman" w:hint="default"/>
                <w:color w:val="000000"/>
                <w:sz w:val="22"/>
                <w:szCs w:val="22"/>
              </w:rPr>
            </w:pP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c>
          <w:tcPr>
            <w:tcW w:w="2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c>
          <w:tcPr>
            <w:tcW w:w="2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bl>
    <w:p w:rsidR="004F0C00" w:rsidRDefault="00BA5796">
      <w:pPr>
        <w:rPr>
          <w:rFonts w:ascii="Times New Roman" w:hAnsi="Times New Roman" w:hint="default"/>
          <w:sz w:val="21"/>
          <w:szCs w:val="21"/>
        </w:rPr>
      </w:pPr>
      <w:r>
        <w:rPr>
          <w:rFonts w:ascii="Times New Roman" w:hAnsi="Times New Roman" w:hint="default"/>
          <w:sz w:val="21"/>
          <w:szCs w:val="21"/>
          <w:lang w:bidi="ar"/>
        </w:rPr>
        <w:t>备注：本表反映单位本年度政府性基金预算财政拨款收入支出及结转和结余情况。本单位无政府性基金收支，故本表无数据。</w:t>
      </w:r>
      <w:r>
        <w:rPr>
          <w:rFonts w:ascii="Times New Roman" w:hAnsi="Times New Roman" w:hint="default"/>
          <w:sz w:val="21"/>
          <w:szCs w:val="21"/>
          <w:lang w:bidi="ar"/>
        </w:rPr>
        <w:br/>
      </w:r>
      <w:r>
        <w:rPr>
          <w:rFonts w:ascii="Times New Roman" w:hAnsi="Times New Roman" w:hint="default"/>
          <w:sz w:val="21"/>
          <w:szCs w:val="21"/>
        </w:rPr>
        <w:br/>
      </w:r>
    </w:p>
    <w:p w:rsidR="004F0C00" w:rsidRDefault="00BA5796">
      <w:pPr>
        <w:rPr>
          <w:rFonts w:ascii="Times New Roman" w:hAnsi="Times New Roman" w:hint="default"/>
          <w:sz w:val="21"/>
          <w:szCs w:val="21"/>
        </w:rPr>
      </w:pPr>
      <w:r>
        <w:rPr>
          <w:rFonts w:ascii="Times New Roman" w:hAnsi="Times New Roman" w:hint="default"/>
          <w:sz w:val="21"/>
          <w:szCs w:val="21"/>
        </w:rPr>
        <w:br w:type="page"/>
      </w:r>
    </w:p>
    <w:tbl>
      <w:tblPr>
        <w:tblW w:w="22220" w:type="dxa"/>
        <w:tblLayout w:type="fixed"/>
        <w:tblCellMar>
          <w:left w:w="0" w:type="dxa"/>
          <w:right w:w="0" w:type="dxa"/>
        </w:tblCellMar>
        <w:tblLook w:val="04A0" w:firstRow="1" w:lastRow="0" w:firstColumn="1" w:lastColumn="0" w:noHBand="0" w:noVBand="1"/>
      </w:tblPr>
      <w:tblGrid>
        <w:gridCol w:w="2729"/>
        <w:gridCol w:w="4420"/>
        <w:gridCol w:w="4736"/>
        <w:gridCol w:w="5423"/>
        <w:gridCol w:w="4912"/>
      </w:tblGrid>
      <w:tr w:rsidR="004F0C00">
        <w:trPr>
          <w:trHeight w:val="650"/>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rsidR="004F0C00" w:rsidRDefault="00BA5796">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lastRenderedPageBreak/>
              <w:t>国有资本经营预算财政拨款支出决算表</w:t>
            </w:r>
          </w:p>
        </w:tc>
      </w:tr>
      <w:tr w:rsidR="004F0C00">
        <w:trPr>
          <w:trHeight w:val="332"/>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rsidR="004F0C00" w:rsidRDefault="00BA5796">
            <w:pPr>
              <w:rPr>
                <w:rFonts w:ascii="Times New Roman" w:hAnsi="Times New Roman" w:hint="default"/>
                <w:color w:val="000000"/>
                <w:sz w:val="20"/>
                <w:szCs w:val="20"/>
              </w:rPr>
            </w:pPr>
            <w:r>
              <w:rPr>
                <w:rFonts w:ascii="Times New Roman" w:eastAsiaTheme="minorEastAsia" w:hAnsi="Times New Roman" w:hint="default"/>
              </w:rPr>
              <w:t>公开单位</w:t>
            </w:r>
            <w:r>
              <w:rPr>
                <w:rFonts w:ascii="Times New Roman" w:eastAsiaTheme="minorEastAsia" w:hAnsi="Times New Roman" w:hint="default"/>
                <w:color w:val="000000"/>
                <w:lang w:bidi="ar"/>
              </w:rPr>
              <w:t>：</w:t>
            </w:r>
            <w:r>
              <w:rPr>
                <w:rFonts w:ascii="Times New Roman" w:eastAsiaTheme="minorEastAsia" w:hAnsi="Times New Roman" w:hint="default"/>
                <w:color w:val="000000"/>
                <w:lang w:bidi="ar"/>
              </w:rPr>
              <w:t xml:space="preserve"> </w:t>
            </w:r>
            <w:r>
              <w:rPr>
                <w:rFonts w:ascii="Times New Roman" w:hAnsi="Times New Roman" w:hint="default"/>
                <w:color w:val="000000"/>
              </w:rPr>
              <w:t>黔江区商务综合行政执法支队</w:t>
            </w:r>
          </w:p>
        </w:tc>
        <w:tc>
          <w:tcPr>
            <w:tcW w:w="4736"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08</w:t>
            </w:r>
            <w:r>
              <w:rPr>
                <w:rFonts w:ascii="Times New Roman" w:hAnsi="Times New Roman" w:hint="default"/>
                <w:color w:val="000000"/>
                <w:lang w:bidi="ar"/>
              </w:rPr>
              <w:t>表</w:t>
            </w:r>
          </w:p>
        </w:tc>
      </w:tr>
      <w:tr w:rsidR="004F0C00">
        <w:trPr>
          <w:trHeight w:val="332"/>
        </w:trPr>
        <w:tc>
          <w:tcPr>
            <w:tcW w:w="7149" w:type="dxa"/>
            <w:gridSpan w:val="2"/>
            <w:vMerge/>
            <w:tcBorders>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rsidR="004F0C00" w:rsidRDefault="004F0C00">
            <w:pPr>
              <w:rPr>
                <w:rFonts w:ascii="Times New Roman" w:hAnsi="Times New Roman" w:hint="default"/>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rsidR="004F0C00" w:rsidRDefault="00BA5796">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F0C00">
        <w:trPr>
          <w:trHeight w:val="422"/>
        </w:trPr>
        <w:tc>
          <w:tcPr>
            <w:tcW w:w="7149"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F0C00" w:rsidRDefault="00BA5796">
            <w:pPr>
              <w:jc w:val="center"/>
              <w:textAlignment w:val="bottom"/>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15071" w:type="dxa"/>
            <w:gridSpan w:val="3"/>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F0C00" w:rsidRDefault="00BA5796">
            <w:pPr>
              <w:jc w:val="center"/>
              <w:textAlignment w:val="bottom"/>
              <w:rPr>
                <w:rFonts w:ascii="Times New Roman" w:hAnsi="Times New Roman" w:hint="default"/>
                <w:b/>
                <w:color w:val="000000"/>
                <w:sz w:val="22"/>
                <w:szCs w:val="22"/>
              </w:rPr>
            </w:pPr>
            <w:r>
              <w:rPr>
                <w:rFonts w:ascii="Times New Roman" w:hAnsi="Times New Roman" w:hint="default"/>
                <w:b/>
                <w:color w:val="000000"/>
                <w:sz w:val="22"/>
                <w:szCs w:val="22"/>
                <w:lang w:bidi="ar"/>
              </w:rPr>
              <w:t>本年支出</w:t>
            </w:r>
          </w:p>
        </w:tc>
      </w:tr>
      <w:tr w:rsidR="004F0C00">
        <w:trPr>
          <w:trHeight w:val="339"/>
        </w:trPr>
        <w:tc>
          <w:tcPr>
            <w:tcW w:w="2729"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功能分类科目编码</w:t>
            </w:r>
          </w:p>
        </w:tc>
        <w:tc>
          <w:tcPr>
            <w:tcW w:w="442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科目名称</w:t>
            </w:r>
          </w:p>
        </w:tc>
        <w:tc>
          <w:tcPr>
            <w:tcW w:w="4736"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542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基本支出</w:t>
            </w:r>
          </w:p>
        </w:tc>
        <w:tc>
          <w:tcPr>
            <w:tcW w:w="491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项目支出</w:t>
            </w:r>
          </w:p>
        </w:tc>
      </w:tr>
      <w:tr w:rsidR="004F0C00">
        <w:trPr>
          <w:trHeight w:val="339"/>
        </w:trPr>
        <w:tc>
          <w:tcPr>
            <w:tcW w:w="272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42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7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54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91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39"/>
        </w:trPr>
        <w:tc>
          <w:tcPr>
            <w:tcW w:w="272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42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7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54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91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312"/>
        </w:trPr>
        <w:tc>
          <w:tcPr>
            <w:tcW w:w="272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42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7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54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c>
          <w:tcPr>
            <w:tcW w:w="491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F0C00" w:rsidRDefault="004F0C00">
            <w:pPr>
              <w:jc w:val="center"/>
              <w:rPr>
                <w:rFonts w:ascii="Times New Roman" w:hAnsi="Times New Roman" w:hint="default"/>
                <w:b/>
                <w:color w:val="000000"/>
                <w:sz w:val="22"/>
                <w:szCs w:val="22"/>
              </w:rPr>
            </w:pPr>
          </w:p>
        </w:tc>
      </w:tr>
      <w:tr w:rsidR="004F0C00">
        <w:trPr>
          <w:trHeight w:val="611"/>
        </w:trPr>
        <w:tc>
          <w:tcPr>
            <w:tcW w:w="7149"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F0C00" w:rsidRDefault="00BA5796">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47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54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b/>
                <w:color w:val="000000"/>
                <w:sz w:val="22"/>
                <w:szCs w:val="22"/>
              </w:rPr>
            </w:pPr>
          </w:p>
        </w:tc>
        <w:tc>
          <w:tcPr>
            <w:tcW w:w="49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r>
      <w:tr w:rsidR="004F0C00">
        <w:trPr>
          <w:trHeight w:val="488"/>
        </w:trPr>
        <w:tc>
          <w:tcPr>
            <w:tcW w:w="27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textAlignment w:val="center"/>
              <w:rPr>
                <w:rFonts w:ascii="Times New Roman" w:hAnsi="Times New Roman" w:hint="default"/>
                <w:color w:val="000000"/>
                <w:sz w:val="22"/>
                <w:szCs w:val="22"/>
              </w:rPr>
            </w:pPr>
          </w:p>
        </w:tc>
        <w:tc>
          <w:tcPr>
            <w:tcW w:w="4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textAlignment w:val="center"/>
              <w:rPr>
                <w:rFonts w:ascii="Times New Roman" w:hAnsi="Times New Roman" w:hint="default"/>
                <w:color w:val="000000"/>
                <w:sz w:val="22"/>
                <w:szCs w:val="22"/>
              </w:rPr>
            </w:pPr>
          </w:p>
        </w:tc>
        <w:tc>
          <w:tcPr>
            <w:tcW w:w="47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c>
          <w:tcPr>
            <w:tcW w:w="54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4F0C00">
            <w:pPr>
              <w:jc w:val="right"/>
              <w:rPr>
                <w:rFonts w:ascii="Times New Roman" w:hAnsi="Times New Roman" w:hint="default"/>
                <w:b/>
                <w:color w:val="000000"/>
                <w:sz w:val="22"/>
                <w:szCs w:val="22"/>
              </w:rPr>
            </w:pPr>
          </w:p>
        </w:tc>
        <w:tc>
          <w:tcPr>
            <w:tcW w:w="49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F0C00" w:rsidRDefault="00BA5796">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bl>
    <w:p w:rsidR="004F0C00" w:rsidRDefault="00BA5796">
      <w:pPr>
        <w:rPr>
          <w:rFonts w:ascii="Times New Roman" w:hAnsi="Times New Roman" w:hint="default"/>
          <w:sz w:val="21"/>
          <w:szCs w:val="21"/>
          <w:lang w:bidi="ar"/>
        </w:rPr>
      </w:pPr>
      <w:r>
        <w:rPr>
          <w:rFonts w:ascii="Times New Roman" w:hAnsi="Times New Roman" w:hint="default"/>
          <w:sz w:val="21"/>
          <w:szCs w:val="21"/>
          <w:lang w:bidi="ar"/>
        </w:rPr>
        <w:t>备注：本表反映单位本年度国有资本经营预算财政拨款支出情况。本单位无国有资本经营收支，故本表无数据。</w:t>
      </w:r>
      <w:r>
        <w:rPr>
          <w:rFonts w:ascii="Times New Roman" w:hAnsi="Times New Roman" w:hint="default"/>
          <w:sz w:val="21"/>
          <w:szCs w:val="21"/>
          <w:lang w:bidi="ar"/>
        </w:rPr>
        <w:br/>
      </w:r>
      <w:r>
        <w:rPr>
          <w:rFonts w:ascii="Times New Roman" w:hAnsi="Times New Roman" w:hint="default"/>
          <w:sz w:val="21"/>
          <w:szCs w:val="21"/>
        </w:rPr>
        <w:br/>
      </w:r>
    </w:p>
    <w:p w:rsidR="004F0C00" w:rsidRDefault="00BA5796">
      <w:pPr>
        <w:rPr>
          <w:rFonts w:ascii="Times New Roman" w:hAnsi="Times New Roman" w:hint="default"/>
          <w:sz w:val="21"/>
          <w:szCs w:val="21"/>
        </w:rPr>
      </w:pPr>
      <w:r>
        <w:rPr>
          <w:rFonts w:ascii="Times New Roman" w:hAnsi="Times New Roman" w:hint="default"/>
          <w:sz w:val="21"/>
          <w:szCs w:val="21"/>
        </w:rPr>
        <w:br w:type="page"/>
      </w:r>
    </w:p>
    <w:tbl>
      <w:tblPr>
        <w:tblW w:w="22168" w:type="dxa"/>
        <w:tblLayout w:type="fixed"/>
        <w:tblCellMar>
          <w:left w:w="0" w:type="dxa"/>
          <w:right w:w="0" w:type="dxa"/>
        </w:tblCellMar>
        <w:tblLook w:val="04A0" w:firstRow="1" w:lastRow="0" w:firstColumn="1" w:lastColumn="0" w:noHBand="0" w:noVBand="1"/>
      </w:tblPr>
      <w:tblGrid>
        <w:gridCol w:w="5159"/>
        <w:gridCol w:w="3822"/>
        <w:gridCol w:w="3281"/>
        <w:gridCol w:w="6581"/>
        <w:gridCol w:w="3325"/>
      </w:tblGrid>
      <w:tr w:rsidR="00721137" w:rsidTr="005F5D08">
        <w:trPr>
          <w:trHeight w:val="510"/>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rsidR="00721137" w:rsidRDefault="00721137" w:rsidP="005F5D08">
            <w:pPr>
              <w:jc w:val="center"/>
              <w:textAlignment w:val="bottom"/>
              <w:rPr>
                <w:rFonts w:cs="宋体" w:hint="default"/>
                <w:b/>
                <w:color w:val="000000"/>
                <w:sz w:val="40"/>
                <w:szCs w:val="40"/>
              </w:rPr>
            </w:pPr>
            <w:r>
              <w:rPr>
                <w:rFonts w:cs="宋体"/>
                <w:b/>
                <w:color w:val="000000"/>
                <w:sz w:val="44"/>
                <w:szCs w:val="44"/>
                <w:lang w:bidi="ar"/>
              </w:rPr>
              <w:lastRenderedPageBreak/>
              <w:t>机构运行信息表</w:t>
            </w:r>
          </w:p>
        </w:tc>
      </w:tr>
      <w:tr w:rsidR="00721137" w:rsidTr="005F5D08">
        <w:trPr>
          <w:trHeight w:val="255"/>
        </w:trPr>
        <w:tc>
          <w:tcPr>
            <w:tcW w:w="5159" w:type="dxa"/>
            <w:tcBorders>
              <w:top w:val="nil"/>
              <w:left w:val="nil"/>
              <w:bottom w:val="nil"/>
              <w:right w:val="nil"/>
            </w:tcBorders>
            <w:shd w:val="clear" w:color="auto" w:fill="auto"/>
            <w:noWrap/>
            <w:tcMar>
              <w:top w:w="15" w:type="dxa"/>
              <w:left w:w="15" w:type="dxa"/>
              <w:right w:w="15" w:type="dxa"/>
            </w:tcMar>
            <w:vAlign w:val="bottom"/>
          </w:tcPr>
          <w:p w:rsidR="00721137" w:rsidRDefault="00721137" w:rsidP="005F5D08">
            <w:pPr>
              <w:rPr>
                <w:rFonts w:ascii="Arial" w:hAnsi="Arial" w:cs="Arial" w:hint="default"/>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rsidR="00721137" w:rsidRDefault="00721137" w:rsidP="005F5D08">
            <w:pPr>
              <w:jc w:val="center"/>
              <w:rPr>
                <w:rFonts w:ascii="Arial" w:hAnsi="Arial" w:cs="Arial" w:hint="default"/>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rsidR="00721137" w:rsidRDefault="00721137" w:rsidP="005F5D08">
            <w:pPr>
              <w:jc w:val="right"/>
              <w:rPr>
                <w:rFonts w:ascii="Arial" w:hAnsi="Arial" w:cs="Arial" w:hint="default"/>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rsidR="00721137" w:rsidRDefault="00721137" w:rsidP="005F5D08">
            <w:pPr>
              <w:rPr>
                <w:rFonts w:ascii="Arial" w:hAnsi="Arial" w:cs="Arial" w:hint="default"/>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rsidR="00721137" w:rsidRDefault="00721137" w:rsidP="005F5D08">
            <w:pPr>
              <w:jc w:val="right"/>
              <w:textAlignment w:val="bottom"/>
              <w:rPr>
                <w:rFonts w:cs="宋体" w:hint="default"/>
                <w:color w:val="000000"/>
              </w:rPr>
            </w:pPr>
            <w:r>
              <w:rPr>
                <w:rFonts w:cs="宋体"/>
                <w:color w:val="000000"/>
                <w:lang w:bidi="ar"/>
              </w:rPr>
              <w:t>公开09表</w:t>
            </w:r>
          </w:p>
        </w:tc>
      </w:tr>
      <w:tr w:rsidR="00721137" w:rsidTr="005F5D08">
        <w:trPr>
          <w:trHeight w:val="285"/>
        </w:trPr>
        <w:tc>
          <w:tcPr>
            <w:tcW w:w="5159" w:type="dxa"/>
            <w:tcBorders>
              <w:top w:val="nil"/>
              <w:left w:val="nil"/>
              <w:bottom w:val="nil"/>
              <w:right w:val="nil"/>
            </w:tcBorders>
            <w:shd w:val="clear" w:color="auto" w:fill="auto"/>
            <w:noWrap/>
            <w:tcMar>
              <w:top w:w="15" w:type="dxa"/>
              <w:left w:w="15" w:type="dxa"/>
              <w:right w:w="15" w:type="dxa"/>
            </w:tcMar>
            <w:vAlign w:val="bottom"/>
          </w:tcPr>
          <w:p w:rsidR="00721137" w:rsidRDefault="00721137" w:rsidP="005F5D08">
            <w:pPr>
              <w:textAlignment w:val="bottom"/>
              <w:rPr>
                <w:rFonts w:ascii="Arial" w:hAnsi="Arial" w:cs="Arial" w:hint="default"/>
                <w:color w:val="000000"/>
                <w:sz w:val="22"/>
                <w:szCs w:val="22"/>
              </w:rPr>
            </w:pPr>
            <w:r>
              <w:rPr>
                <w:rFonts w:asciiTheme="minorEastAsia" w:eastAsiaTheme="minorEastAsia" w:hAnsiTheme="minorEastAsia" w:cstheme="minorEastAsia"/>
              </w:rPr>
              <w:t>公开单位</w:t>
            </w:r>
            <w:r>
              <w:rPr>
                <w:rFonts w:asciiTheme="minorEastAsia" w:eastAsiaTheme="minorEastAsia" w:hAnsiTheme="minorEastAsia" w:cstheme="minorEastAsia"/>
                <w:color w:val="000000"/>
                <w:lang w:bidi="ar"/>
              </w:rPr>
              <w:t xml:space="preserve">： </w:t>
            </w:r>
            <w:r>
              <w:rPr>
                <w:color w:val="000000"/>
              </w:rPr>
              <w:t>黔江区商务综合行政执法支队</w:t>
            </w:r>
          </w:p>
        </w:tc>
        <w:tc>
          <w:tcPr>
            <w:tcW w:w="3822" w:type="dxa"/>
            <w:tcBorders>
              <w:top w:val="nil"/>
              <w:left w:val="nil"/>
              <w:bottom w:val="nil"/>
              <w:right w:val="nil"/>
            </w:tcBorders>
            <w:shd w:val="clear" w:color="auto" w:fill="auto"/>
            <w:noWrap/>
            <w:tcMar>
              <w:top w:w="15" w:type="dxa"/>
              <w:left w:w="15" w:type="dxa"/>
              <w:right w:w="15" w:type="dxa"/>
            </w:tcMar>
            <w:vAlign w:val="bottom"/>
          </w:tcPr>
          <w:p w:rsidR="00721137" w:rsidRDefault="00721137" w:rsidP="005F5D08">
            <w:pPr>
              <w:jc w:val="center"/>
              <w:rPr>
                <w:rFonts w:cs="宋体" w:hint="default"/>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rsidR="00721137" w:rsidRDefault="00721137" w:rsidP="005F5D08">
            <w:pPr>
              <w:jc w:val="right"/>
              <w:rPr>
                <w:rFonts w:ascii="Arial" w:hAnsi="Arial" w:cs="Arial" w:hint="default"/>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rsidR="00721137" w:rsidRDefault="00721137" w:rsidP="005F5D08">
            <w:pPr>
              <w:rPr>
                <w:rFonts w:ascii="Arial" w:hAnsi="Arial" w:cs="Arial" w:hint="default"/>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rsidR="00721137" w:rsidRDefault="00721137" w:rsidP="005F5D08">
            <w:pPr>
              <w:jc w:val="right"/>
              <w:textAlignment w:val="bottom"/>
              <w:rPr>
                <w:rFonts w:cs="宋体" w:hint="default"/>
                <w:color w:val="000000"/>
              </w:rPr>
            </w:pPr>
            <w:r>
              <w:rPr>
                <w:rFonts w:cs="宋体"/>
                <w:color w:val="000000"/>
                <w:lang w:bidi="ar"/>
              </w:rPr>
              <w:t>单位：</w:t>
            </w:r>
            <w:r>
              <w:rPr>
                <w:rFonts w:cs="宋体"/>
              </w:rPr>
              <w:t>万元</w:t>
            </w:r>
          </w:p>
        </w:tc>
      </w:tr>
      <w:tr w:rsidR="00721137" w:rsidTr="005F5D08">
        <w:trPr>
          <w:trHeight w:val="308"/>
        </w:trPr>
        <w:tc>
          <w:tcPr>
            <w:tcW w:w="5159" w:type="dxa"/>
            <w:tcBorders>
              <w:top w:val="single" w:sz="4" w:space="0" w:color="000000"/>
              <w:left w:val="single" w:sz="4" w:space="0" w:color="000000"/>
              <w:bottom w:val="single" w:sz="4" w:space="0" w:color="000000"/>
              <w:right w:val="nil"/>
            </w:tcBorders>
            <w:shd w:val="clear" w:color="FFFFFF" w:fill="C0C0C0"/>
            <w:noWrap/>
            <w:tcMar>
              <w:top w:w="15" w:type="dxa"/>
              <w:left w:w="15" w:type="dxa"/>
              <w:right w:w="15" w:type="dxa"/>
            </w:tcMar>
            <w:vAlign w:val="center"/>
          </w:tcPr>
          <w:p w:rsidR="00721137" w:rsidRDefault="00721137" w:rsidP="005F5D08">
            <w:pPr>
              <w:jc w:val="center"/>
              <w:textAlignment w:val="center"/>
              <w:rPr>
                <w:rFonts w:cs="宋体" w:hint="default"/>
                <w:b/>
                <w:color w:val="000000"/>
                <w:sz w:val="22"/>
                <w:szCs w:val="22"/>
              </w:rPr>
            </w:pPr>
            <w:r>
              <w:rPr>
                <w:rFonts w:cs="宋体"/>
                <w:b/>
                <w:color w:val="000000"/>
                <w:sz w:val="22"/>
                <w:szCs w:val="22"/>
                <w:lang w:bidi="ar"/>
              </w:rPr>
              <w:t>项  目</w:t>
            </w:r>
          </w:p>
        </w:tc>
        <w:tc>
          <w:tcPr>
            <w:tcW w:w="38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21137" w:rsidRDefault="00721137" w:rsidP="005F5D08">
            <w:pPr>
              <w:jc w:val="center"/>
              <w:textAlignment w:val="center"/>
              <w:rPr>
                <w:rFonts w:cs="宋体" w:hint="default"/>
                <w:b/>
                <w:color w:val="000000"/>
                <w:sz w:val="22"/>
                <w:szCs w:val="22"/>
              </w:rPr>
            </w:pPr>
            <w:r>
              <w:rPr>
                <w:rFonts w:cs="宋体"/>
                <w:b/>
                <w:color w:val="000000"/>
                <w:sz w:val="22"/>
                <w:szCs w:val="22"/>
                <w:lang w:bidi="ar"/>
              </w:rPr>
              <w:t>预算数</w:t>
            </w:r>
          </w:p>
        </w:tc>
        <w:tc>
          <w:tcPr>
            <w:tcW w:w="3281" w:type="dxa"/>
            <w:tcBorders>
              <w:top w:val="single" w:sz="4" w:space="0" w:color="000000"/>
              <w:left w:val="nil"/>
              <w:bottom w:val="nil"/>
              <w:right w:val="single" w:sz="4" w:space="0" w:color="000000"/>
            </w:tcBorders>
            <w:shd w:val="clear" w:color="FFFFFF" w:fill="C0C0C0"/>
            <w:noWrap/>
            <w:tcMar>
              <w:top w:w="15" w:type="dxa"/>
              <w:left w:w="15" w:type="dxa"/>
              <w:right w:w="15" w:type="dxa"/>
            </w:tcMar>
            <w:vAlign w:val="center"/>
          </w:tcPr>
          <w:p w:rsidR="00721137" w:rsidRDefault="00721137" w:rsidP="005F5D08">
            <w:pPr>
              <w:jc w:val="center"/>
              <w:textAlignment w:val="center"/>
              <w:rPr>
                <w:rFonts w:cs="宋体" w:hint="default"/>
                <w:b/>
                <w:color w:val="000000"/>
                <w:sz w:val="22"/>
                <w:szCs w:val="22"/>
              </w:rPr>
            </w:pPr>
            <w:r>
              <w:rPr>
                <w:rFonts w:cs="宋体"/>
                <w:b/>
                <w:color w:val="000000"/>
                <w:sz w:val="22"/>
                <w:szCs w:val="22"/>
                <w:lang w:bidi="ar"/>
              </w:rPr>
              <w:t>决算数</w:t>
            </w:r>
          </w:p>
        </w:tc>
        <w:tc>
          <w:tcPr>
            <w:tcW w:w="6581"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721137" w:rsidRDefault="00721137" w:rsidP="005F5D08">
            <w:pPr>
              <w:jc w:val="center"/>
              <w:textAlignment w:val="center"/>
              <w:rPr>
                <w:rFonts w:cs="宋体" w:hint="default"/>
                <w:b/>
                <w:color w:val="000000"/>
                <w:sz w:val="22"/>
                <w:szCs w:val="22"/>
              </w:rPr>
            </w:pPr>
            <w:r>
              <w:rPr>
                <w:rFonts w:cs="宋体"/>
                <w:b/>
                <w:color w:val="000000"/>
                <w:sz w:val="22"/>
                <w:szCs w:val="22"/>
                <w:lang w:bidi="ar"/>
              </w:rPr>
              <w:t>项  目</w:t>
            </w:r>
          </w:p>
        </w:tc>
        <w:tc>
          <w:tcPr>
            <w:tcW w:w="3325" w:type="dxa"/>
            <w:tcBorders>
              <w:top w:val="single" w:sz="4" w:space="0" w:color="000000"/>
              <w:left w:val="nil"/>
              <w:bottom w:val="nil"/>
              <w:right w:val="single" w:sz="4" w:space="0" w:color="000000"/>
            </w:tcBorders>
            <w:shd w:val="clear" w:color="FFFFFF" w:fill="C0C0C0"/>
            <w:noWrap/>
            <w:tcMar>
              <w:top w:w="15" w:type="dxa"/>
              <w:left w:w="15" w:type="dxa"/>
              <w:right w:w="15" w:type="dxa"/>
            </w:tcMar>
            <w:vAlign w:val="center"/>
          </w:tcPr>
          <w:p w:rsidR="00721137" w:rsidRDefault="00721137" w:rsidP="005F5D08">
            <w:pPr>
              <w:jc w:val="center"/>
              <w:textAlignment w:val="center"/>
              <w:rPr>
                <w:rFonts w:cs="宋体" w:hint="default"/>
                <w:b/>
                <w:color w:val="000000"/>
                <w:sz w:val="22"/>
                <w:szCs w:val="22"/>
              </w:rPr>
            </w:pPr>
            <w:r>
              <w:rPr>
                <w:rFonts w:cs="宋体"/>
                <w:b/>
                <w:color w:val="000000"/>
                <w:sz w:val="22"/>
                <w:szCs w:val="22"/>
                <w:lang w:bidi="ar"/>
              </w:rPr>
              <w:t>决算数</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一、“三公”经费支出</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五、机关运行经费</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（一）支出合计</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（一）行政单位</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1．因公出国（境）费</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（二）参照公务员法管理事业单位</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2．公务用车购置及运行维护费</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六、资产信息</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（1）公务用车购置费</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（一）车辆数合计（辆）</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（2）公务用车运行维护费</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1．副部（省）级及以上领导用车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3．公务接待费</w:t>
            </w:r>
          </w:p>
        </w:tc>
        <w:tc>
          <w:tcPr>
            <w:tcW w:w="382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2．主要领导干部用车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（1）国内接待费</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3．机要通信用车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4．应急保障用车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5．执法执勤用车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6．特种专业技术用车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7．离退休干部用车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8．其他用车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（二）单价100万元（含）以上设备（不含车辆）</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七、政府采购支出信息</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（一）政府采购支出合计</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1．政府采购货物支出</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2．政府采购工程支出</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3．政府采购服务支出</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（二）政府采购授予中小企业合同金额</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000000"/>
              <w:right w:val="nil"/>
            </w:tcBorders>
            <w:shd w:val="clear" w:color="FFFFFF" w:fill="BFBFBF"/>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 xml:space="preserve">        其中：授予小微企业合同金额</w:t>
            </w: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721137" w:rsidTr="005F5D08">
        <w:trPr>
          <w:trHeight w:val="308"/>
        </w:trPr>
        <w:tc>
          <w:tcPr>
            <w:tcW w:w="5159" w:type="dxa"/>
            <w:tcBorders>
              <w:top w:val="nil"/>
              <w:left w:val="single" w:sz="4" w:space="0" w:color="000000"/>
              <w:bottom w:val="single" w:sz="4" w:space="0" w:color="auto"/>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二、会议费</w:t>
            </w:r>
          </w:p>
        </w:tc>
        <w:tc>
          <w:tcPr>
            <w:tcW w:w="3822"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cs="宋体" w:hint="default"/>
                <w:color w:val="000000"/>
                <w:sz w:val="21"/>
                <w:szCs w:val="21"/>
                <w:lang w:bidi="ar"/>
              </w:rPr>
            </w:pPr>
            <w:r>
              <w:rPr>
                <w:rFonts w:cs="宋体"/>
                <w:color w:val="000000"/>
                <w:sz w:val="21"/>
                <w:szCs w:val="21"/>
                <w:lang w:bidi="ar"/>
              </w:rPr>
              <w:t xml:space="preserve">  </w:t>
            </w:r>
          </w:p>
        </w:tc>
        <w:tc>
          <w:tcPr>
            <w:tcW w:w="6581" w:type="dxa"/>
            <w:tcBorders>
              <w:top w:val="nil"/>
              <w:left w:val="nil"/>
              <w:bottom w:val="single" w:sz="4" w:space="0" w:color="auto"/>
              <w:right w:val="single" w:sz="4" w:space="0" w:color="000000"/>
            </w:tcBorders>
            <w:shd w:val="clear" w:color="FFFFFF" w:fill="C0C0C0"/>
            <w:noWrap/>
            <w:tcMar>
              <w:top w:w="15" w:type="dxa"/>
              <w:left w:w="15" w:type="dxa"/>
              <w:right w:w="15" w:type="dxa"/>
            </w:tcMar>
            <w:vAlign w:val="center"/>
          </w:tcPr>
          <w:p w:rsidR="00721137" w:rsidRDefault="00721137" w:rsidP="005F5D08">
            <w:pPr>
              <w:rPr>
                <w:rFonts w:cs="宋体" w:hint="default"/>
                <w:color w:val="000000"/>
                <w:sz w:val="22"/>
                <w:szCs w:val="22"/>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jc w:val="right"/>
              <w:rPr>
                <w:rFonts w:ascii="Arial" w:hAnsi="Arial" w:cs="Arial" w:hint="default"/>
                <w:color w:val="000000"/>
                <w:sz w:val="20"/>
                <w:szCs w:val="20"/>
              </w:rPr>
            </w:pPr>
          </w:p>
        </w:tc>
      </w:tr>
      <w:tr w:rsidR="00721137" w:rsidTr="005F5D08">
        <w:trPr>
          <w:trHeight w:val="308"/>
        </w:trPr>
        <w:tc>
          <w:tcPr>
            <w:tcW w:w="5159" w:type="dxa"/>
            <w:tcBorders>
              <w:top w:val="single" w:sz="4" w:space="0" w:color="auto"/>
              <w:left w:val="single" w:sz="4" w:space="0" w:color="auto"/>
              <w:bottom w:val="single" w:sz="4" w:space="0" w:color="auto"/>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rPr>
            </w:pPr>
            <w:r>
              <w:rPr>
                <w:rFonts w:cs="宋体"/>
                <w:color w:val="000000"/>
                <w:sz w:val="22"/>
                <w:szCs w:val="22"/>
                <w:lang w:bidi="ar"/>
              </w:rPr>
              <w:t>三、培训费</w:t>
            </w:r>
          </w:p>
        </w:tc>
        <w:tc>
          <w:tcPr>
            <w:tcW w:w="3822" w:type="dxa"/>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cs="宋体" w:hint="default"/>
                <w:color w:val="000000"/>
                <w:sz w:val="21"/>
                <w:szCs w:val="21"/>
                <w:lang w:bidi="ar"/>
              </w:rPr>
            </w:pPr>
            <w:r>
              <w:rPr>
                <w:rFonts w:cs="宋体"/>
                <w:color w:val="000000"/>
                <w:sz w:val="21"/>
                <w:szCs w:val="21"/>
                <w:lang w:bidi="ar"/>
              </w:rPr>
              <w:t xml:space="preserve"> 0.91 </w:t>
            </w:r>
          </w:p>
        </w:tc>
        <w:tc>
          <w:tcPr>
            <w:tcW w:w="65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21137" w:rsidRDefault="00721137" w:rsidP="005F5D08">
            <w:pPr>
              <w:rPr>
                <w:rFonts w:cs="宋体" w:hint="default"/>
                <w:color w:val="000000"/>
                <w:sz w:val="22"/>
                <w:szCs w:val="22"/>
              </w:rPr>
            </w:pPr>
          </w:p>
        </w:tc>
        <w:tc>
          <w:tcPr>
            <w:tcW w:w="3325"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jc w:val="right"/>
              <w:rPr>
                <w:rFonts w:ascii="Arial" w:hAnsi="Arial" w:cs="Arial" w:hint="default"/>
                <w:color w:val="000000"/>
                <w:sz w:val="20"/>
                <w:szCs w:val="20"/>
              </w:rPr>
            </w:pPr>
          </w:p>
        </w:tc>
      </w:tr>
      <w:tr w:rsidR="00721137" w:rsidTr="005F5D08">
        <w:trPr>
          <w:trHeight w:val="308"/>
        </w:trPr>
        <w:tc>
          <w:tcPr>
            <w:tcW w:w="5159" w:type="dxa"/>
            <w:tcBorders>
              <w:top w:val="single" w:sz="4" w:space="0" w:color="auto"/>
              <w:left w:val="single" w:sz="4" w:space="0" w:color="auto"/>
              <w:bottom w:val="single" w:sz="4" w:space="0" w:color="auto"/>
              <w:right w:val="nil"/>
            </w:tcBorders>
            <w:shd w:val="clear" w:color="FFFFFF" w:fill="C0C0C0"/>
            <w:noWrap/>
            <w:tcMar>
              <w:top w:w="15" w:type="dxa"/>
              <w:left w:w="15" w:type="dxa"/>
              <w:right w:w="15" w:type="dxa"/>
            </w:tcMar>
            <w:vAlign w:val="center"/>
          </w:tcPr>
          <w:p w:rsidR="00721137" w:rsidRDefault="00721137" w:rsidP="005F5D08">
            <w:pPr>
              <w:textAlignment w:val="center"/>
              <w:rPr>
                <w:rFonts w:cs="宋体" w:hint="default"/>
                <w:color w:val="000000"/>
                <w:sz w:val="22"/>
                <w:szCs w:val="22"/>
                <w:lang w:bidi="ar"/>
              </w:rPr>
            </w:pPr>
            <w:r>
              <w:rPr>
                <w:rFonts w:cs="宋体"/>
                <w:color w:val="000000"/>
                <w:sz w:val="22"/>
                <w:szCs w:val="22"/>
                <w:lang w:bidi="ar"/>
              </w:rPr>
              <w:t>四、差旅费</w:t>
            </w:r>
          </w:p>
        </w:tc>
        <w:tc>
          <w:tcPr>
            <w:tcW w:w="3822" w:type="dxa"/>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721137" w:rsidRDefault="00721137" w:rsidP="005F5D08">
            <w:pPr>
              <w:jc w:val="center"/>
              <w:textAlignment w:val="center"/>
              <w:rPr>
                <w:rFonts w:cs="宋体" w:hint="default"/>
                <w:color w:val="000000"/>
                <w:sz w:val="22"/>
                <w:szCs w:val="22"/>
                <w:lang w:bidi="ar"/>
              </w:rPr>
            </w:pPr>
            <w:r>
              <w:rPr>
                <w:rFonts w:cs="宋体"/>
                <w:color w:val="000000"/>
                <w:sz w:val="22"/>
                <w:szCs w:val="22"/>
                <w:lang w:bidi="ar"/>
              </w:rPr>
              <w:t>—</w:t>
            </w:r>
          </w:p>
        </w:tc>
        <w:tc>
          <w:tcPr>
            <w:tcW w:w="3281"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721137" w:rsidRDefault="00721137" w:rsidP="005F5D08">
            <w:pPr>
              <w:wordWrap w:val="0"/>
              <w:jc w:val="right"/>
              <w:textAlignment w:val="bottom"/>
              <w:rPr>
                <w:rFonts w:cs="宋体" w:hint="default"/>
                <w:color w:val="000000"/>
                <w:sz w:val="21"/>
                <w:szCs w:val="21"/>
                <w:lang w:bidi="ar"/>
              </w:rPr>
            </w:pPr>
            <w:r>
              <w:rPr>
                <w:rFonts w:cs="宋体"/>
                <w:color w:val="000000"/>
                <w:sz w:val="21"/>
                <w:szCs w:val="21"/>
                <w:lang w:bidi="ar"/>
              </w:rPr>
              <w:t xml:space="preserve">  </w:t>
            </w:r>
          </w:p>
        </w:tc>
        <w:tc>
          <w:tcPr>
            <w:tcW w:w="658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21137" w:rsidRDefault="00721137" w:rsidP="005F5D08">
            <w:pPr>
              <w:rPr>
                <w:rFonts w:cs="宋体" w:hint="default"/>
                <w:color w:val="000000"/>
                <w:sz w:val="22"/>
                <w:szCs w:val="22"/>
              </w:rPr>
            </w:pPr>
          </w:p>
        </w:tc>
        <w:tc>
          <w:tcPr>
            <w:tcW w:w="3325"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721137" w:rsidRDefault="00721137" w:rsidP="005F5D08">
            <w:pPr>
              <w:jc w:val="right"/>
              <w:rPr>
                <w:rFonts w:ascii="Arial" w:hAnsi="Arial" w:cs="Arial" w:hint="default"/>
                <w:color w:val="000000"/>
                <w:sz w:val="20"/>
                <w:szCs w:val="20"/>
              </w:rPr>
            </w:pPr>
          </w:p>
        </w:tc>
      </w:tr>
    </w:tbl>
    <w:p w:rsidR="004F0C00" w:rsidRDefault="00721137">
      <w:pPr>
        <w:rPr>
          <w:rFonts w:ascii="Times New Roman" w:hAnsi="Times New Roman" w:hint="default"/>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 xml:space="preserve">      2.本套报表金额单位转换时可能存在尾数误差。</w:t>
      </w:r>
      <w:r w:rsidR="00BA5796">
        <w:rPr>
          <w:rFonts w:ascii="Times New Roman" w:hAnsi="Times New Roman" w:hint="default"/>
          <w:sz w:val="21"/>
          <w:szCs w:val="21"/>
          <w:lang w:bidi="ar"/>
        </w:rPr>
        <w:br/>
      </w:r>
      <w:r w:rsidR="00BA5796">
        <w:rPr>
          <w:rFonts w:ascii="Times New Roman" w:hAnsi="Times New Roman" w:hint="default"/>
          <w:sz w:val="21"/>
          <w:szCs w:val="21"/>
        </w:rPr>
        <w:br/>
      </w:r>
    </w:p>
    <w:p w:rsidR="004F0C00" w:rsidRDefault="004F0C00">
      <w:pPr>
        <w:rPr>
          <w:rFonts w:ascii="Times New Roman" w:hAnsi="Times New Roman" w:hint="default"/>
          <w:color w:val="000000"/>
          <w:sz w:val="21"/>
          <w:szCs w:val="21"/>
          <w:lang w:bidi="ar"/>
        </w:rPr>
      </w:pPr>
    </w:p>
    <w:p w:rsidR="004F0C00" w:rsidRDefault="004F0C00">
      <w:pPr>
        <w:rPr>
          <w:rFonts w:ascii="Times New Roman" w:hAnsi="Times New Roman" w:hint="default"/>
          <w:color w:val="000000"/>
          <w:sz w:val="21"/>
          <w:szCs w:val="21"/>
          <w:lang w:bidi="ar"/>
        </w:rPr>
      </w:pPr>
    </w:p>
    <w:p w:rsidR="004F0C00" w:rsidRDefault="004F0C00">
      <w:pPr>
        <w:rPr>
          <w:rFonts w:ascii="Times New Roman" w:hAnsi="Times New Roman" w:hint="default"/>
          <w:color w:val="000000"/>
          <w:sz w:val="21"/>
          <w:szCs w:val="21"/>
          <w:lang w:bidi="ar"/>
        </w:rPr>
      </w:pPr>
      <w:bookmarkStart w:id="0" w:name="_GoBack"/>
      <w:bookmarkEnd w:id="0"/>
    </w:p>
    <w:p w:rsidR="004F0C00" w:rsidRDefault="004F0C00">
      <w:pPr>
        <w:rPr>
          <w:rFonts w:ascii="Times New Roman" w:hAnsi="Times New Roman" w:hint="default"/>
          <w:color w:val="000000"/>
          <w:sz w:val="21"/>
          <w:szCs w:val="21"/>
          <w:lang w:bidi="ar"/>
        </w:rPr>
      </w:pPr>
    </w:p>
    <w:p w:rsidR="004F0C00" w:rsidRDefault="004F0C00">
      <w:pPr>
        <w:rPr>
          <w:rFonts w:ascii="Times New Roman" w:hAnsi="Times New Roman" w:hint="default"/>
          <w:color w:val="000000"/>
          <w:sz w:val="21"/>
          <w:szCs w:val="21"/>
          <w:lang w:bidi="ar"/>
        </w:rPr>
      </w:pPr>
    </w:p>
    <w:p w:rsidR="004F0C00" w:rsidRDefault="004F0C00">
      <w:pPr>
        <w:rPr>
          <w:rFonts w:ascii="Times New Roman" w:hAnsi="Times New Roman" w:hint="default"/>
          <w:color w:val="000000"/>
          <w:sz w:val="21"/>
          <w:szCs w:val="21"/>
          <w:lang w:bidi="ar"/>
        </w:rPr>
      </w:pPr>
    </w:p>
    <w:p w:rsidR="004F0C00" w:rsidRDefault="004F0C00">
      <w:pPr>
        <w:rPr>
          <w:rFonts w:ascii="Times New Roman" w:hAnsi="Times New Roman" w:hint="default"/>
          <w:color w:val="000000"/>
          <w:sz w:val="21"/>
          <w:szCs w:val="21"/>
          <w:lang w:bidi="ar"/>
        </w:rPr>
      </w:pPr>
    </w:p>
    <w:p w:rsidR="004F0C00" w:rsidRDefault="004F0C00">
      <w:pPr>
        <w:rPr>
          <w:rFonts w:ascii="Times New Roman" w:hAnsi="Times New Roman" w:hint="default"/>
          <w:color w:val="000000"/>
          <w:sz w:val="21"/>
          <w:szCs w:val="21"/>
          <w:lang w:bidi="ar"/>
        </w:rPr>
      </w:pPr>
    </w:p>
    <w:p w:rsidR="004F0C00" w:rsidRDefault="004F0C00">
      <w:pPr>
        <w:rPr>
          <w:rFonts w:ascii="Times New Roman" w:hAnsi="Times New Roman" w:hint="default"/>
          <w:color w:val="000000"/>
          <w:sz w:val="21"/>
          <w:szCs w:val="21"/>
          <w:lang w:bidi="ar"/>
        </w:rPr>
      </w:pPr>
    </w:p>
    <w:p w:rsidR="004F0C00" w:rsidRDefault="004F0C00">
      <w:pPr>
        <w:pStyle w:val="1"/>
        <w:autoSpaceDE w:val="0"/>
        <w:ind w:firstLineChars="0" w:firstLine="0"/>
        <w:rPr>
          <w:rFonts w:ascii="Times New Roman" w:hAnsi="Times New Roman"/>
          <w:sz w:val="21"/>
          <w:szCs w:val="21"/>
        </w:rPr>
      </w:pPr>
    </w:p>
    <w:sectPr w:rsidR="004F0C00">
      <w:headerReference w:type="default" r:id="rId8"/>
      <w:footerReference w:type="default" r:id="rId9"/>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796" w:rsidRDefault="00BA5796">
      <w:pPr>
        <w:rPr>
          <w:rFonts w:hint="default"/>
        </w:rPr>
      </w:pPr>
      <w:r>
        <w:separator/>
      </w:r>
    </w:p>
  </w:endnote>
  <w:endnote w:type="continuationSeparator" w:id="0">
    <w:p w:rsidR="00BA5796" w:rsidRDefault="00BA579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C00" w:rsidRDefault="00BA5796">
    <w:pPr>
      <w:pStyle w:val="a5"/>
      <w:rPr>
        <w:rFonts w:hint="default"/>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F0C00" w:rsidRDefault="00BA5796">
                          <w:pPr>
                            <w:pStyle w:val="a5"/>
                            <w:rPr>
                              <w:rFonts w:hint="default"/>
                            </w:rPr>
                          </w:pPr>
                          <w:r>
                            <w:fldChar w:fldCharType="begin"/>
                          </w:r>
                          <w:r>
                            <w:instrText xml:space="preserve"> PAGE  \* MERGEFORMAT </w:instrText>
                          </w:r>
                          <w:r>
                            <w:fldChar w:fldCharType="separate"/>
                          </w:r>
                          <w:r w:rsidR="00721137">
                            <w:rPr>
                              <w:rFonts w:hint="default"/>
                              <w:noProof/>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F0C00" w:rsidRDefault="00BA5796">
                    <w:pPr>
                      <w:pStyle w:val="a5"/>
                      <w:rPr>
                        <w:rFonts w:hint="default"/>
                      </w:rPr>
                    </w:pPr>
                    <w:r>
                      <w:fldChar w:fldCharType="begin"/>
                    </w:r>
                    <w:r>
                      <w:instrText xml:space="preserve"> PAGE  \* MERGEFORMAT </w:instrText>
                    </w:r>
                    <w:r>
                      <w:fldChar w:fldCharType="separate"/>
                    </w:r>
                    <w:r w:rsidR="00721137">
                      <w:rPr>
                        <w:rFonts w:hint="default"/>
                        <w:noProof/>
                      </w:rPr>
                      <w:t>- 7 -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C00" w:rsidRDefault="00BA5796">
    <w:pPr>
      <w:pStyle w:val="a5"/>
      <w:jc w:val="both"/>
      <w:rPr>
        <w:rFonts w:hint="default"/>
      </w:rPr>
    </w:pPr>
    <w:r>
      <w:rPr>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F0C00" w:rsidRDefault="00BA5796">
                          <w:pPr>
                            <w:pStyle w:val="a5"/>
                            <w:rPr>
                              <w:rFonts w:hint="default"/>
                            </w:rPr>
                          </w:pPr>
                          <w:r>
                            <w:t xml:space="preserve"> </w:t>
                          </w:r>
                          <w:r>
                            <w:fldChar w:fldCharType="begin"/>
                          </w:r>
                          <w:r>
                            <w:instrText>PAGE   \* MERGEFORMAT</w:instrText>
                          </w:r>
                          <w:r>
                            <w:fldChar w:fldCharType="separate"/>
                          </w:r>
                          <w:r w:rsidR="00721137" w:rsidRPr="00721137">
                            <w:rPr>
                              <w:rFonts w:hint="default"/>
                              <w:noProof/>
                              <w:lang w:val="zh-CN"/>
                            </w:rPr>
                            <w:t>-</w:t>
                          </w:r>
                          <w:r w:rsidR="00721137">
                            <w:rPr>
                              <w:rFonts w:hint="default"/>
                              <w:noProof/>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4F0C00" w:rsidRDefault="00BA5796">
                    <w:pPr>
                      <w:pStyle w:val="a5"/>
                      <w:rPr>
                        <w:rFonts w:hint="default"/>
                      </w:rPr>
                    </w:pPr>
                    <w:r>
                      <w:t xml:space="preserve"> </w:t>
                    </w:r>
                    <w:r>
                      <w:fldChar w:fldCharType="begin"/>
                    </w:r>
                    <w:r>
                      <w:instrText>PAGE   \* MERGEFORMAT</w:instrText>
                    </w:r>
                    <w:r>
                      <w:fldChar w:fldCharType="separate"/>
                    </w:r>
                    <w:r w:rsidR="00721137" w:rsidRPr="00721137">
                      <w:rPr>
                        <w:rFonts w:hint="default"/>
                        <w:noProof/>
                        <w:lang w:val="zh-CN"/>
                      </w:rPr>
                      <w:t>-</w:t>
                    </w:r>
                    <w:r w:rsidR="00721137">
                      <w:rPr>
                        <w:rFonts w:hint="default"/>
                        <w:noProof/>
                      </w:rPr>
                      <w:t xml:space="preserve"> 16 -</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4F0C00" w:rsidRDefault="00BA5796">
                          <w:pPr>
                            <w:pStyle w:val="a5"/>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4F0C00" w:rsidRDefault="00BA5796">
                    <w:pPr>
                      <w:pStyle w:val="a5"/>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796" w:rsidRDefault="00BA5796">
      <w:pPr>
        <w:rPr>
          <w:rFonts w:hint="default"/>
        </w:rPr>
      </w:pPr>
      <w:r>
        <w:separator/>
      </w:r>
    </w:p>
  </w:footnote>
  <w:footnote w:type="continuationSeparator" w:id="0">
    <w:p w:rsidR="00BA5796" w:rsidRDefault="00BA5796">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C00" w:rsidRDefault="004F0C00">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D7FFDDC7"/>
    <w:rsid w:val="000839C0"/>
    <w:rsid w:val="00324463"/>
    <w:rsid w:val="004F0C00"/>
    <w:rsid w:val="00550ABE"/>
    <w:rsid w:val="00721137"/>
    <w:rsid w:val="00723FDB"/>
    <w:rsid w:val="007B419D"/>
    <w:rsid w:val="009B67B8"/>
    <w:rsid w:val="00B03CCD"/>
    <w:rsid w:val="00B36DC8"/>
    <w:rsid w:val="00BA5796"/>
    <w:rsid w:val="00D40B43"/>
    <w:rsid w:val="00D70739"/>
    <w:rsid w:val="00D77EC2"/>
    <w:rsid w:val="00EC1A4F"/>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8C4686"/>
    <w:rsid w:val="439A3EB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E973B2A"/>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5F4548-34EA-4263-A146-8408EC99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1603</Words>
  <Characters>9142</Characters>
  <Application>Microsoft Office Word</Application>
  <DocSecurity>0</DocSecurity>
  <Lines>76</Lines>
  <Paragraphs>21</Paragraphs>
  <ScaleCrop>false</ScaleCrop>
  <Company>微软中国</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傅春丽</cp:lastModifiedBy>
  <cp:revision>7</cp:revision>
  <cp:lastPrinted>2025-08-19T16:07:00Z</cp:lastPrinted>
  <dcterms:created xsi:type="dcterms:W3CDTF">2024-07-11T10:00:00Z</dcterms:created>
  <dcterms:modified xsi:type="dcterms:W3CDTF">2025-09-02T06:11:00Z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BB46EABDBB2749749395447164B066B3_12</vt:lpwstr>
  </property>
</Properties>
</file>