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rPr>
      </w:pP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黔江区群众诉求服务中心</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lang w:eastAsia="zh-CN"/>
        </w:rPr>
        <w:t>2024年</w:t>
      </w:r>
      <w:r>
        <w:rPr>
          <w:rFonts w:hint="default" w:ascii="Times New Roman" w:hAnsi="Times New Roman" w:eastAsia="方正小标宋_GBK" w:cs="Times New Roman"/>
          <w:sz w:val="36"/>
          <w:szCs w:val="36"/>
          <w:shd w:val="clear" w:color="auto" w:fill="FFFFFF"/>
        </w:rPr>
        <w:t>度决算</w:t>
      </w:r>
      <w:r>
        <w:rPr>
          <w:rFonts w:hint="default" w:ascii="Times New Roman" w:hAnsi="Times New Roman" w:eastAsia="方正小标宋_GBK" w:cs="Times New Roman"/>
          <w:sz w:val="36"/>
          <w:szCs w:val="36"/>
          <w:shd w:val="clear" w:color="auto" w:fill="FFFFFF"/>
          <w:lang w:eastAsia="zh-CN"/>
        </w:rPr>
        <w:t>公开</w:t>
      </w:r>
      <w:r>
        <w:rPr>
          <w:rFonts w:hint="default" w:ascii="Times New Roman" w:hAnsi="Times New Roman" w:eastAsia="方正小标宋_GBK" w:cs="Times New Roman"/>
          <w:sz w:val="36"/>
          <w:szCs w:val="36"/>
          <w:shd w:val="clear" w:color="auto" w:fill="FFFFFF"/>
        </w:rPr>
        <w:t>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方正小标宋_GBK" w:cs="Times New Roman"/>
          <w:sz w:val="36"/>
          <w:szCs w:val="36"/>
          <w:shd w:val="clear" w:color="auto" w:fill="FFFFFF"/>
        </w:rPr>
      </w:pP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一、部门基本情况</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shd w:val="clear"/>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负责集中办理群众来信，接待群众来访以及受理其他诉求；负责信访问题网上登记、受理、办理、回复等有关工作；负责收集汇总、分析、研判社情民意；负责办理信访公开电话、公开信箱反映的信访问题；负责信访网络建设、办公自动化等有关工作；负责全国信访信息系统、干部下访群众登记系统的管理、维护等有关工作；负责对大厅窗口单位派驻人员的管理和考核工作。</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eastAsia" w:ascii="Times New Roman" w:hAnsi="Times New Roman" w:eastAsia="方正楷体_GBK" w:cs="Times New Roman"/>
          <w:b w:val="0"/>
          <w:bCs/>
          <w:sz w:val="32"/>
          <w:szCs w:val="32"/>
          <w:shd w:val="clear" w:color="auto" w:fill="FFFFFF"/>
          <w:lang w:val="en-US" w:eastAsia="zh-CN"/>
        </w:rPr>
        <w:t>二</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单位构成</w:t>
      </w:r>
    </w:p>
    <w:p>
      <w:pPr>
        <w:pStyle w:val="6"/>
        <w:keepNext w:val="0"/>
        <w:keepLines w:val="0"/>
        <w:pageBreakBefore w:val="0"/>
        <w:widowControl/>
        <w:shd w:val="clear"/>
        <w:kinsoku/>
        <w:wordWrap/>
        <w:overflowPunct/>
        <w:topLinePunct w:val="0"/>
        <w:autoSpaceDE/>
        <w:autoSpaceDN/>
        <w:bidi w:val="0"/>
        <w:adjustRightInd/>
        <w:spacing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本部门设有一个中心（黔江区群众诉求服务中心，全额拨款事业单位）。有在职职工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人，事业编制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一般预算财政拨款开支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人员（事业管理人员和专业技术人员）6</w:t>
      </w:r>
      <w:r>
        <w:rPr>
          <w:rFonts w:hint="default" w:ascii="Times New Roman" w:hAnsi="Times New Roman" w:eastAsia="方正仿宋_GBK" w:cs="Times New Roman"/>
          <w:color w:val="000000" w:themeColor="text1"/>
          <w:sz w:val="32"/>
          <w:szCs w:val="32"/>
          <w14:textFill>
            <w14:solidFill>
              <w14:schemeClr w14:val="tx1"/>
            </w14:solidFill>
          </w14:textFill>
        </w:rPr>
        <w:t>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二、部门决算情况说明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度收入总计124.31万元，支出总计</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万元。收、支与2023年度相比，增加124.31万元，增长100.0%，主要原因是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度收入合计124.31万元，与2023年度相比，增加124.31万元，增长100.0%，主要原因是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万元，与2023年度相比，增加124.31万元，增长100.0%，主要原因是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度财政拨款收、支总计124.31万元。与2022年相比，财政拨款收、支总计各增加124.31万元，增长100.0%。主要原因是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万元，与2023年度相比，增加124.31万元，增长100.0%。主要原因是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较年初预算数增加8.17万元，增长7.0%。主要原因是</w:t>
      </w:r>
      <w:r>
        <w:rPr>
          <w:rFonts w:hint="default" w:ascii="Times New Roman" w:hAnsi="Times New Roman" w:eastAsia="方正仿宋_GBK" w:cs="Times New Roman"/>
          <w:sz w:val="32"/>
          <w:szCs w:val="32"/>
          <w:shd w:val="clear" w:color="auto" w:fill="FFFFFF"/>
          <w:lang w:eastAsia="zh-CN"/>
        </w:rPr>
        <w:t>基本工资调标、养老保险、职业年金增加。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万元，与2023年度相比，增加124.31万元，增长100.0%。主要原因是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较年初预算数增加8.17万元，增长7.0%。主要原因是</w:t>
      </w:r>
      <w:r>
        <w:rPr>
          <w:rFonts w:hint="default" w:ascii="Times New Roman" w:hAnsi="Times New Roman" w:eastAsia="方正仿宋_GBK" w:cs="Times New Roman"/>
          <w:sz w:val="32"/>
          <w:szCs w:val="32"/>
          <w:shd w:val="clear" w:color="auto" w:fill="FFFFFF"/>
          <w:lang w:eastAsia="zh-CN"/>
        </w:rPr>
        <w:t>基本工资调标、养老保险、职业年金增加。</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95.40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76.74</w:t>
      </w:r>
      <w:r>
        <w:rPr>
          <w:rFonts w:hint="default" w:ascii="Times New Roman" w:hAnsi="Times New Roman" w:eastAsia="方正仿宋_GBK" w:cs="Times New Roman"/>
          <w:sz w:val="32"/>
          <w:szCs w:val="32"/>
          <w:shd w:val="clear" w:color="auto" w:fill="FFFFFF"/>
        </w:rPr>
        <w:t>%，较年初预算数增加2.81万元，增长3.0%，主要原因</w:t>
      </w:r>
      <w:r>
        <w:rPr>
          <w:rFonts w:hint="default" w:ascii="Times New Roman" w:hAnsi="Times New Roman" w:eastAsia="方正仿宋_GBK" w:cs="Times New Roman"/>
          <w:sz w:val="32"/>
          <w:szCs w:val="32"/>
          <w:shd w:val="clear" w:color="auto" w:fill="FFFFFF"/>
          <w:lang w:eastAsia="zh-CN"/>
        </w:rPr>
        <w:t>是基本工资调标</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16.90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13.60</w:t>
      </w:r>
      <w:r>
        <w:rPr>
          <w:rFonts w:hint="default" w:ascii="Times New Roman" w:hAnsi="Times New Roman" w:eastAsia="方正仿宋_GBK" w:cs="Times New Roman"/>
          <w:sz w:val="32"/>
          <w:szCs w:val="32"/>
          <w:shd w:val="clear" w:color="auto" w:fill="FFFFFF"/>
        </w:rPr>
        <w:t>%，较年初预算数增加5.37万元，增长46.6%，主要原因是</w:t>
      </w:r>
      <w:r>
        <w:rPr>
          <w:rFonts w:hint="default" w:ascii="Times New Roman" w:hAnsi="Times New Roman" w:eastAsia="方正仿宋_GBK" w:cs="Times New Roman"/>
          <w:sz w:val="32"/>
          <w:szCs w:val="32"/>
          <w:shd w:val="clear" w:color="auto" w:fill="FFFFFF"/>
          <w:lang w:eastAsia="zh-CN"/>
        </w:rPr>
        <w:t>补缴</w:t>
      </w:r>
      <w:r>
        <w:rPr>
          <w:rFonts w:hint="default" w:ascii="Times New Roman" w:hAnsi="Times New Roman" w:eastAsia="方正仿宋_GBK" w:cs="Times New Roman"/>
          <w:sz w:val="32"/>
          <w:szCs w:val="32"/>
          <w:shd w:val="clear" w:color="auto" w:fill="FFFFFF"/>
          <w:lang w:val="en-US" w:eastAsia="zh-CN"/>
        </w:rPr>
        <w:t>2024年养老保险、职业年金。</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5.02</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缴纳基数与预算基数一致。</w:t>
      </w:r>
    </w:p>
    <w:p>
      <w:pPr>
        <w:keepNext w:val="0"/>
        <w:keepLines w:val="0"/>
        <w:pageBreakBefore w:val="0"/>
        <w:widowControl/>
        <w:shd w:val="clear"/>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4.64</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eastAsia="zh-CN"/>
        </w:rPr>
        <w:t>缴纳基数与预算基数一致。</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124.31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113.38</w:t>
      </w:r>
      <w:r>
        <w:rPr>
          <w:rFonts w:hint="default" w:ascii="Times New Roman" w:hAnsi="Times New Roman" w:eastAsia="方正仿宋_GBK" w:cs="Times New Roman"/>
          <w:sz w:val="32"/>
          <w:szCs w:val="32"/>
          <w:shd w:val="clear" w:color="auto" w:fill="FFFFFF"/>
        </w:rPr>
        <w:t>万元，与2023年度相比，增加113.38万元，增长100.0%，主要原因是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基本工资、津贴补贴、绩效工资、</w:t>
      </w:r>
      <w:r>
        <w:rPr>
          <w:rFonts w:hint="default" w:ascii="Times New Roman" w:hAnsi="Times New Roman" w:eastAsia="方正仿宋_GBK" w:cs="Times New Roman"/>
          <w:b w:val="0"/>
          <w:bCs/>
          <w:sz w:val="32"/>
          <w:szCs w:val="32"/>
          <w:shd w:val="clear" w:color="auto" w:fill="FFFFFF"/>
          <w:lang w:eastAsia="zh-CN"/>
        </w:rPr>
        <w:t>社会保障缴费、住房公积金。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10.94</w:t>
      </w:r>
      <w:r>
        <w:rPr>
          <w:rFonts w:hint="default" w:ascii="Times New Roman" w:hAnsi="Times New Roman" w:eastAsia="方正仿宋_GBK" w:cs="Times New Roman"/>
          <w:sz w:val="32"/>
          <w:szCs w:val="32"/>
          <w:shd w:val="clear" w:color="auto" w:fill="FFFFFF"/>
        </w:rPr>
        <w:t>万元，与2023年度相比，增加10.94万元，增长100.0%，主要原因是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bCs/>
          <w:sz w:val="32"/>
          <w:szCs w:val="32"/>
          <w:shd w:val="clear" w:color="auto" w:fill="FFFFFF"/>
          <w:lang w:eastAsia="zh-CN"/>
        </w:rPr>
        <w:t>办公费、电费、邮电费、差旅费、培训费、工会经费、福利费等。</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本部门202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lang w:eastAsia="zh-CN"/>
        </w:rPr>
        <w:t>年度无政府性基金预算财政拨款收支。</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eastAsia" w:ascii="Times New Roman" w:hAnsi="Times New Roman" w:eastAsia="方正楷体_GBK" w:cs="Times New Roman"/>
          <w:b w:val="0"/>
          <w:bCs/>
          <w:sz w:val="32"/>
          <w:szCs w:val="32"/>
          <w:shd w:val="clear" w:color="auto" w:fill="FFFFFF"/>
          <w:lang w:val="en-US" w:eastAsia="zh-CN"/>
        </w:rPr>
        <w:t>六</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国有资本经营预算财政拨款支出决算情况说明</w:t>
      </w:r>
    </w:p>
    <w:p>
      <w:pPr>
        <w:pStyle w:val="11"/>
        <w:keepNext w:val="0"/>
        <w:keepLines w:val="0"/>
        <w:pageBreakBefore w:val="0"/>
        <w:widowControl/>
        <w:numPr>
          <w:ilvl w:val="0"/>
          <w:numId w:val="0"/>
        </w:numPr>
        <w:shd w:val="clear"/>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本部门202</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lang w:eastAsia="zh-CN"/>
        </w:rPr>
        <w:t>年度无国有资本经营预算财政拨款支出。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三、“三公”经费情况说明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（一）“三公”经费支出总体情况说明</w:t>
      </w:r>
      <w:bookmarkStart w:id="0" w:name="_GoBack"/>
      <w:bookmarkEnd w:id="0"/>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color w:val="000000" w:themeColor="text1"/>
          <w:sz w:val="32"/>
          <w:szCs w:val="32"/>
          <w14:textFill>
            <w14:solidFill>
              <w14:schemeClr w14:val="tx1"/>
            </w14:solidFill>
          </w14:textFill>
        </w:rPr>
        <w:t>“三公”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经费在信访办（本级）核算，本中心无支出。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主要是</w:t>
      </w:r>
      <w:r>
        <w:rPr>
          <w:rFonts w:hint="default" w:ascii="Times New Roman" w:hAnsi="Times New Roman" w:eastAsia="方正仿宋_GBK" w:cs="Times New Roman"/>
          <w:sz w:val="32"/>
          <w:szCs w:val="32"/>
          <w:shd w:val="clear" w:color="auto" w:fill="FFFFFF"/>
          <w:lang w:val="en-US" w:eastAsia="zh-CN"/>
        </w:rPr>
        <w:t>2024年度我单位未发生因公出国（境）费用。</w:t>
      </w:r>
      <w:r>
        <w:rPr>
          <w:rFonts w:hint="default" w:ascii="Times New Roman" w:hAnsi="Times New Roman" w:eastAsia="方正仿宋_GBK" w:cs="Times New Roman"/>
          <w:sz w:val="32"/>
          <w:szCs w:val="32"/>
          <w:shd w:val="clear" w:color="auto" w:fill="FFFFFF"/>
        </w:rPr>
        <w:t>费用支出较年初预算数无增减，与2023年度相比，无增减，主要原因是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2024年度我单位未发生公务用车购置费用。</w:t>
      </w:r>
      <w:r>
        <w:rPr>
          <w:rFonts w:hint="default" w:ascii="Times New Roman" w:hAnsi="Times New Roman" w:eastAsia="方正仿宋_GBK" w:cs="Times New Roman"/>
          <w:sz w:val="32"/>
          <w:szCs w:val="32"/>
          <w:shd w:val="clear" w:color="auto" w:fill="FFFFFF"/>
        </w:rPr>
        <w:t>费用支出较年初预算数无增减，与2023年度相比，无增减，主要原因是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万元，费用支出较年初预算数无增减，与2023年度相比，无增减，主要原因是</w:t>
      </w:r>
      <w:r>
        <w:rPr>
          <w:rFonts w:hint="default" w:ascii="Times New Roman" w:hAnsi="Times New Roman" w:eastAsia="方正仿宋_GBK" w:cs="Times New Roman"/>
          <w:sz w:val="32"/>
          <w:szCs w:val="32"/>
          <w:shd w:val="clear" w:color="auto" w:fill="FFFFFF"/>
          <w:lang w:eastAsia="zh-CN"/>
        </w:rPr>
        <w:t>公务用车维修维护费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在信访办（本级）核算，本中心无支出。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万元，费用支出较年初预算数无增减，较上年支出数无增减，主要原因是</w:t>
      </w:r>
      <w:r>
        <w:rPr>
          <w:rFonts w:hint="default" w:ascii="Times New Roman" w:hAnsi="Times New Roman" w:eastAsia="方正仿宋_GBK" w:cs="Times New Roman"/>
          <w:sz w:val="32"/>
          <w:szCs w:val="32"/>
          <w:shd w:val="clear" w:color="auto" w:fill="FFFFFF"/>
          <w:lang w:eastAsia="zh-CN"/>
        </w:rPr>
        <w:t>公务接待费在信访办（本级）核算，本中心无支出。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（一）财政拨款会议费和培训费情况说明</w:t>
      </w:r>
    </w:p>
    <w:p>
      <w:pPr>
        <w:keepNext w:val="0"/>
        <w:keepLines w:val="0"/>
        <w:pageBreakBefore w:val="0"/>
        <w:widowControl/>
        <w:shd w:val="clear"/>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黔江区群众诉求服务中心为2024年度新增独立核算单位，会议费在信访办（本级）核算，本中心无支出。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万元，与2023年度相比，增加0.72万元，增长100.0%，主要原因是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（二）机关运行经费情况说明</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度本部门机关运行经费支出</w:t>
      </w:r>
      <w:r>
        <w:rPr>
          <w:rFonts w:hint="default" w:ascii="Times New Roman" w:hAnsi="Times New Roman" w:eastAsia="方正仿宋_GBK" w:cs="Times New Roman"/>
          <w:sz w:val="32"/>
          <w:szCs w:val="32"/>
        </w:rPr>
        <w:t>0.98</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eastAsia="zh-CN"/>
        </w:rPr>
        <w:t>办公费、电费、邮电费、差旅费、培训费。</w:t>
      </w:r>
      <w:r>
        <w:rPr>
          <w:rFonts w:hint="default" w:ascii="Times New Roman" w:hAnsi="Times New Roman" w:eastAsia="方正仿宋_GBK" w:cs="Times New Roman"/>
          <w:sz w:val="32"/>
          <w:szCs w:val="32"/>
          <w:shd w:val="clear" w:color="auto" w:fill="FFFFFF"/>
        </w:rPr>
        <w:t>机关运行经费较上年支出数</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0.98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增长</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黔江区群众诉求服务中心为2024年度新增独立核算单位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年度我单位未发生政府采购事项，无相关经费支出。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val="en-US"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预算绩效自评在主管部门开展，本部门不涉及。</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以下为常见专业名词解释目录，仅供参考，</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三</w:t>
      </w:r>
      <w:r>
        <w:rPr>
          <w:rStyle w:val="10"/>
          <w:rFonts w:hint="default" w:ascii="Times New Roman" w:hAnsi="Times New Roman" w:eastAsia="方正楷体_GBK" w:cs="Times New Roman"/>
          <w:b w:val="0"/>
          <w:bCs/>
          <w:sz w:val="32"/>
          <w:szCs w:val="32"/>
          <w:shd w:val="clear" w:color="auto" w:fill="FFFFFF"/>
        </w:rPr>
        <w:t>）其他收入：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四</w:t>
      </w:r>
      <w:r>
        <w:rPr>
          <w:rStyle w:val="10"/>
          <w:rFonts w:hint="default" w:ascii="Times New Roman" w:hAnsi="Times New Roman" w:eastAsia="方正楷体_GBK" w:cs="Times New Roman"/>
          <w:b w:val="0"/>
          <w:bCs/>
          <w:sz w:val="32"/>
          <w:szCs w:val="32"/>
          <w:shd w:val="clear" w:color="auto" w:fill="FFFFFF"/>
        </w:rPr>
        <w:t>）年初结转和结余：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五</w:t>
      </w:r>
      <w:r>
        <w:rPr>
          <w:rStyle w:val="10"/>
          <w:rFonts w:hint="default" w:ascii="Times New Roman" w:hAnsi="Times New Roman" w:eastAsia="方正楷体_GBK" w:cs="Times New Roman"/>
          <w:b w:val="0"/>
          <w:bCs/>
          <w:sz w:val="32"/>
          <w:szCs w:val="32"/>
          <w:shd w:val="clear" w:color="auto" w:fill="FFFFFF"/>
        </w:rPr>
        <w:t>）结余分配：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六</w:t>
      </w:r>
      <w:r>
        <w:rPr>
          <w:rStyle w:val="10"/>
          <w:rFonts w:hint="default" w:ascii="Times New Roman" w:hAnsi="Times New Roman" w:eastAsia="方正楷体_GBK" w:cs="Times New Roman"/>
          <w:b w:val="0"/>
          <w:bCs/>
          <w:sz w:val="32"/>
          <w:szCs w:val="32"/>
          <w:shd w:val="clear" w:color="auto" w:fill="FFFFFF"/>
        </w:rPr>
        <w:t>）年末结转和结余：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七</w:t>
      </w:r>
      <w:r>
        <w:rPr>
          <w:rStyle w:val="10"/>
          <w:rFonts w:hint="default" w:ascii="Times New Roman" w:hAnsi="Times New Roman" w:eastAsia="方正楷体_GBK" w:cs="Times New Roman"/>
          <w:b w:val="0"/>
          <w:bCs/>
          <w:sz w:val="32"/>
          <w:szCs w:val="32"/>
          <w:shd w:val="clear" w:color="auto" w:fill="FFFFFF"/>
        </w:rPr>
        <w:t>）基本支出：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八</w:t>
      </w:r>
      <w:r>
        <w:rPr>
          <w:rStyle w:val="10"/>
          <w:rFonts w:hint="default" w:ascii="Times New Roman" w:hAnsi="Times New Roman" w:eastAsia="方正楷体_GBK" w:cs="Times New Roman"/>
          <w:b w:val="0"/>
          <w:bCs/>
          <w:sz w:val="32"/>
          <w:szCs w:val="32"/>
          <w:shd w:val="clear" w:color="auto" w:fill="FFFFFF"/>
        </w:rPr>
        <w:t>）项目支出：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eastAsia="zh-CN"/>
        </w:rPr>
        <w:t>九</w:t>
      </w:r>
      <w:r>
        <w:rPr>
          <w:rStyle w:val="10"/>
          <w:rFonts w:hint="default" w:ascii="Times New Roman" w:hAnsi="Times New Roman" w:eastAsia="方正楷体_GBK" w:cs="Times New Roman"/>
          <w:b w:val="0"/>
          <w:bCs/>
          <w:sz w:val="32"/>
          <w:szCs w:val="32"/>
          <w:shd w:val="clear" w:color="auto" w:fill="FFFFFF"/>
        </w:rPr>
        <w:t>）“三公”经费：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w:t>
      </w:r>
      <w:r>
        <w:rPr>
          <w:rStyle w:val="10"/>
          <w:rFonts w:hint="default" w:ascii="Times New Roman" w:hAnsi="Times New Roman" w:eastAsia="方正楷体_GBK" w:cs="Times New Roman"/>
          <w:b w:val="0"/>
          <w:bCs/>
          <w:sz w:val="32"/>
          <w:szCs w:val="32"/>
          <w:shd w:val="clear" w:color="auto" w:fill="FFFFFF"/>
          <w:lang w:eastAsia="zh-CN"/>
        </w:rPr>
        <w:t>一</w:t>
      </w:r>
      <w:r>
        <w:rPr>
          <w:rStyle w:val="10"/>
          <w:rFonts w:hint="default" w:ascii="Times New Roman" w:hAnsi="Times New Roman" w:eastAsia="方正楷体_GBK" w:cs="Times New Roman"/>
          <w:b w:val="0"/>
          <w:bCs/>
          <w:sz w:val="32"/>
          <w:szCs w:val="32"/>
          <w:shd w:val="clear" w:color="auto" w:fill="FFFFFF"/>
        </w:rPr>
        <w:t>）工资福利支出（支出经济分类科目类级）：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w:t>
      </w:r>
      <w:r>
        <w:rPr>
          <w:rStyle w:val="10"/>
          <w:rFonts w:hint="default" w:ascii="Times New Roman" w:hAnsi="Times New Roman" w:eastAsia="方正楷体_GBK" w:cs="Times New Roman"/>
          <w:b w:val="0"/>
          <w:bCs/>
          <w:sz w:val="32"/>
          <w:szCs w:val="32"/>
          <w:shd w:val="clear" w:color="auto" w:fill="FFFFFF"/>
          <w:lang w:eastAsia="zh-CN"/>
        </w:rPr>
        <w:t>二</w:t>
      </w:r>
      <w:r>
        <w:rPr>
          <w:rStyle w:val="10"/>
          <w:rFonts w:hint="default" w:ascii="Times New Roman" w:hAnsi="Times New Roman" w:eastAsia="方正楷体_GBK" w:cs="Times New Roman"/>
          <w:b w:val="0"/>
          <w:bCs/>
          <w:sz w:val="32"/>
          <w:szCs w:val="32"/>
          <w:shd w:val="clear" w:color="auto" w:fill="FFFFFF"/>
        </w:rPr>
        <w:t>）商品和服务支出（支出经济分类科目类级）：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w:t>
      </w:r>
      <w:r>
        <w:rPr>
          <w:rStyle w:val="10"/>
          <w:rFonts w:hint="default" w:ascii="Times New Roman" w:hAnsi="Times New Roman" w:eastAsia="方正楷体_GBK" w:cs="Times New Roman"/>
          <w:b w:val="0"/>
          <w:bCs/>
          <w:sz w:val="32"/>
          <w:szCs w:val="32"/>
          <w:shd w:val="clear" w:color="auto" w:fill="FFFFFF"/>
          <w:lang w:eastAsia="zh-CN"/>
        </w:rPr>
        <w:t>三</w:t>
      </w:r>
      <w:r>
        <w:rPr>
          <w:rStyle w:val="10"/>
          <w:rFonts w:hint="default" w:ascii="Times New Roman" w:hAnsi="Times New Roman" w:eastAsia="方正楷体_GBK" w:cs="Times New Roman"/>
          <w:b w:val="0"/>
          <w:bCs/>
          <w:sz w:val="32"/>
          <w:szCs w:val="32"/>
          <w:shd w:val="clear" w:color="auto" w:fill="FFFFFF"/>
        </w:rPr>
        <w:t>）对个人和家庭的补助（支出经济分类科目类级）：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w:t>
      </w:r>
      <w:r>
        <w:rPr>
          <w:rStyle w:val="10"/>
          <w:rFonts w:hint="default" w:ascii="Times New Roman" w:hAnsi="Times New Roman" w:eastAsia="方正楷体_GBK" w:cs="Times New Roman"/>
          <w:b w:val="0"/>
          <w:bCs/>
          <w:sz w:val="32"/>
          <w:szCs w:val="32"/>
          <w:shd w:val="clear" w:color="auto" w:fill="FFFFFF"/>
          <w:lang w:eastAsia="zh-CN"/>
        </w:rPr>
        <w:t>四</w:t>
      </w:r>
      <w:r>
        <w:rPr>
          <w:rStyle w:val="10"/>
          <w:rFonts w:hint="default" w:ascii="Times New Roman" w:hAnsi="Times New Roman" w:eastAsia="方正楷体_GBK" w:cs="Times New Roman"/>
          <w:b w:val="0"/>
          <w:bCs/>
          <w:sz w:val="32"/>
          <w:szCs w:val="32"/>
          <w:shd w:val="clear" w:color="auto" w:fill="FFFFFF"/>
        </w:rPr>
        <w:t>）其他资本性支出（支出经济分类科目类级）：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11"/>
        <w:keepNext w:val="0"/>
        <w:keepLines w:val="0"/>
        <w:pageBreakBefore w:val="0"/>
        <w:widowControl/>
        <w:shd w:val="clear"/>
        <w:kinsoku/>
        <w:wordWrap/>
        <w:overflowPunct/>
        <w:topLinePunct w:val="0"/>
        <w:autoSpaceDE w:val="0"/>
        <w:autoSpaceDN/>
        <w:bidi w:val="0"/>
        <w:adjustRightInd/>
        <w:spacing w:beforeAutospacing="0" w:afterAutospacing="0" w:line="560" w:lineRule="exact"/>
        <w:ind w:firstLine="640" w:firstLineChars="200"/>
        <w:textAlignment w:val="auto"/>
        <w:rPr>
          <w:rStyle w:val="10"/>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023-79225719</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pP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ascii="Times New Roman" w:hAnsi="Times New Roman" w:eastAsia="宋体" w:cs="Times New Roman"/>
          <w:sz w:val="21"/>
          <w:szCs w:val="21"/>
        </w:rPr>
      </w:pPr>
    </w:p>
    <w:tbl>
      <w:tblPr>
        <w:tblStyle w:val="7"/>
        <w:tblW w:w="20115" w:type="dxa"/>
        <w:tblInd w:w="1020" w:type="dxa"/>
        <w:shd w:val="clear" w:color="auto" w:fill="auto"/>
        <w:tblLayout w:type="fixed"/>
        <w:tblCellMar>
          <w:top w:w="0" w:type="dxa"/>
          <w:left w:w="0" w:type="dxa"/>
          <w:bottom w:w="0" w:type="dxa"/>
          <w:right w:w="0" w:type="dxa"/>
        </w:tblCellMar>
      </w:tblPr>
      <w:tblGrid>
        <w:gridCol w:w="5561"/>
        <w:gridCol w:w="3394"/>
        <w:gridCol w:w="5955"/>
        <w:gridCol w:w="5205"/>
      </w:tblGrid>
      <w:tr>
        <w:tblPrEx>
          <w:shd w:val="clear" w:color="auto" w:fill="auto"/>
          <w:tblCellMar>
            <w:top w:w="0" w:type="dxa"/>
            <w:left w:w="0" w:type="dxa"/>
            <w:bottom w:w="0" w:type="dxa"/>
            <w:right w:w="0" w:type="dxa"/>
          </w:tblCellMar>
        </w:tblPrEx>
        <w:trPr>
          <w:trHeight w:val="565" w:hRule="atLeast"/>
        </w:trPr>
        <w:tc>
          <w:tcPr>
            <w:tcW w:w="2011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89" w:hRule="atLeast"/>
        </w:trPr>
        <w:tc>
          <w:tcPr>
            <w:tcW w:w="55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394"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59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52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公开01表</w:t>
            </w:r>
          </w:p>
        </w:tc>
      </w:tr>
      <w:tr>
        <w:tblPrEx>
          <w:shd w:val="clear" w:color="auto" w:fill="auto"/>
          <w:tblCellMar>
            <w:top w:w="0" w:type="dxa"/>
            <w:left w:w="0" w:type="dxa"/>
            <w:bottom w:w="0" w:type="dxa"/>
            <w:right w:w="0" w:type="dxa"/>
          </w:tblCellMar>
        </w:tblPrEx>
        <w:trPr>
          <w:trHeight w:val="289" w:hRule="atLeast"/>
        </w:trPr>
        <w:tc>
          <w:tcPr>
            <w:tcW w:w="556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cs="Times New Roman"/>
                <w:sz w:val="24"/>
                <w:szCs w:val="24"/>
                <w:lang w:eastAsia="zh-CN"/>
              </w:rPr>
              <w:t>公开单位</w:t>
            </w:r>
            <w:r>
              <w:rPr>
                <w:rFonts w:hint="default" w:ascii="Times New Roman" w:hAnsi="Times New Roman" w:eastAsia="宋体" w:cs="Times New Roman"/>
                <w:sz w:val="24"/>
                <w:szCs w:val="24"/>
              </w:rPr>
              <w:t>：</w:t>
            </w:r>
            <w:r>
              <w:rPr>
                <w:rFonts w:hint="default" w:ascii="Times New Roman" w:hAnsi="Times New Roman" w:eastAsia="宋体" w:cs="Times New Roman"/>
                <w:sz w:val="24"/>
                <w:u w:color="auto"/>
              </w:rPr>
              <w:t>黔江区群众诉求服务中心</w:t>
            </w:r>
          </w:p>
        </w:tc>
        <w:tc>
          <w:tcPr>
            <w:tcW w:w="3394"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52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298" w:hRule="atLeast"/>
        </w:trPr>
        <w:tc>
          <w:tcPr>
            <w:tcW w:w="895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收入</w:t>
            </w:r>
          </w:p>
        </w:tc>
        <w:tc>
          <w:tcPr>
            <w:tcW w:w="1116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339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lang w:eastAsia="zh-CN"/>
              </w:rPr>
            </w:pPr>
            <w:r>
              <w:rPr>
                <w:rFonts w:hint="default" w:ascii="Times New Roman" w:hAnsi="Times New Roman" w:cs="Times New Roman"/>
                <w:b/>
                <w:i w:val="0"/>
                <w:color w:val="000000"/>
                <w:sz w:val="22"/>
                <w:szCs w:val="22"/>
                <w:u w:val="none"/>
                <w:lang w:eastAsia="zh-CN"/>
              </w:rPr>
              <w:t>功能分类科目</w:t>
            </w:r>
          </w:p>
        </w:tc>
        <w:tc>
          <w:tcPr>
            <w:tcW w:w="52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一、一般公共预算财政拨款收入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95.40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二、政府性基金预算财政拨款收入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三、国有资本经营预算财政拨款收入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四、上级补助收入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五、事业收入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六、经营收入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七、附属单位上缴收入</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八、其他收入</w:t>
            </w:r>
          </w:p>
        </w:tc>
        <w:tc>
          <w:tcPr>
            <w:tcW w:w="3394"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16.90</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6.25</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5.77</w:t>
            </w: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使用非财政拨款结余和专用结余</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结余分配</w:t>
            </w:r>
          </w:p>
        </w:tc>
        <w:tc>
          <w:tcPr>
            <w:tcW w:w="52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年初结转和结余</w:t>
            </w:r>
          </w:p>
        </w:tc>
        <w:tc>
          <w:tcPr>
            <w:tcW w:w="33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年末结转和结余</w:t>
            </w:r>
          </w:p>
        </w:tc>
        <w:tc>
          <w:tcPr>
            <w:tcW w:w="52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556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3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5955"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52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7"/>
        <w:tblW w:w="20145" w:type="dxa"/>
        <w:tblInd w:w="1020" w:type="dxa"/>
        <w:shd w:val="clear" w:color="auto" w:fill="auto"/>
        <w:tblLayout w:type="fixed"/>
        <w:tblCellMar>
          <w:top w:w="0" w:type="dxa"/>
          <w:left w:w="0" w:type="dxa"/>
          <w:bottom w:w="0" w:type="dxa"/>
          <w:right w:w="0" w:type="dxa"/>
        </w:tblCellMar>
      </w:tblPr>
      <w:tblGrid>
        <w:gridCol w:w="992"/>
        <w:gridCol w:w="3675"/>
        <w:gridCol w:w="1983"/>
        <w:gridCol w:w="2399"/>
        <w:gridCol w:w="1963"/>
        <w:gridCol w:w="1963"/>
        <w:gridCol w:w="1963"/>
        <w:gridCol w:w="1963"/>
        <w:gridCol w:w="1963"/>
        <w:gridCol w:w="1281"/>
      </w:tblGrid>
      <w:tr>
        <w:tblPrEx>
          <w:shd w:val="clear" w:color="auto" w:fill="auto"/>
          <w:tblCellMar>
            <w:top w:w="0" w:type="dxa"/>
            <w:left w:w="0" w:type="dxa"/>
            <w:bottom w:w="0" w:type="dxa"/>
            <w:right w:w="0" w:type="dxa"/>
          </w:tblCellMar>
        </w:tblPrEx>
        <w:trPr>
          <w:trHeight w:val="641" w:hRule="atLeast"/>
        </w:trPr>
        <w:tc>
          <w:tcPr>
            <w:tcW w:w="20145"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收入决算表</w:t>
            </w:r>
          </w:p>
        </w:tc>
      </w:tr>
      <w:tr>
        <w:tblPrEx>
          <w:shd w:val="clear" w:color="auto" w:fill="auto"/>
          <w:tblCellMar>
            <w:top w:w="0" w:type="dxa"/>
            <w:left w:w="0" w:type="dxa"/>
            <w:bottom w:w="0" w:type="dxa"/>
            <w:right w:w="0" w:type="dxa"/>
          </w:tblCellMar>
        </w:tblPrEx>
        <w:trPr>
          <w:trHeight w:val="328" w:hRule="atLeast"/>
        </w:trPr>
        <w:tc>
          <w:tcPr>
            <w:tcW w:w="4667"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r>
              <w:rPr>
                <w:rFonts w:hint="default" w:ascii="Times New Roman" w:hAnsi="Times New Roman" w:cs="Times New Roman"/>
                <w:sz w:val="24"/>
                <w:szCs w:val="24"/>
                <w:lang w:eastAsia="zh-CN"/>
              </w:rPr>
              <w:t>公开单位</w:t>
            </w:r>
            <w:r>
              <w:rPr>
                <w:rFonts w:hint="default" w:ascii="Times New Roman" w:hAnsi="Times New Roman" w:eastAsia="宋体" w:cs="Times New Roman"/>
                <w:sz w:val="24"/>
                <w:szCs w:val="24"/>
              </w:rPr>
              <w:t>：</w:t>
            </w:r>
            <w:r>
              <w:rPr>
                <w:rFonts w:hint="default" w:ascii="Times New Roman" w:hAnsi="Times New Roman" w:eastAsia="宋体" w:cs="Times New Roman"/>
                <w:sz w:val="24"/>
                <w:u w:color="auto"/>
              </w:rPr>
              <w:t>黔江区群众诉求服务中心</w:t>
            </w:r>
          </w:p>
        </w:tc>
        <w:tc>
          <w:tcPr>
            <w:tcW w:w="198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公开02表</w:t>
            </w:r>
          </w:p>
        </w:tc>
      </w:tr>
      <w:tr>
        <w:tblPrEx>
          <w:shd w:val="clear" w:color="auto" w:fill="auto"/>
          <w:tblCellMar>
            <w:top w:w="0" w:type="dxa"/>
            <w:left w:w="0" w:type="dxa"/>
            <w:bottom w:w="0" w:type="dxa"/>
            <w:right w:w="0" w:type="dxa"/>
          </w:tblCellMar>
        </w:tblPrEx>
        <w:trPr>
          <w:trHeight w:val="328" w:hRule="atLeast"/>
        </w:trPr>
        <w:tc>
          <w:tcPr>
            <w:tcW w:w="4667"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8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431" w:hRule="atLeast"/>
        </w:trPr>
        <w:tc>
          <w:tcPr>
            <w:tcW w:w="4667"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19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附属单位上缴收入</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34" w:hRule="atLeast"/>
        </w:trPr>
        <w:tc>
          <w:tcPr>
            <w:tcW w:w="99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367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19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9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7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9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7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4" w:hRule="atLeast"/>
        </w:trPr>
        <w:tc>
          <w:tcPr>
            <w:tcW w:w="9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7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46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1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一般公共服务支出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20140</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信访事务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2014004</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信访业务</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11.27</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11.27</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5.63</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5.63</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2101102</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事业单位医疗</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4.81</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4.81</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1.44</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1.44</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3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bl>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备注：1.本表反映单位本年度取得的各项收入情况。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7"/>
        <w:tblW w:w="20220" w:type="dxa"/>
        <w:tblInd w:w="990" w:type="dxa"/>
        <w:shd w:val="clear" w:color="auto" w:fill="auto"/>
        <w:tblLayout w:type="fixed"/>
        <w:tblCellMar>
          <w:top w:w="0" w:type="dxa"/>
          <w:left w:w="0" w:type="dxa"/>
          <w:bottom w:w="0" w:type="dxa"/>
          <w:right w:w="0" w:type="dxa"/>
        </w:tblCellMar>
      </w:tblPr>
      <w:tblGrid>
        <w:gridCol w:w="1092"/>
        <w:gridCol w:w="3528"/>
        <w:gridCol w:w="2760"/>
        <w:gridCol w:w="2760"/>
        <w:gridCol w:w="2760"/>
        <w:gridCol w:w="2760"/>
        <w:gridCol w:w="2760"/>
        <w:gridCol w:w="1800"/>
      </w:tblGrid>
      <w:tr>
        <w:tblPrEx>
          <w:shd w:val="clear" w:color="auto" w:fill="auto"/>
        </w:tblPrEx>
        <w:trPr>
          <w:trHeight w:val="654" w:hRule="atLeast"/>
        </w:trPr>
        <w:tc>
          <w:tcPr>
            <w:tcW w:w="202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342" w:hRule="atLeast"/>
        </w:trPr>
        <w:tc>
          <w:tcPr>
            <w:tcW w:w="462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 xml:space="preserve">黔江区群众诉求服务中心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公开03表</w:t>
            </w:r>
          </w:p>
        </w:tc>
      </w:tr>
      <w:tr>
        <w:tblPrEx>
          <w:shd w:val="clear" w:color="auto" w:fill="auto"/>
          <w:tblCellMar>
            <w:top w:w="0" w:type="dxa"/>
            <w:left w:w="0" w:type="dxa"/>
            <w:bottom w:w="0" w:type="dxa"/>
            <w:right w:w="0" w:type="dxa"/>
          </w:tblCellMar>
        </w:tblPrEx>
        <w:trPr>
          <w:trHeight w:val="342" w:hRule="atLeast"/>
        </w:trPr>
        <w:tc>
          <w:tcPr>
            <w:tcW w:w="462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62"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38" w:hRule="atLeast"/>
        </w:trPr>
        <w:tc>
          <w:tcPr>
            <w:tcW w:w="109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10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10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38" w:hRule="atLeast"/>
        </w:trPr>
        <w:tc>
          <w:tcPr>
            <w:tcW w:w="109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62" w:hRule="atLeast"/>
        </w:trPr>
        <w:tc>
          <w:tcPr>
            <w:tcW w:w="462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20140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95.40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2014004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信访业务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16.90</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11.27</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11.27</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5.63</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5.63</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6.25</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4.81</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4.81</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1.44</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1.44</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b/>
                <w:color w:val="000000"/>
                <w:sz w:val="21"/>
                <w:szCs w:val="21"/>
                <w:lang w:bidi="ar"/>
              </w:rPr>
              <w:t>5.77</w:t>
            </w:r>
            <w:r>
              <w:rPr>
                <w:rFonts w:hint="default" w:ascii="Times New Roman" w:hAnsi="Times New Roman" w:cs="Times New Roman"/>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10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备注：1.本表反映单位本年度取得的各项收入情况。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7"/>
        <w:tblW w:w="20301" w:type="dxa"/>
        <w:tblInd w:w="960" w:type="dxa"/>
        <w:shd w:val="clear" w:color="auto" w:fill="auto"/>
        <w:tblLayout w:type="fixed"/>
        <w:tblCellMar>
          <w:top w:w="0" w:type="dxa"/>
          <w:left w:w="0" w:type="dxa"/>
          <w:bottom w:w="0" w:type="dxa"/>
          <w:right w:w="0" w:type="dxa"/>
        </w:tblCellMar>
      </w:tblPr>
      <w:tblGrid>
        <w:gridCol w:w="3108"/>
        <w:gridCol w:w="2674"/>
        <w:gridCol w:w="3752"/>
        <w:gridCol w:w="2952"/>
        <w:gridCol w:w="2952"/>
        <w:gridCol w:w="2952"/>
        <w:gridCol w:w="1911"/>
      </w:tblGrid>
      <w:tr>
        <w:tblPrEx>
          <w:shd w:val="clear" w:color="auto" w:fill="auto"/>
        </w:tblPrEx>
        <w:trPr>
          <w:trHeight w:val="90" w:hRule="atLeast"/>
        </w:trPr>
        <w:tc>
          <w:tcPr>
            <w:tcW w:w="20301"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578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黔江区群众诉求服务中心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trPr>
        <w:tc>
          <w:tcPr>
            <w:tcW w:w="578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9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90" w:hRule="atLeast"/>
        </w:trPr>
        <w:tc>
          <w:tcPr>
            <w:tcW w:w="578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收     入</w:t>
            </w:r>
          </w:p>
        </w:tc>
        <w:tc>
          <w:tcPr>
            <w:tcW w:w="14519"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90" w:hRule="atLeast"/>
        </w:trPr>
        <w:tc>
          <w:tcPr>
            <w:tcW w:w="31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w:t>
            </w:r>
          </w:p>
        </w:tc>
        <w:tc>
          <w:tcPr>
            <w:tcW w:w="10767"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90" w:hRule="atLeast"/>
        </w:trPr>
        <w:tc>
          <w:tcPr>
            <w:tcW w:w="31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政府性基金预算财政拨款</w:t>
            </w:r>
          </w:p>
        </w:tc>
        <w:tc>
          <w:tcPr>
            <w:tcW w:w="191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95.40</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16.90</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16.90</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6.25</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6.25</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124.31</w:t>
            </w:r>
            <w:r>
              <w:rPr>
                <w:rFonts w:hint="default" w:ascii="Times New Roman" w:hAnsi="Times New Roman" w:cs="Times New Roman"/>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cs="Times New Roman"/>
                <w:color w:val="000000"/>
                <w:sz w:val="21"/>
                <w:szCs w:val="21"/>
                <w:lang w:val="en-US" w:eastAsia="zh-CN" w:bidi="ar"/>
              </w:rPr>
              <w:t xml:space="preserve"> </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0355" w:type="dxa"/>
        <w:tblInd w:w="921" w:type="dxa"/>
        <w:shd w:val="clear" w:color="auto" w:fill="auto"/>
        <w:tblLayout w:type="fixed"/>
        <w:tblCellMar>
          <w:top w:w="0" w:type="dxa"/>
          <w:left w:w="0" w:type="dxa"/>
          <w:bottom w:w="0" w:type="dxa"/>
          <w:right w:w="0" w:type="dxa"/>
        </w:tblCellMar>
      </w:tblPr>
      <w:tblGrid>
        <w:gridCol w:w="1773"/>
        <w:gridCol w:w="5151"/>
        <w:gridCol w:w="4817"/>
        <w:gridCol w:w="4817"/>
        <w:gridCol w:w="3797"/>
      </w:tblGrid>
      <w:tr>
        <w:tblPrEx>
          <w:shd w:val="clear" w:color="auto" w:fill="auto"/>
        </w:tblPrEx>
        <w:trPr>
          <w:trHeight w:val="510" w:hRule="atLeast"/>
        </w:trPr>
        <w:tc>
          <w:tcPr>
            <w:tcW w:w="2035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692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黔江区群众诉求服务中心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7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公开05表</w:t>
            </w:r>
          </w:p>
        </w:tc>
      </w:tr>
      <w:tr>
        <w:tblPrEx>
          <w:shd w:val="clear" w:color="auto" w:fill="auto"/>
          <w:tblCellMar>
            <w:top w:w="0" w:type="dxa"/>
            <w:left w:w="0" w:type="dxa"/>
            <w:bottom w:w="0" w:type="dxa"/>
            <w:right w:w="0" w:type="dxa"/>
          </w:tblCellMar>
        </w:tblPrEx>
        <w:trPr>
          <w:trHeight w:val="285" w:hRule="atLeast"/>
        </w:trPr>
        <w:tc>
          <w:tcPr>
            <w:tcW w:w="692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37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08" w:hRule="atLeast"/>
        </w:trPr>
        <w:tc>
          <w:tcPr>
            <w:tcW w:w="6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1343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177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37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8" w:hRule="atLeast"/>
        </w:trPr>
        <w:tc>
          <w:tcPr>
            <w:tcW w:w="177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7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177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7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color w:val="000000"/>
                <w:sz w:val="21"/>
                <w:szCs w:val="21"/>
                <w:lang w:bidi="ar"/>
              </w:rPr>
              <w:t>124.31</w:t>
            </w:r>
            <w:r>
              <w:rPr>
                <w:rFonts w:hint="default" w:ascii="Times New Roman" w:hAnsi="Times New Roman" w:cs="Times New Roman"/>
                <w:b/>
                <w:bCs/>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95.40</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95.40</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20140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95.40</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95.40</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2014004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信访业务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95.40</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95.40</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16.90</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16.90</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16.90</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16.90</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11.27</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11.27</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5.63</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5.63</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6.25</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6.25</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6.25</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6.25</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4.81</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4.81</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1.44</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1.44</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5.77</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5.77</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5.77</w:t>
            </w:r>
            <w:r>
              <w:rPr>
                <w:rFonts w:hint="default" w:ascii="Times New Roman" w:hAnsi="Times New Roman" w:cs="Times New Roman"/>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bCs w:val="0"/>
                <w:color w:val="000000"/>
                <w:sz w:val="21"/>
                <w:szCs w:val="21"/>
                <w:lang w:bidi="ar"/>
              </w:rPr>
              <w:t>5.77</w:t>
            </w:r>
            <w:r>
              <w:rPr>
                <w:rFonts w:hint="default" w:ascii="Times New Roman" w:hAnsi="Times New Roman" w:cs="Times New Roman"/>
                <w:b/>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177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5.77</w:t>
            </w:r>
            <w:r>
              <w:rPr>
                <w:rFonts w:hint="default" w:ascii="Times New Roman" w:hAnsi="Times New Roman" w:cs="Times New Roman"/>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eastAsia="宋体" w:cs="Times New Roman"/>
                <w:b w:val="0"/>
                <w:bCs w:val="0"/>
                <w:color w:val="000000"/>
                <w:sz w:val="21"/>
                <w:szCs w:val="21"/>
                <w:lang w:bidi="ar"/>
              </w:rPr>
              <w:t>5.77</w:t>
            </w:r>
            <w:r>
              <w:rPr>
                <w:rFonts w:hint="default" w:ascii="Times New Roman" w:hAnsi="Times New Roman" w:cs="Times New Roman"/>
                <w:b w:val="0"/>
                <w:bCs w:val="0"/>
                <w:color w:val="000000"/>
                <w:sz w:val="21"/>
                <w:szCs w:val="21"/>
                <w:lang w:val="en-US" w:eastAsia="zh-CN" w:bidi="ar"/>
              </w:rPr>
              <w:t xml:space="preserve"> </w:t>
            </w:r>
          </w:p>
        </w:tc>
        <w:tc>
          <w:tcPr>
            <w:tcW w:w="37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val="0"/>
                <w:bCs w:val="0"/>
                <w:color w:val="000000"/>
                <w:sz w:val="21"/>
                <w:szCs w:val="21"/>
                <w:lang w:val="en-US" w:eastAsia="zh-CN" w:bidi="ar"/>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numPr>
          <w:ilvl w:val="0"/>
          <w:numId w:val="0"/>
        </w:numPr>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0139" w:type="dxa"/>
        <w:tblInd w:w="936" w:type="dxa"/>
        <w:shd w:val="clear" w:color="auto" w:fill="auto"/>
        <w:tblLayout w:type="fixed"/>
        <w:tblCellMar>
          <w:top w:w="0" w:type="dxa"/>
          <w:left w:w="0" w:type="dxa"/>
          <w:bottom w:w="0" w:type="dxa"/>
          <w:right w:w="0" w:type="dxa"/>
        </w:tblCellMar>
      </w:tblPr>
      <w:tblGrid>
        <w:gridCol w:w="746"/>
        <w:gridCol w:w="3102"/>
        <w:gridCol w:w="2829"/>
        <w:gridCol w:w="1122"/>
        <w:gridCol w:w="2330"/>
        <w:gridCol w:w="2747"/>
        <w:gridCol w:w="1509"/>
        <w:gridCol w:w="4465"/>
        <w:gridCol w:w="1289"/>
      </w:tblGrid>
      <w:tr>
        <w:tblPrEx>
          <w:shd w:val="clear" w:color="auto" w:fill="auto"/>
        </w:tblPrEx>
        <w:trPr>
          <w:trHeight w:val="590" w:hRule="atLeast"/>
        </w:trPr>
        <w:tc>
          <w:tcPr>
            <w:tcW w:w="20139"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2" w:hRule="atLeast"/>
        </w:trPr>
        <w:tc>
          <w:tcPr>
            <w:tcW w:w="384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黔江区群众诉求服务中心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2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公开06表</w:t>
            </w:r>
          </w:p>
        </w:tc>
      </w:tr>
      <w:tr>
        <w:tblPrEx>
          <w:shd w:val="clear" w:color="auto" w:fill="auto"/>
          <w:tblCellMar>
            <w:top w:w="0" w:type="dxa"/>
            <w:left w:w="0" w:type="dxa"/>
            <w:bottom w:w="0" w:type="dxa"/>
            <w:right w:w="0" w:type="dxa"/>
          </w:tblCellMar>
        </w:tblPrEx>
        <w:trPr>
          <w:trHeight w:val="302" w:hRule="atLeast"/>
        </w:trPr>
        <w:tc>
          <w:tcPr>
            <w:tcW w:w="384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2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shd w:val="clear" w:color="auto" w:fill="auto"/>
          <w:tblCellMar>
            <w:top w:w="0" w:type="dxa"/>
            <w:left w:w="0" w:type="dxa"/>
            <w:bottom w:w="0" w:type="dxa"/>
            <w:right w:w="0" w:type="dxa"/>
          </w:tblCellMar>
        </w:tblPrEx>
        <w:trPr>
          <w:trHeight w:val="311" w:hRule="atLeast"/>
        </w:trPr>
        <w:tc>
          <w:tcPr>
            <w:tcW w:w="6677"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人员经费</w:t>
            </w:r>
          </w:p>
        </w:tc>
        <w:tc>
          <w:tcPr>
            <w:tcW w:w="13462"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12" w:hRule="atLeast"/>
        </w:trPr>
        <w:tc>
          <w:tcPr>
            <w:tcW w:w="74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31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经济分类科目（按“款”级功能分类科目）</w:t>
            </w:r>
          </w:p>
        </w:tc>
        <w:tc>
          <w:tcPr>
            <w:tcW w:w="12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cs="Times New Roman"/>
                <w:b/>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799" w:hRule="atLeast"/>
        </w:trPr>
        <w:tc>
          <w:tcPr>
            <w:tcW w:w="74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1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2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113.38</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10.94</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资本性支出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30101</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27.00</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0.37</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房屋建筑物购建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30102</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2.85</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办公设备购置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30103</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专用设备购置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30106</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5.00</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基础设施建设</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30107</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49.46</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大型修缮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30108</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11.27</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1.50</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信息网络及软件购置更新</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30109</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5.63</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2.61</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物资储备</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4"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30110</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4.81</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土地补偿</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30111</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安置补助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33"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30112</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0.14</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0.98</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地上附着物和青苗补偿</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30113</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5.77</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拆迁补偿</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30114</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1.44</w:t>
            </w: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30199</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其他交通工具购置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文物和陈列品购置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30301</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0.72</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无形资产购置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30302</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其他资本性支出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30303</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对企业补助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30304</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资本金注入</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30305</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政府投资基金股权投资</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30306</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费用补贴</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30307</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利息补贴</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30308</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3.79</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其他对企业补助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30309</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0.96</w:t>
            </w: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其他支出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30310</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国家赔偿费用支出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30311</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对民间非营利组织和群众性自治组织补贴</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30399</w:t>
            </w: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经常性赠与</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资本性赠与</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其他支出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11" w:hRule="atLeast"/>
        </w:trPr>
        <w:tc>
          <w:tcPr>
            <w:tcW w:w="74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310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1" w:hRule="atLeast"/>
        </w:trPr>
        <w:tc>
          <w:tcPr>
            <w:tcW w:w="384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color w:val="000000"/>
                <w:sz w:val="21"/>
                <w:szCs w:val="21"/>
                <w:lang w:bidi="ar"/>
              </w:rPr>
              <w:t>113.38</w:t>
            </w:r>
            <w:r>
              <w:rPr>
                <w:rFonts w:hint="default" w:ascii="Times New Roman" w:hAnsi="Times New Roman" w:cs="Times New Roman"/>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公用经费合计</w:t>
            </w:r>
          </w:p>
        </w:tc>
        <w:tc>
          <w:tcPr>
            <w:tcW w:w="12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color w:val="000000"/>
                <w:sz w:val="21"/>
                <w:szCs w:val="21"/>
                <w:lang w:bidi="ar"/>
              </w:rPr>
              <w:t>10.94</w:t>
            </w: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sz w:val="21"/>
          <w:szCs w:val="21"/>
        </w:rPr>
      </w:pPr>
    </w:p>
    <w:tbl>
      <w:tblPr>
        <w:tblStyle w:val="7"/>
        <w:tblW w:w="20143" w:type="dxa"/>
        <w:tblInd w:w="947" w:type="dxa"/>
        <w:shd w:val="clear" w:color="auto" w:fill="auto"/>
        <w:tblLayout w:type="fixed"/>
        <w:tblCellMar>
          <w:top w:w="0" w:type="dxa"/>
          <w:left w:w="0" w:type="dxa"/>
          <w:bottom w:w="0" w:type="dxa"/>
          <w:right w:w="0" w:type="dxa"/>
        </w:tblCellMar>
      </w:tblPr>
      <w:tblGrid>
        <w:gridCol w:w="1739"/>
        <w:gridCol w:w="4465"/>
        <w:gridCol w:w="2473"/>
        <w:gridCol w:w="2473"/>
        <w:gridCol w:w="2473"/>
        <w:gridCol w:w="2473"/>
        <w:gridCol w:w="2558"/>
        <w:gridCol w:w="1489"/>
      </w:tblGrid>
      <w:tr>
        <w:tblPrEx>
          <w:shd w:val="clear" w:color="auto" w:fill="auto"/>
          <w:tblCellMar>
            <w:top w:w="0" w:type="dxa"/>
            <w:left w:w="0" w:type="dxa"/>
            <w:bottom w:w="0" w:type="dxa"/>
            <w:right w:w="0" w:type="dxa"/>
          </w:tblCellMar>
        </w:tblPrEx>
        <w:trPr>
          <w:trHeight w:val="644" w:hRule="atLeast"/>
        </w:trPr>
        <w:tc>
          <w:tcPr>
            <w:tcW w:w="20143"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620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黔江区群众诉求服务中心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14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620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148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tblCellMar>
            <w:top w:w="0" w:type="dxa"/>
            <w:left w:w="0" w:type="dxa"/>
            <w:bottom w:w="0" w:type="dxa"/>
            <w:right w:w="0" w:type="dxa"/>
          </w:tblCellMar>
        </w:tblPrEx>
        <w:trPr>
          <w:trHeight w:val="339" w:hRule="atLeast"/>
        </w:trPr>
        <w:tc>
          <w:tcPr>
            <w:tcW w:w="62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17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35" w:hRule="atLeast"/>
        </w:trPr>
        <w:tc>
          <w:tcPr>
            <w:tcW w:w="17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645" w:hRule="atLeast"/>
        </w:trPr>
        <w:tc>
          <w:tcPr>
            <w:tcW w:w="17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39" w:hRule="atLeast"/>
        </w:trPr>
        <w:tc>
          <w:tcPr>
            <w:tcW w:w="620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tblCellMar>
            <w:top w:w="0" w:type="dxa"/>
            <w:left w:w="0" w:type="dxa"/>
            <w:bottom w:w="0" w:type="dxa"/>
            <w:right w:w="0" w:type="dxa"/>
          </w:tblCellMar>
        </w:tblPrEx>
        <w:trPr>
          <w:trHeight w:val="349" w:hRule="atLeast"/>
        </w:trPr>
        <w:tc>
          <w:tcPr>
            <w:tcW w:w="17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宋体" w:cs="Times New Roman"/>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eastAsia="宋体" w:cs="Times New Roman"/>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14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19603" w:type="dxa"/>
        <w:tblInd w:w="1307" w:type="dxa"/>
        <w:shd w:val="clear" w:color="auto" w:fill="auto"/>
        <w:tblLayout w:type="fixed"/>
        <w:tblCellMar>
          <w:top w:w="0" w:type="dxa"/>
          <w:left w:w="0" w:type="dxa"/>
          <w:bottom w:w="0" w:type="dxa"/>
          <w:right w:w="0" w:type="dxa"/>
        </w:tblCellMar>
      </w:tblPr>
      <w:tblGrid>
        <w:gridCol w:w="1422"/>
        <w:gridCol w:w="4420"/>
        <w:gridCol w:w="4736"/>
        <w:gridCol w:w="5423"/>
        <w:gridCol w:w="3602"/>
      </w:tblGrid>
      <w:tr>
        <w:tblPrEx>
          <w:shd w:val="clear" w:color="auto" w:fill="auto"/>
        </w:tblPrEx>
        <w:trPr>
          <w:trHeight w:val="650" w:hRule="atLeast"/>
        </w:trPr>
        <w:tc>
          <w:tcPr>
            <w:tcW w:w="19603"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40"/>
                <w:szCs w:val="40"/>
                <w:u w:val="none"/>
              </w:rPr>
            </w:pPr>
            <w:r>
              <w:rPr>
                <w:rFonts w:hint="default" w:ascii="Times New Roman" w:hAnsi="Times New Roman" w:eastAsia="宋体" w:cs="Times New Roman"/>
                <w:b/>
                <w:i w:val="0"/>
                <w:color w:val="000000"/>
                <w:kern w:val="0"/>
                <w:sz w:val="44"/>
                <w:szCs w:val="44"/>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58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r>
              <w:rPr>
                <w:rFonts w:hint="default" w:ascii="Times New Roman" w:hAnsi="Times New Roman" w:cs="Times New Roman" w:eastAsiaTheme="minorEastAsia"/>
                <w:sz w:val="24"/>
                <w:szCs w:val="24"/>
                <w:lang w:eastAsia="zh-CN"/>
              </w:rPr>
              <w:t>公开单位</w:t>
            </w:r>
            <w:r>
              <w:rPr>
                <w:rFonts w:hint="default" w:ascii="Times New Roman" w:hAnsi="Times New Roman" w:cs="Times New Roman" w:eastAsiaTheme="minorEastAsia"/>
                <w:color w:val="000000"/>
                <w:sz w:val="24"/>
                <w:szCs w:val="24"/>
                <w:lang w:bidi="ar"/>
              </w:rPr>
              <w:t xml:space="preserve">： </w:t>
            </w:r>
            <w:r>
              <w:rPr>
                <w:rFonts w:hint="default" w:ascii="Times New Roman" w:hAnsi="Times New Roman" w:cs="Times New Roman"/>
                <w:color w:val="000000"/>
                <w:sz w:val="24"/>
                <w:u w:color="auto"/>
              </w:rPr>
              <w:t>黔江区群众诉求服务中心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360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58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2"/>
                <w:szCs w:val="22"/>
                <w:u w:val="none"/>
              </w:rPr>
            </w:pPr>
          </w:p>
        </w:tc>
        <w:tc>
          <w:tcPr>
            <w:tcW w:w="360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w:t>
            </w:r>
            <w:r>
              <w:rPr>
                <w:rFonts w:hint="default" w:ascii="Times New Roman" w:hAnsi="Times New Roman" w:eastAsia="宋体" w:cs="Times New Roman"/>
                <w:sz w:val="24"/>
                <w:szCs w:val="24"/>
              </w:rPr>
              <w:t>万元</w:t>
            </w:r>
          </w:p>
        </w:tc>
      </w:tr>
      <w:tr>
        <w:tblPrEx>
          <w:tblCellMar>
            <w:top w:w="0" w:type="dxa"/>
            <w:left w:w="0" w:type="dxa"/>
            <w:bottom w:w="0" w:type="dxa"/>
            <w:right w:w="0" w:type="dxa"/>
          </w:tblCellMar>
        </w:tblPrEx>
        <w:trPr>
          <w:trHeight w:val="422" w:hRule="atLeast"/>
        </w:trPr>
        <w:tc>
          <w:tcPr>
            <w:tcW w:w="58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w:t>
            </w:r>
          </w:p>
        </w:tc>
        <w:tc>
          <w:tcPr>
            <w:tcW w:w="1376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14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基本支出</w:t>
            </w:r>
          </w:p>
        </w:tc>
        <w:tc>
          <w:tcPr>
            <w:tcW w:w="360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14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39" w:hRule="atLeast"/>
        </w:trPr>
        <w:tc>
          <w:tcPr>
            <w:tcW w:w="14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312" w:hRule="atLeast"/>
        </w:trPr>
        <w:tc>
          <w:tcPr>
            <w:tcW w:w="14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60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611" w:hRule="atLeast"/>
        </w:trPr>
        <w:tc>
          <w:tcPr>
            <w:tcW w:w="58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b/>
                <w:i w:val="0"/>
                <w:color w:val="000000"/>
                <w:sz w:val="22"/>
                <w:szCs w:val="22"/>
                <w:u w:val="none"/>
              </w:rPr>
            </w:pP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b/>
                <w:bCs/>
                <w:color w:val="000000"/>
                <w:sz w:val="21"/>
                <w:szCs w:val="21"/>
                <w:lang w:val="en-US" w:eastAsia="zh-CN" w:bidi="ar"/>
              </w:rPr>
              <w:t xml:space="preserve"> </w:t>
            </w:r>
          </w:p>
        </w:tc>
      </w:tr>
      <w:tr>
        <w:tblPrEx>
          <w:tblCellMar>
            <w:top w:w="0" w:type="dxa"/>
            <w:left w:w="0" w:type="dxa"/>
            <w:bottom w:w="0" w:type="dxa"/>
            <w:right w:w="0" w:type="dxa"/>
          </w:tblCellMar>
        </w:tblPrEx>
        <w:trPr>
          <w:trHeight w:val="488" w:hRule="atLeast"/>
        </w:trPr>
        <w:tc>
          <w:tcPr>
            <w:tcW w:w="14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b/>
                <w:i w:val="0"/>
                <w:color w:val="000000"/>
                <w:sz w:val="22"/>
                <w:szCs w:val="22"/>
                <w:u w:val="none"/>
              </w:rPr>
            </w:pP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000000"/>
                <w:sz w:val="22"/>
                <w:szCs w:val="22"/>
                <w:u w:val="none"/>
                <w:lang w:val="en-US" w:eastAsia="zh-CN"/>
              </w:rPr>
            </w:pPr>
            <w:r>
              <w:rPr>
                <w:rFonts w:hint="default" w:ascii="Times New Roman" w:hAnsi="Times New Roman" w:cs="Times New Roman"/>
                <w:color w:val="000000"/>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7"/>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黔江区群众诉求服务中心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0.72</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四、差旅费</w:t>
            </w:r>
          </w:p>
        </w:tc>
        <w:tc>
          <w:tcPr>
            <w:tcW w:w="382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 xml:space="preserve"> </w:t>
            </w:r>
            <w:r>
              <w:rPr>
                <w:rFonts w:hint="eastAsia" w:ascii="宋体" w:hAnsi="宋体" w:eastAsia="宋体" w:cs="宋体"/>
                <w:color w:val="000000"/>
                <w:sz w:val="21"/>
                <w:szCs w:val="21"/>
                <w:lang w:bidi="ar"/>
              </w:rPr>
              <w:t>0.98</w:t>
            </w:r>
            <w:r>
              <w:rPr>
                <w:rFonts w:hint="eastAsia" w:ascii="宋体" w:hAnsi="宋体" w:eastAsia="宋体"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default" w:ascii="Times New Roman" w:hAnsi="Times New Roman" w:eastAsia="宋体" w:cs="Times New Roman"/>
          <w:sz w:val="21"/>
          <w:szCs w:val="21"/>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textWrapping"/>
      </w:r>
      <w:r>
        <w:rPr>
          <w:rFonts w:hint="default" w:ascii="Times New Roman" w:hAnsi="Times New Roman" w:eastAsia="宋体" w:cs="Times New Roman"/>
          <w:sz w:val="21"/>
          <w:szCs w:val="21"/>
        </w:rPr>
        <w:br w:type="textWrapping"/>
      </w: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pStyle w:val="11"/>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23811" w:h="16838"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45B64"/>
    <w:rsid w:val="06194FF1"/>
    <w:rsid w:val="06A2550B"/>
    <w:rsid w:val="06F80EE2"/>
    <w:rsid w:val="07001CCA"/>
    <w:rsid w:val="075678DB"/>
    <w:rsid w:val="079D7CC7"/>
    <w:rsid w:val="08051BCA"/>
    <w:rsid w:val="0849572C"/>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A200D2"/>
    <w:rsid w:val="12C921C4"/>
    <w:rsid w:val="13871C70"/>
    <w:rsid w:val="13A71CB4"/>
    <w:rsid w:val="13AF1D43"/>
    <w:rsid w:val="13CE1647"/>
    <w:rsid w:val="13FD55AB"/>
    <w:rsid w:val="14200702"/>
    <w:rsid w:val="15100497"/>
    <w:rsid w:val="154D433D"/>
    <w:rsid w:val="163A6CEE"/>
    <w:rsid w:val="173708E3"/>
    <w:rsid w:val="17C374FC"/>
    <w:rsid w:val="184E0FA9"/>
    <w:rsid w:val="189079DC"/>
    <w:rsid w:val="189B0D0B"/>
    <w:rsid w:val="18B43F7C"/>
    <w:rsid w:val="18D13745"/>
    <w:rsid w:val="194A1770"/>
    <w:rsid w:val="19B906A4"/>
    <w:rsid w:val="1A6253DE"/>
    <w:rsid w:val="1B6F15B6"/>
    <w:rsid w:val="1BAA2EDC"/>
    <w:rsid w:val="1C912CF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E66CC"/>
    <w:rsid w:val="1FBB35CD"/>
    <w:rsid w:val="1FCD26AF"/>
    <w:rsid w:val="20642787"/>
    <w:rsid w:val="21556F04"/>
    <w:rsid w:val="22403BD3"/>
    <w:rsid w:val="236628B9"/>
    <w:rsid w:val="24B92327"/>
    <w:rsid w:val="24C14514"/>
    <w:rsid w:val="2533755C"/>
    <w:rsid w:val="25791755"/>
    <w:rsid w:val="26396DF4"/>
    <w:rsid w:val="265C2D3C"/>
    <w:rsid w:val="27167136"/>
    <w:rsid w:val="27B23302"/>
    <w:rsid w:val="29310A5F"/>
    <w:rsid w:val="29C37A35"/>
    <w:rsid w:val="2A076083"/>
    <w:rsid w:val="2A73162E"/>
    <w:rsid w:val="2AC53A02"/>
    <w:rsid w:val="2B167953"/>
    <w:rsid w:val="2B200583"/>
    <w:rsid w:val="2B8209DE"/>
    <w:rsid w:val="2C384859"/>
    <w:rsid w:val="2C6762A3"/>
    <w:rsid w:val="2CAB4861"/>
    <w:rsid w:val="2D5F583A"/>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0090A"/>
    <w:rsid w:val="352930DB"/>
    <w:rsid w:val="35573069"/>
    <w:rsid w:val="355F6038"/>
    <w:rsid w:val="358C217E"/>
    <w:rsid w:val="36C9128A"/>
    <w:rsid w:val="37841E99"/>
    <w:rsid w:val="37BF1123"/>
    <w:rsid w:val="383C3F15"/>
    <w:rsid w:val="38BE4696"/>
    <w:rsid w:val="3939115E"/>
    <w:rsid w:val="398B7014"/>
    <w:rsid w:val="39B82A39"/>
    <w:rsid w:val="39B83EF6"/>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530930"/>
    <w:rsid w:val="41E0734B"/>
    <w:rsid w:val="426C1EA8"/>
    <w:rsid w:val="42736402"/>
    <w:rsid w:val="42E86A87"/>
    <w:rsid w:val="43307B09"/>
    <w:rsid w:val="438C4686"/>
    <w:rsid w:val="439A3EB9"/>
    <w:rsid w:val="43BB152F"/>
    <w:rsid w:val="44C37687"/>
    <w:rsid w:val="45CB699A"/>
    <w:rsid w:val="465B470D"/>
    <w:rsid w:val="469D6AD4"/>
    <w:rsid w:val="471E6C84"/>
    <w:rsid w:val="4748792B"/>
    <w:rsid w:val="475D719D"/>
    <w:rsid w:val="47674801"/>
    <w:rsid w:val="48225EF7"/>
    <w:rsid w:val="487A2387"/>
    <w:rsid w:val="488F422B"/>
    <w:rsid w:val="48E36915"/>
    <w:rsid w:val="495C4A24"/>
    <w:rsid w:val="497135DF"/>
    <w:rsid w:val="4A263DF2"/>
    <w:rsid w:val="4A6F6675"/>
    <w:rsid w:val="4B135857"/>
    <w:rsid w:val="4B7951CB"/>
    <w:rsid w:val="4B7C315C"/>
    <w:rsid w:val="4BF61499"/>
    <w:rsid w:val="4CCB794E"/>
    <w:rsid w:val="4DAC4ACA"/>
    <w:rsid w:val="4DBE01D2"/>
    <w:rsid w:val="4F0C6BA3"/>
    <w:rsid w:val="4F186D58"/>
    <w:rsid w:val="50F06B6E"/>
    <w:rsid w:val="51D21804"/>
    <w:rsid w:val="52234D33"/>
    <w:rsid w:val="522F6E0C"/>
    <w:rsid w:val="52463BA1"/>
    <w:rsid w:val="52DD4E2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E4859"/>
    <w:rsid w:val="55BE2E85"/>
    <w:rsid w:val="56530F5D"/>
    <w:rsid w:val="5660353E"/>
    <w:rsid w:val="567700D3"/>
    <w:rsid w:val="56C854A7"/>
    <w:rsid w:val="56FF7E9E"/>
    <w:rsid w:val="57671164"/>
    <w:rsid w:val="578867FC"/>
    <w:rsid w:val="5842572D"/>
    <w:rsid w:val="589F3AD4"/>
    <w:rsid w:val="5A3B59D6"/>
    <w:rsid w:val="5AD134D8"/>
    <w:rsid w:val="5C263CE4"/>
    <w:rsid w:val="5C5D2777"/>
    <w:rsid w:val="5CF66BF3"/>
    <w:rsid w:val="5D290C69"/>
    <w:rsid w:val="5E973B2A"/>
    <w:rsid w:val="5F2D4A41"/>
    <w:rsid w:val="5F4C0C3F"/>
    <w:rsid w:val="60453420"/>
    <w:rsid w:val="6056529D"/>
    <w:rsid w:val="60C74F6C"/>
    <w:rsid w:val="60FE00E1"/>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560CAE"/>
    <w:rsid w:val="6C576495"/>
    <w:rsid w:val="6D903FF5"/>
    <w:rsid w:val="6DA955B8"/>
    <w:rsid w:val="6DD30EA9"/>
    <w:rsid w:val="6DE346AB"/>
    <w:rsid w:val="6DE5391A"/>
    <w:rsid w:val="6E296E91"/>
    <w:rsid w:val="6EFD1324"/>
    <w:rsid w:val="6F5A53AC"/>
    <w:rsid w:val="6FAC003D"/>
    <w:rsid w:val="6FE55E12"/>
    <w:rsid w:val="6FFB2E76"/>
    <w:rsid w:val="70107098"/>
    <w:rsid w:val="708F6F7F"/>
    <w:rsid w:val="70D94BD3"/>
    <w:rsid w:val="71C34D91"/>
    <w:rsid w:val="72DB435C"/>
    <w:rsid w:val="72E2613A"/>
    <w:rsid w:val="72F771F4"/>
    <w:rsid w:val="73934AD2"/>
    <w:rsid w:val="73A03DC2"/>
    <w:rsid w:val="750837F0"/>
    <w:rsid w:val="754758CF"/>
    <w:rsid w:val="75920D0E"/>
    <w:rsid w:val="764F62AB"/>
    <w:rsid w:val="765C45EC"/>
    <w:rsid w:val="768A7619"/>
    <w:rsid w:val="772E1EBA"/>
    <w:rsid w:val="780659D7"/>
    <w:rsid w:val="781926BC"/>
    <w:rsid w:val="796D60A4"/>
    <w:rsid w:val="79A031D5"/>
    <w:rsid w:val="7A1525F7"/>
    <w:rsid w:val="7B420052"/>
    <w:rsid w:val="7BD06A28"/>
    <w:rsid w:val="7C3A7C0B"/>
    <w:rsid w:val="7C5248E4"/>
    <w:rsid w:val="7C566698"/>
    <w:rsid w:val="7C5866A3"/>
    <w:rsid w:val="7D7406BB"/>
    <w:rsid w:val="7DE94331"/>
    <w:rsid w:val="7E02719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5">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7669</Words>
  <Characters>9194</Characters>
  <Lines>161</Lines>
  <Paragraphs>45</Paragraphs>
  <TotalTime>6</TotalTime>
  <ScaleCrop>false</ScaleCrop>
  <LinksUpToDate>false</LinksUpToDate>
  <CharactersWithSpaces>10186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2025-09-16T05:47:57Z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7E41A94778C84255A4BD3283F2C2F732_13</vt:lpwstr>
  </property>
  <property fmtid="{D5CDD505-2E9C-101B-9397-08002B2CF9AE}" pid="4" name="KSOTemplateDocerSaveRecord">
    <vt:lpwstr>eyJoZGlkIjoiMjAzYjZiNWNkYzc5MTA3M2ZjYzg2NzUwZjVkYTM3YmYiLCJ1c2VySWQiOiIxMTI4NjY2ODk1In0=</vt:lpwstr>
  </property>
</Properties>
</file>