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重庆市黔江区医疗保障局转发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333333"/>
          <w:spacing w:val="0"/>
          <w:w w:val="90"/>
          <w:sz w:val="44"/>
          <w:szCs w:val="44"/>
          <w:shd w:val="clear" w:fill="FFFFFF"/>
        </w:rPr>
        <w:t>关于基本医疗保险待遇享受时间有关问题的通知的</w:t>
      </w:r>
      <w:r>
        <w:rPr>
          <w:rFonts w:hint="eastAsia" w:ascii="方正小标宋_GBK" w:hAnsi="方正小标宋_GBK" w:eastAsia="方正小标宋_GBK" w:cs="方正小标宋_GBK"/>
          <w:i w:val="0"/>
          <w:caps w:val="0"/>
          <w:color w:val="333333"/>
          <w:spacing w:val="0"/>
          <w:sz w:val="44"/>
          <w:szCs w:val="44"/>
          <w:shd w:val="clear" w:fill="FFFFFF"/>
        </w:rPr>
        <w:t>通</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caps w:val="0"/>
          <w:color w:val="333333"/>
          <w:spacing w:val="0"/>
          <w:sz w:val="44"/>
          <w:szCs w:val="44"/>
          <w:shd w:val="clear" w:fill="FFFFFF"/>
        </w:rPr>
        <w:t>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Times New Roman" w:hAnsi="Times New Roman" w:eastAsia="方正仿宋_GBK" w:cs="Times New Roman"/>
          <w:i w:val="0"/>
          <w:caps w:val="0"/>
          <w:color w:val="333333"/>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各乡镇人民政府，各街道办事处，各定点医药机构：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640" w:firstLineChars="200"/>
        <w:jc w:val="both"/>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现将《重庆市医疗保障局关于基本医疗保险待遇享受时间有关问题的通知》（渝医保发〔2022〕7号）转发给你们，请加强宣传并认真贯彻执行。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Times New Roman" w:hAnsi="Times New Roman" w:eastAsia="方正仿宋_GBK" w:cs="Times New Roman"/>
          <w:i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Times New Roman" w:hAnsi="Times New Roman" w:eastAsia="方正仿宋_GBK" w:cs="Times New Roman"/>
          <w:i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bdr w:val="none" w:color="auto" w:sz="0" w:space="0"/>
          <w:shd w:val="clear" w:fill="FFFFFF"/>
        </w:rPr>
        <w:t>重庆市黔江区医疗保障局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bdr w:val="none" w:color="auto" w:sz="0" w:space="0"/>
          <w:shd w:val="clear" w:fill="FFFFFF"/>
        </w:rPr>
        <w:t>2022年</w:t>
      </w:r>
      <w:r>
        <w:rPr>
          <w:rFonts w:hint="eastAsia" w:ascii="Times New Roman" w:hAnsi="Times New Roman" w:eastAsia="方正仿宋_GBK" w:cs="Times New Roman"/>
          <w:i w:val="0"/>
          <w:caps w:val="0"/>
          <w:color w:val="333333"/>
          <w:spacing w:val="0"/>
          <w:sz w:val="32"/>
          <w:szCs w:val="32"/>
          <w:bdr w:val="none" w:color="auto" w:sz="0" w:space="0"/>
          <w:shd w:val="clear" w:fill="FFFFFF"/>
          <w:lang w:val="en-US" w:eastAsia="zh-CN"/>
        </w:rPr>
        <w:t>12</w:t>
      </w:r>
      <w:r>
        <w:rPr>
          <w:rFonts w:hint="default" w:ascii="Times New Roman" w:hAnsi="Times New Roman" w:eastAsia="方正仿宋_GBK" w:cs="Times New Roman"/>
          <w:i w:val="0"/>
          <w:caps w:val="0"/>
          <w:color w:val="333333"/>
          <w:spacing w:val="0"/>
          <w:sz w:val="32"/>
          <w:szCs w:val="32"/>
          <w:bdr w:val="none" w:color="auto" w:sz="0" w:space="0"/>
          <w:shd w:val="clear" w:fill="FFFFFF"/>
        </w:rPr>
        <w:t>月</w:t>
      </w:r>
      <w:r>
        <w:rPr>
          <w:rFonts w:hint="eastAsia" w:ascii="Times New Roman" w:hAnsi="Times New Roman" w:eastAsia="方正仿宋_GBK" w:cs="Times New Roman"/>
          <w:i w:val="0"/>
          <w:caps w:val="0"/>
          <w:color w:val="333333"/>
          <w:spacing w:val="0"/>
          <w:sz w:val="32"/>
          <w:szCs w:val="32"/>
          <w:bdr w:val="none" w:color="auto" w:sz="0" w:space="0"/>
          <w:shd w:val="clear" w:fill="FFFFFF"/>
          <w:lang w:val="en-US" w:eastAsia="zh-CN"/>
        </w:rPr>
        <w:t>26</w:t>
      </w:r>
      <w:r>
        <w:rPr>
          <w:rFonts w:hint="default" w:ascii="Times New Roman" w:hAnsi="Times New Roman" w:eastAsia="方正仿宋_GBK" w:cs="Times New Roman"/>
          <w:i w:val="0"/>
          <w:caps w:val="0"/>
          <w:color w:val="333333"/>
          <w:spacing w:val="0"/>
          <w:sz w:val="32"/>
          <w:szCs w:val="32"/>
          <w:bdr w:val="none" w:color="auto" w:sz="0" w:space="0"/>
          <w:shd w:val="clear" w:fill="FFFFFF"/>
        </w:rPr>
        <w:t>日</w:t>
      </w:r>
    </w:p>
    <w:p>
      <w:pPr>
        <w:spacing w:line="600" w:lineRule="exact"/>
        <w:jc w:val="center"/>
        <w:rPr>
          <w:rFonts w:eastAsia="方正小标宋_GBK"/>
        </w:rPr>
      </w:pPr>
    </w:p>
    <w:p>
      <w:pPr>
        <w:pStyle w:val="2"/>
        <w:rPr>
          <w:rFonts w:eastAsia="方正小标宋_GBK"/>
        </w:rPr>
      </w:pPr>
    </w:p>
    <w:p>
      <w:pPr>
        <w:rPr>
          <w:rFonts w:eastAsia="方正小标宋_GBK"/>
        </w:rPr>
      </w:pPr>
    </w:p>
    <w:p>
      <w:pP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bookmarkStart w:id="0" w:name="_GoBack"/>
      <w:bookmarkEnd w:id="0"/>
      <w:r>
        <w:rPr>
          <w:rFonts w:hint="eastAsia" w:eastAsia="方正小标宋_GBK"/>
          <w:sz w:val="44"/>
          <w:szCs w:val="44"/>
        </w:rPr>
        <w:t>重庆市医疗保障局关于</w:t>
      </w:r>
    </w:p>
    <w:p>
      <w:pPr>
        <w:spacing w:line="600" w:lineRule="exact"/>
        <w:jc w:val="center"/>
        <w:rPr>
          <w:rFonts w:eastAsia="方正黑体_GBK"/>
          <w:sz w:val="44"/>
          <w:szCs w:val="44"/>
        </w:rPr>
      </w:pPr>
      <w:r>
        <w:rPr>
          <w:rFonts w:hint="eastAsia" w:eastAsia="方正小标宋_GBK"/>
          <w:sz w:val="44"/>
          <w:szCs w:val="44"/>
        </w:rPr>
        <w:t>公布部分新增医疗服务价格项目的通知</w:t>
      </w:r>
    </w:p>
    <w:p>
      <w:pPr>
        <w:jc w:val="center"/>
        <w:rPr>
          <w:rFonts w:eastAsia="方正仿宋_GBK" w:cs="方正仿宋_GBK"/>
          <w:sz w:val="32"/>
          <w:szCs w:val="32"/>
        </w:rPr>
      </w:pPr>
      <w:r>
        <w:rPr>
          <w:rFonts w:hint="eastAsia" w:eastAsia="方正仿宋_GBK" w:cs="方正仿宋_GBK"/>
          <w:sz w:val="32"/>
          <w:szCs w:val="32"/>
        </w:rPr>
        <w:t>渝医保发〔</w:t>
      </w:r>
      <w:r>
        <w:rPr>
          <w:rFonts w:hint="eastAsia" w:ascii="Times New Roman" w:hAnsi="Times New Roman" w:eastAsia="方正仿宋_GBK"/>
          <w:sz w:val="32"/>
          <w:szCs w:val="32"/>
          <w:lang w:eastAsia="zh-CN"/>
        </w:rPr>
        <w:t>2022</w:t>
      </w:r>
      <w:r>
        <w:rPr>
          <w:rFonts w:hint="eastAsia" w:eastAsia="方正仿宋_GBK" w:cs="方正仿宋_GBK"/>
          <w:sz w:val="32"/>
          <w:szCs w:val="32"/>
        </w:rPr>
        <w:t>〕</w:t>
      </w:r>
      <w:r>
        <w:rPr>
          <w:rFonts w:hint="eastAsia" w:ascii="Times New Roman" w:hAnsi="Times New Roman" w:eastAsia="方正仿宋_GBK"/>
          <w:sz w:val="32"/>
          <w:szCs w:val="32"/>
          <w:lang w:eastAsia="zh-CN"/>
        </w:rPr>
        <w:t>28</w:t>
      </w:r>
      <w:r>
        <w:rPr>
          <w:rFonts w:hint="eastAsia" w:eastAsia="方正仿宋_GBK" w:cs="方正仿宋_GBK"/>
          <w:sz w:val="32"/>
          <w:szCs w:val="32"/>
        </w:rPr>
        <w:t>号</w:t>
      </w:r>
    </w:p>
    <w:p>
      <w:pPr>
        <w:spacing w:line="600" w:lineRule="exact"/>
        <w:rPr>
          <w:rFonts w:eastAsia="方正仿宋_GBK"/>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各区县（自治县）医保局，两江新区社会保障局、高新区政务服务和社会事务中心、万盛经开区人力社保局，相关医疗机构：</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根据《中共中央国务院关于深化医疗保障制度改革的意见》（中发〔2020〕5号）和《国家</w:t>
      </w:r>
      <w:r>
        <w:rPr>
          <w:rFonts w:hint="eastAsia" w:ascii="Times New Roman" w:hAnsi="Times New Roman" w:eastAsia="方正仿宋_GBK" w:cs="方正仿宋_GBK"/>
          <w:bCs/>
          <w:sz w:val="32"/>
          <w:szCs w:val="32"/>
        </w:rPr>
        <w:t>医疗保障局</w:t>
      </w:r>
      <w:r>
        <w:rPr>
          <w:rFonts w:hint="eastAsia" w:ascii="Times New Roman" w:hAnsi="Times New Roman" w:eastAsia="方正仿宋_GBK" w:cs="方正仿宋_GBK"/>
          <w:sz w:val="32"/>
          <w:szCs w:val="32"/>
        </w:rPr>
        <w:t>办公室关于进一步做好医疗服务价格管理工作的通知》（医保办发〔2022〕16号）等文件精神，为加快新增医疗服务价格项目审核、促进创新医疗技术临床推广应用，经研究决定，公布我市部分新增医疗服务价格项目，现就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我市部分新增医疗服务价格项目表（附件1）中公布的医疗机构为试行该新增医疗服务价格项目的医疗机构。公布试行价格的，医疗机构可参照试行。公布市场调节价的，医疗机构根据实际运行成本，按照公平合法、诚实信用、质价相符的原则合理自主制定价格，并保持一定时期内价格水平相对稳定。</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二、医疗机构要严格执行价格公示、费用清单等制度，自觉接受社会监督，充分保障患者知情权和选择权，不得强制或诱导服务消费。</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除公布的试行医疗机构外，其他医疗机构申请开展已公布新增医疗服务价格项目的，应按照《重庆市新增医疗服务价格项目管理办法（试行）》有关规定，提供相关申报材料并填报《医疗机构新增医疗服务价格项目备案表》（附件2），经市医保局审核同意后参照试行，未经审核的，一律不得自行开展相关新增医疗服务价格项目。</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四、各级医保部门要加强监管，严格督促相关医疗机构落实价格政策，发现问题及时上报。</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本通知自2023年1月16日起执行，试行期两年。试行期间，医疗机构应加强价格项目成本核算及执行情况收集工作。市医保局将定期对价格项目执行情况进行评估检查。若国家及我市有新规定的，按新规定执行。</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附件：1．重庆市部分新增医疗服务价格项目表</w:t>
      </w:r>
    </w:p>
    <w:p>
      <w:pPr>
        <w:keepNext w:val="0"/>
        <w:keepLines w:val="0"/>
        <w:pageBreakBefore w:val="0"/>
        <w:widowControl w:val="0"/>
        <w:kinsoku/>
        <w:wordWrap/>
        <w:overflowPunct/>
        <w:topLinePunct w:val="0"/>
        <w:autoSpaceDE/>
        <w:autoSpaceDN/>
        <w:bidi w:val="0"/>
        <w:adjustRightInd/>
        <w:snapToGrid/>
        <w:spacing w:line="640" w:lineRule="exact"/>
        <w:ind w:firstLine="636"/>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2．医疗机构新增医疗服务价格项目备案表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重庆市医疗保障局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2022年12月23日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eastAsia="方正仿宋_GBK"/>
          <w:sz w:val="32"/>
          <w:szCs w:val="20"/>
          <w:lang w:eastAsia="zh-CN"/>
        </w:rPr>
      </w:pPr>
      <w:r>
        <w:rPr>
          <w:rFonts w:hint="eastAsia" w:ascii="方正仿宋_GBK" w:eastAsia="方正仿宋_GBK"/>
          <w:sz w:val="32"/>
          <w:szCs w:val="20"/>
          <w:lang w:eastAsia="zh-CN"/>
        </w:rPr>
        <w:t>（此件公开发布）</w:t>
      </w:r>
    </w:p>
    <w:p>
      <w:pPr>
        <w:rPr>
          <w:rFonts w:hAnsi="方正仿宋_GBK" w:eastAsia="方正黑体_GBK" w:cs="方正仿宋_GBK"/>
          <w:kern w:val="0"/>
          <w:sz w:val="28"/>
          <w:szCs w:val="21"/>
          <w:shd w:val="clear" w:color="auto" w:fill="FFFFFF"/>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附件1</w:t>
      </w:r>
    </w:p>
    <w:p>
      <w:pPr>
        <w:jc w:val="center"/>
        <w:rPr>
          <w:rFonts w:ascii="方正小标宋_GBK" w:hAnsi="方正小标宋_GBK" w:eastAsia="方正小标宋_GBK" w:cs="方正小标宋_GBK"/>
          <w:bCs/>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重庆市部分新增医疗服务价格项目表</w:t>
      </w:r>
    </w:p>
    <w:p/>
    <w:tbl>
      <w:tblPr>
        <w:tblStyle w:val="8"/>
        <w:tblW w:w="13030" w:type="dxa"/>
        <w:tblInd w:w="-244" w:type="dxa"/>
        <w:tblLayout w:type="fixed"/>
        <w:tblCellMar>
          <w:top w:w="0" w:type="dxa"/>
          <w:left w:w="0" w:type="dxa"/>
          <w:bottom w:w="0" w:type="dxa"/>
          <w:right w:w="0" w:type="dxa"/>
        </w:tblCellMar>
      </w:tblPr>
      <w:tblGrid>
        <w:gridCol w:w="435"/>
        <w:gridCol w:w="1100"/>
        <w:gridCol w:w="1276"/>
        <w:gridCol w:w="4394"/>
        <w:gridCol w:w="992"/>
        <w:gridCol w:w="567"/>
        <w:gridCol w:w="851"/>
        <w:gridCol w:w="1417"/>
        <w:gridCol w:w="1998"/>
      </w:tblGrid>
      <w:tr>
        <w:tblPrEx>
          <w:tblLayout w:type="fixed"/>
          <w:tblCellMar>
            <w:top w:w="0" w:type="dxa"/>
            <w:left w:w="0" w:type="dxa"/>
            <w:bottom w:w="0" w:type="dxa"/>
            <w:right w:w="0" w:type="dxa"/>
          </w:tblCellMar>
        </w:tblPrEx>
        <w:trPr>
          <w:trHeight w:val="658" w:hRule="atLeast"/>
          <w:tblHead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项目名称</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项目内涵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除外内容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计价单位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试行价格（元）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计价说明</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24"/>
                <w:szCs w:val="24"/>
                <w:lang w:bidi="ar"/>
              </w:rPr>
              <w:t>试行医疗机构</w:t>
            </w:r>
          </w:p>
        </w:tc>
      </w:tr>
      <w:tr>
        <w:tblPrEx>
          <w:tblLayout w:type="fixed"/>
          <w:tblCellMar>
            <w:top w:w="0" w:type="dxa"/>
            <w:left w:w="0" w:type="dxa"/>
            <w:bottom w:w="0" w:type="dxa"/>
            <w:right w:w="0" w:type="dxa"/>
          </w:tblCellMar>
        </w:tblPrEx>
        <w:trPr>
          <w:cantSplit/>
          <w:trHeight w:val="19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120800003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肠内营养配置</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在肠内营养配置室进行的肠内营养粉（或液）的配置。由具有营养师资质的专业人员，将相关食材、肠内营养制剂、特殊医学用途配方食品，按无菌技术规范进行准备、称重、研磨、灌装、消毒、核对并储存。留取样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袋</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重庆医科大学附属第二医院、陆军特色医学中心、重庆大学附属肿瘤医院、重庆医科大学附属永川医院、重庆市中医院、重庆市急救医疗中心</w:t>
            </w:r>
          </w:p>
        </w:tc>
      </w:tr>
      <w:tr>
        <w:tblPrEx>
          <w:tblLayout w:type="fixed"/>
          <w:tblCellMar>
            <w:top w:w="0" w:type="dxa"/>
            <w:left w:w="0" w:type="dxa"/>
            <w:bottom w:w="0" w:type="dxa"/>
            <w:right w:w="0" w:type="dxa"/>
          </w:tblCellMar>
        </w:tblPrEx>
        <w:trPr>
          <w:cantSplit/>
          <w:trHeight w:val="18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120800004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经鼻空肠营养管置管术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适当体位，铺巾，清洁鼻腔，测量需置入深度，标记，检查导管是否通畅，充分润滑；经一侧鼻腔插入鼻胃肠管，通过听诊、回抽等方法判断鼻胃肠管通过幽门并到达十二指肠；继续随胃肠蠕动推进导管至测量长度，再次注水，回抽液体，经PH试纸测试确定鼻肠管进入空肠，拔出导丝，固定导管，做好管道标识，观察患者反应并记录，做好健康教育及心理护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一次性鼻胃肠管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1个住院周期内计费不超过5次。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重庆医科大学附属第二医院、重庆市人民医院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210500005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近红外脑功能成像检查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通过特定光谱近红外光对大脑功能区进行实时同步检测，分析光照射局部大脑功能区对光的吸收量，评估大脑皮质活动状态及其功能水平。</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重庆市精神卫生中心</w:t>
            </w:r>
          </w:p>
        </w:tc>
      </w:tr>
      <w:tr>
        <w:tblPrEx>
          <w:tblLayout w:type="fixed"/>
          <w:tblCellMar>
            <w:top w:w="0" w:type="dxa"/>
            <w:left w:w="0" w:type="dxa"/>
            <w:bottom w:w="0" w:type="dxa"/>
            <w:right w:w="0" w:type="dxa"/>
          </w:tblCellMar>
        </w:tblPrEx>
        <w:trPr>
          <w:cantSplit/>
          <w:trHeight w:val="11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220302015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胎儿系统彩色多普勒超声检查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系统性检查胎儿颅腔、脊柱、口鼻、心脏四腔心、胸部、腹部、膀胱、四肢长骨等，并进行胎儿双顶径、头围、腹围、股骨、羊水量测量，观察脐带血流、胎盘。进行标准切面图像留存。作出诊断，图文报告。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每胎</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220302016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实时三维盆底超声检查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查看申请要求，了解患者相应病史。铺垫，探头套隔离套后置于会阴部，获得静息状态盆底图像，再分别做最大乏萨瓦动作（Valsaval动作）及缩肛动作后获得二维静态及动态图像，留存图像；再利用三维容积探头分别做最大乏萨瓦动作（Valsaval）及缩肛动作后获得实时三维静态及动态图像，留存图像；回放并分析测量。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4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220400004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经颅多普勒超声发泡试验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判断心脏卵圆孔未闭的诱发试验。在经颅多普勒超声检查（TCD）和动脉栓子监测基础上，为患者建立静脉通道，将手振生理盐水推入静脉，观测大脑中动脉栓子信号。根据结果记录，人工出报告，专业医师审核报告。包括卵圆孔未闭分级测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陆军军医大学第一附属医院、重庆市人民医院</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220500003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超声弹性成像检查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查看申请要求，了解患者相应病史。常规二维超声及彩色多普勒进行病变部位检查后，在病变部分感兴趣区进行超声弹性成像检查，以帮助鉴别病变性质。作出诊断，图文报告。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重庆大学附属肿瘤医院、重庆市妇幼保健院</w:t>
            </w:r>
          </w:p>
        </w:tc>
      </w:tr>
      <w:tr>
        <w:tblPrEx>
          <w:tblLayout w:type="fixed"/>
          <w:tblCellMar>
            <w:top w:w="0" w:type="dxa"/>
            <w:left w:w="0" w:type="dxa"/>
            <w:bottom w:w="0" w:type="dxa"/>
            <w:right w:w="0" w:type="dxa"/>
          </w:tblCellMar>
        </w:tblPrEx>
        <w:trPr>
          <w:cantSplit/>
          <w:trHeight w:val="105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220500004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孕妇-胎儿血流动力学彩超检测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指对患者子宫动脉、胎儿大脑中动脉(MCA)、胎儿腹内的静脉导管（DV）的彩色多普勒超声检查，配有医学超声影像工作站进行标准切面及异常部位图像留存。作出诊断，图文报告。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每胎</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7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240200005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放射治疗复杂四维定位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摆位，固定，将体位中心移至治疗中心，必要时静脉输注对比剂，通过（螺旋CT、MRI、MRS、PET-CT)等影像设备获取定位影像，校正治疗中心并标记，再通过心电门控，呼吸追踪、颅骨追踪、椎体追踪、金标追踪、病灶追踪等器官运动控制相关技术，将定位影像进行三维影像分解，重建获取得到四维影像，完成放疗四维定位。</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疗程</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光子束术中放射治疗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确定靶区，选择及固定施源器，遮蔽重要器官，机器剂量、参数校准，确定处方剂量，机器操作及照射。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陆军军医大学第二附属医院、重庆大学附属肿瘤医院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240300019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螺旋断层调强放射治疗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调用螺旋断层放疗个性化治疗计划，根据CT扫描图像与定位CT图像校验,机器自动修正摆位误差，体位固定，机器操作，逐层围绕肿瘤进行360度旋转聚焦照射。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陆军军医大学第一附属医院、重庆大学附属肿瘤医院</w:t>
            </w:r>
          </w:p>
        </w:tc>
      </w:tr>
      <w:tr>
        <w:tblPrEx>
          <w:tblLayout w:type="fixed"/>
          <w:tblCellMar>
            <w:top w:w="0" w:type="dxa"/>
            <w:left w:w="0" w:type="dxa"/>
            <w:bottom w:w="0" w:type="dxa"/>
            <w:right w:w="0" w:type="dxa"/>
          </w:tblCellMar>
        </w:tblPrEx>
        <w:trPr>
          <w:cantSplit/>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240300020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图像引导的三维立体定向放射治疗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摆位，体位固定，开启呼吸同步追踪系统，调入放疗计划和患者CT扫描重建数字影像，实时数字影像采集，计算和消除患者位置误差，建立呼吸模型，建立肿瘤随呼吸的运动模型，验证运动模型的准确度并确认，执行治疗。含实时监控。</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6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240300021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X射线立体定向放射外科治疗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摆体位，固定，在影像学引导下，对肿瘤进行立体定位，追踪、检测并自动纠正肿瘤位移，使用射线束进行非等中心、非共面照射，实现对靶区包绕。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同一患者同一疗程，首次以后每次7500元，一个疗程不超过40000元。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250102038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前列腺小体外泄蛋白（PSEP）检测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样本类型：尿液。样本采集、签收、处理，孵育，仪器定量测定，审核结果，录入实验室信息系统或人工登记，发送报告；按规定处理废弃物；接受临床相关咨询。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250104037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精子透明质酸结合试验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样本类型：精液。样本采集、签收、处理、质控、检测、结果计算、审核结果，录入实验室信息系统，发送报告；按规定处理废弃物；接收临床相关咨询。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2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血清异常凝血酶原（PIVKA-II）测定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重庆医科大学附属第一医院、陆军军医大学第一附属医院、重庆大学附属肿瘤医院</w:t>
            </w:r>
          </w:p>
        </w:tc>
      </w:tr>
      <w:tr>
        <w:tblPrEx>
          <w:tblLayout w:type="fixed"/>
          <w:tblCellMar>
            <w:top w:w="0" w:type="dxa"/>
            <w:left w:w="0" w:type="dxa"/>
            <w:bottom w:w="0" w:type="dxa"/>
            <w:right w:w="0" w:type="dxa"/>
          </w:tblCellMar>
        </w:tblPrEx>
        <w:trPr>
          <w:cantSplit/>
          <w:trHeight w:val="139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纤溶酶-α2纤溶酶抑制剂复合体(PIC)定量测定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样本类型：血液。样本采集，分离血浆，加入试剂，仪器测定，审核结果，录入实验室信息系统或人工登记，发送报告；按规定处理废弃物；接受临床相关咨询。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陆军军医大学第一附属医院、陆军特色医学中心、重庆市急救医疗中心、重庆大学附属肿瘤医院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250203086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纤维蛋白单体检测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样本类型：血浆。样本采集，签收、样本预处理，检测纤维蛋白单体。审核结果，录入实验室信息系统，发送报告；按规定处理废弃物；接受临床相关咨询。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重庆医科大学附属第一医院、重庆医科大学附属第二医院、重庆市急救医疗中心、重庆两江新区第一人民医院</w:t>
            </w:r>
          </w:p>
        </w:tc>
      </w:tr>
      <w:tr>
        <w:tblPrEx>
          <w:tblLayout w:type="fixed"/>
          <w:tblCellMar>
            <w:top w:w="0" w:type="dxa"/>
            <w:left w:w="0" w:type="dxa"/>
            <w:bottom w:w="0" w:type="dxa"/>
            <w:right w:w="0" w:type="dxa"/>
          </w:tblCellMar>
        </w:tblPrEx>
        <w:trPr>
          <w:cantSplit/>
          <w:trHeight w:val="87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250301024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钙卫蛋白检测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样本类型：粪便。样本采集、签收、入库，质量控制，样本检测，录入实验室信息系统或人工登记，审核报告，按规定处理废弃物，接受临床相关咨询。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重庆医科大学附属第一医院、陆军军医大学第二附属医院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250301025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β淀粉样蛋白检测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样本类型：血液、脑脊液、尿液。样本采集、签收、处理，定标和质控，检测样本，审核结果，录入实验室信息系统或人工登记，发送报告；按规定处理废弃物；接收临床相关咨询。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250303020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中性粒细胞明胶酶相关脂质运载蛋白（NGAL）测定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样本类型：外周血或尿液。样本采集、签收、处理，定标和质控，检测样本，审核结果，录入实验室信息系统或人工登记，发送报告；按规定处理废弃物；接受临床相关咨询。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重庆医科大学附属第二医院、重庆医科大学附属第三医院、重大附属三峡医院</w:t>
            </w:r>
          </w:p>
        </w:tc>
      </w:tr>
      <w:tr>
        <w:tblPrEx>
          <w:tblLayout w:type="fixed"/>
          <w:tblCellMar>
            <w:top w:w="0" w:type="dxa"/>
            <w:left w:w="0" w:type="dxa"/>
            <w:bottom w:w="0" w:type="dxa"/>
            <w:right w:w="0" w:type="dxa"/>
          </w:tblCellMar>
        </w:tblPrEx>
        <w:trPr>
          <w:cantSplit/>
          <w:trHeight w:val="9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250310068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促甲状腺激素受体刺激性抗体检测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样本类型：血清或血浆；样本采集，加入试剂、测定，审核结果，录入实验室信息系统或人工登记，发送报告；按规定处理废弃物；接受临床相关咨询。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86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250310069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类固醇激素串联质谱法检测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6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免疫球蛋白游离轻链检测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标本类型：血液、尿液。样本采集、签收、处理，定标和质控，检测样本，审核结果，录入实验室信息系统或人工登记，发送报告；按规定处理废弃物；接受临床相关咨询。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重庆医科大学附属第一医院、重庆医科大学附属第二医院、陆军军医大学第一附属医院、陆军军医大学第二附属医院</w:t>
            </w:r>
          </w:p>
        </w:tc>
      </w:tr>
      <w:tr>
        <w:tblPrEx>
          <w:tblLayout w:type="fixed"/>
          <w:tblCellMar>
            <w:top w:w="0" w:type="dxa"/>
            <w:left w:w="0" w:type="dxa"/>
            <w:bottom w:w="0" w:type="dxa"/>
            <w:right w:w="0" w:type="dxa"/>
          </w:tblCellMar>
        </w:tblPrEx>
        <w:trPr>
          <w:cantSplit/>
          <w:trHeight w:val="12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T细胞活化标志检测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CD25/CD69/CD127/CD38/HLA-DR等。样本类型：血液、骨髓、关节液。样本采集、签收、处理，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总计费不超过300元。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243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淋巴细胞精细分型检测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T分化亚群、毒性/抑制T细胞、滤泡辅助T细胞、调节Treg细胞、TH1/TH2/TH17/THF细胞、衰老T淋巴细胞、NK分化亚群、初始/记忆NK细胞、B淋巴分化亚群、浆母细胞及调节Breg细胞等。样本类型：血液、骨髓、关节液。样本采集、签收、处理，样本用淋巴相关单克隆荧光抗体设门识别(CD45/CD3/CD4/CD8/CD19/CD16/CD/56/CD24/IgM/IgD/CD1d等)。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总计费不超过480元。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单核细胞分化增殖检测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骨髓、关节液。样本采集、签收、处理，样本用单克隆荧光抗体标定(识别单核细胞CD14/CD45/CD33/CD16/HLA-DR设门标志，包括经典单核MO1、中间型MO2、不典型单核细胞MO3分型，以及单核HLA-DR/CD56/CD64增殖指数）孵育，固定，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胎盘生长因子检测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样本类型：血液或尿液。样本采集、接收、检测、审核结果录入实验室信息系统或人工登记，发送报告；按规定处理废弃物；接受临床相关咨询。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250401046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血清人表皮生长因子受体-2(HER</w:t>
            </w:r>
            <w:r>
              <w:rPr>
                <w:rFonts w:hint="eastAsia" w:ascii="Times New Roman" w:hAnsi="Times New Roman" w:eastAsia="宋体" w:cs="宋体"/>
                <w:color w:val="000000"/>
                <w:kern w:val="0"/>
                <w:sz w:val="20"/>
                <w:lang w:bidi="ar"/>
              </w:rPr>
              <w:noBreakHyphen/>
            </w:r>
            <w:r>
              <w:rPr>
                <w:rFonts w:hint="eastAsia" w:ascii="Times New Roman" w:hAnsi="Times New Roman" w:eastAsia="宋体" w:cs="宋体"/>
                <w:color w:val="000000"/>
                <w:kern w:val="0"/>
                <w:sz w:val="20"/>
                <w:lang w:bidi="ar"/>
              </w:rPr>
              <w:t>2/neu)测定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样本类型：血清。样本采集，加入试剂、测定，审核结果，录入实验室信息系统或人工登记，发送报告；按规定处理废弃物；接受临床相关咨询。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抗BP230抗体IgG检测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抗肌炎抗体谱检测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抗Mi-2、Ku、PM-Scl100、PM-Scl75、Jo-1、SRP、PL-7、PL-12、EJ与Ro-52共10种不同抗原IgG类抗体。样本类型：血清或血浆。样本采集、签收、处理，加免疫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总计费不超过800元。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w:t>
            </w:r>
          </w:p>
        </w:tc>
      </w:tr>
      <w:tr>
        <w:tblPrEx>
          <w:tblLayout w:type="fixed"/>
          <w:tblCellMar>
            <w:top w:w="0" w:type="dxa"/>
            <w:left w:w="0" w:type="dxa"/>
            <w:bottom w:w="0" w:type="dxa"/>
            <w:right w:w="0" w:type="dxa"/>
          </w:tblCellMar>
        </w:tblPrEx>
        <w:trPr>
          <w:cantSplit/>
          <w:trHeight w:val="118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250402062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抗桥粒芯蛋白1（Dsg1）抗体检测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样本类型：血清。样本采集、签收、处理，定标和质控，检测样本，审核结果，录入实验室信息系统或人工登记，发送报告；按规定处理废弃物；接受临床相关咨询。包括：抗桥粒芯蛋白3（Dsg3）抗体检测。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250403099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巨细胞病毒抗体亲和力测定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样本类型：血液。样本采集、签收、处理，加免疫试剂，温育，检测，质控，审核结果，录入实验室信息系统或人工登记，发送报告；按规定处理废弃物；接受临床相关咨询。包括IgG、IgM亲和力测定。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梅毒VDRL抗原测定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脑脊液。样本采集、签收、处理，现配抗原溶液，处理标本，与现配的抗原进行反应，用显微镜进行检测，质控，审核结果，录入实验室信息系统，发送报告；按照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肠道病毒抗原检测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大便。样本采集、签收、处理，加免疫试剂，温育，检测，质控，审核结果，录入实验室信息系统或人工登记，发送报告；按规定处理废弃物；接受临床相关咨询。包括埃可病毒、柯萨奇病毒、腺病毒、星状病毒、诺如病毒抗原检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2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副流感病毒抗原检测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甲、乙、丙型抗原。样本类型：鼻咽拭子、咽拭子、肺泡灌洗液、痰液等。样本采集、签收、处理，加免疫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呼吸道病原体抗体测定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样本类型：鼻咽拭子、灌洗液、血清、血浆等各类样本。样本采集、签收、处理，定标和质控，检测样本，审核结果，录入实验室信息系统或人工登记，发送报告；按规定处理废弃物；接受临床相关咨询。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每种抗体</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每次计费不超过9种抗体。</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重庆医科大学附属第二医院、陆军军医大学第一附属医院、陆军特色医学中心</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250403104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艰难梭菌谷氨酸脱氢酶抗原及毒素检测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样本类型：粪便。样本采集、签收、处理，定标和质控，检测样本，审核结果，录入实验室信息系统或人工登记，发送报告；按规定处理废弃物；接受临床相关咨询。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重庆医科大学附属第二医院、重庆市急救医疗中心、重庆市公共卫生医疗救治中心</w:t>
            </w:r>
          </w:p>
        </w:tc>
      </w:tr>
      <w:tr>
        <w:tblPrEx>
          <w:tblLayout w:type="fixed"/>
          <w:tblCellMar>
            <w:top w:w="0" w:type="dxa"/>
            <w:left w:w="0" w:type="dxa"/>
            <w:bottom w:w="0" w:type="dxa"/>
            <w:right w:w="0" w:type="dxa"/>
          </w:tblCellMar>
        </w:tblPrEx>
        <w:trPr>
          <w:cantSplit/>
          <w:trHeight w:val="105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前列腺特异性抗原同源异构体（P2PSA）检测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样本类型：血清和血浆。样本采集、签收、处理，定标和质控，检测样本，审核结果，录入实验室信息系统或人工登记，发送报告；按规定处理废弃物；接受临床相关咨询。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陆军军医大学第一附属医院、重庆大学附属肿瘤医院</w:t>
            </w:r>
          </w:p>
        </w:tc>
      </w:tr>
      <w:tr>
        <w:tblPrEx>
          <w:tblLayout w:type="fixed"/>
          <w:tblCellMar>
            <w:top w:w="0" w:type="dxa"/>
            <w:left w:w="0" w:type="dxa"/>
            <w:bottom w:w="0" w:type="dxa"/>
            <w:right w:w="0" w:type="dxa"/>
          </w:tblCellMar>
        </w:tblPrEx>
        <w:trPr>
          <w:cantSplit/>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氨基酸代谢谱检测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25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250404035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循环肿瘤细胞定量检测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样本类型：血液。样本采集、签收、处理，加入试剂，温育，检测，质控，审核结果，录入实验室信息系统或人工登记，发送报告；按规定处理废弃物；接受临床相关咨询。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重庆医科大学附属第一医院、重庆医科大学附属第二医院、陆军特色医学中心、重庆大学附属肿瘤医院、重庆市急救医疗中心、重庆医科大学附属永川医院、重大附属三峡医院、大足区中医院</w:t>
            </w:r>
          </w:p>
        </w:tc>
      </w:tr>
      <w:tr>
        <w:tblPrEx>
          <w:tblLayout w:type="fixed"/>
          <w:tblCellMar>
            <w:top w:w="0" w:type="dxa"/>
            <w:left w:w="0" w:type="dxa"/>
            <w:bottom w:w="0" w:type="dxa"/>
            <w:right w:w="0" w:type="dxa"/>
          </w:tblCellMar>
        </w:tblPrEx>
        <w:trPr>
          <w:cantSplit/>
          <w:trHeight w:val="235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250405010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过敏原特异性IgE抗体定量检测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总IgE、鱼（鳕鱼）、牛奶、蛋白、小麦、大豆、牛肉、芝麻、巴西坚果、榛子、椰子、杏仁、花生、蟹、虾、狗皮屑、猫皮屑、马皮屑、牛皮屑、艾蒿、蒲公英、雏菊、梯牧草、车前草、普通白桦树、枫叶梧桐、百慕达草、屋尘、烟曲霉、链格孢、德国小蠊、粉尘螨、户尘螨、热带螨等。样本类型：血清。样本采集，签收，处理，加免疫试剂，温育，孵育，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陆军军医大学第一附属医院、重庆市人民医院</w:t>
            </w:r>
          </w:p>
        </w:tc>
      </w:tr>
      <w:tr>
        <w:tblPrEx>
          <w:tblLayout w:type="fixed"/>
          <w:tblCellMar>
            <w:top w:w="0" w:type="dxa"/>
            <w:left w:w="0" w:type="dxa"/>
            <w:bottom w:w="0" w:type="dxa"/>
            <w:right w:w="0" w:type="dxa"/>
          </w:tblCellMar>
        </w:tblPrEx>
        <w:trPr>
          <w:cantSplit/>
          <w:trHeight w:val="11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250501045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真菌荧光染色检查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样本签收，涂片制备，涂片消毒，固定，荧光染色，镜检，人工判读结果。审核结果，录入实验室信息系统或人工登记，发送报告；实验室消毒，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81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250502011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药物抗体检测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遗传疾病基因高通量测序</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遗传代谢性疾病筛查、染色体分析，基因诊断等。样本类型：各种标本。样本采集、签收、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陆军军医大学第一附属医院、重庆医科大学附属儿童医院、重庆医科大学附属第三医院</w:t>
            </w:r>
          </w:p>
        </w:tc>
      </w:tr>
      <w:tr>
        <w:tblPrEx>
          <w:tblLayout w:type="fixed"/>
          <w:tblCellMar>
            <w:top w:w="0" w:type="dxa"/>
            <w:left w:w="0" w:type="dxa"/>
            <w:bottom w:w="0" w:type="dxa"/>
            <w:right w:w="0" w:type="dxa"/>
          </w:tblCellMar>
        </w:tblPrEx>
        <w:trPr>
          <w:cantSplit/>
          <w:trHeight w:val="13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胎儿染色体非整倍体无创基因检测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孕妇外周血。样本采集、签收、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重庆医科大学附属第一医院、重庆医科大学附属第三医院</w:t>
            </w:r>
          </w:p>
        </w:tc>
      </w:tr>
      <w:tr>
        <w:tblPrEx>
          <w:tblLayout w:type="fixed"/>
          <w:tblCellMar>
            <w:top w:w="0" w:type="dxa"/>
            <w:left w:w="0" w:type="dxa"/>
            <w:bottom w:w="0" w:type="dxa"/>
            <w:right w:w="0" w:type="dxa"/>
          </w:tblCellMar>
        </w:tblPrEx>
        <w:trPr>
          <w:cantSplit/>
          <w:trHeight w:val="13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结核分枝杆菌rpoB基因及利福平耐药快速检测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处理，提取模板DNA，并与样本对照及质控品同时扩增，分析扩增产物及耐药基因，判断并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重庆医科大学附属第一医院、陆军军医大学第一附属医院、重庆市公共卫生医疗救治中心</w:t>
            </w:r>
          </w:p>
        </w:tc>
      </w:tr>
      <w:tr>
        <w:tblPrEx>
          <w:tblLayout w:type="fixed"/>
          <w:tblCellMar>
            <w:top w:w="0" w:type="dxa"/>
            <w:left w:w="0" w:type="dxa"/>
            <w:bottom w:w="0" w:type="dxa"/>
            <w:right w:w="0" w:type="dxa"/>
          </w:tblCellMar>
        </w:tblPrEx>
        <w:trPr>
          <w:cantSplit/>
          <w:trHeight w:val="28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250700028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病原微生物高通量测序</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前处理，提取制备核酸，建库，测序，数据分析，报告解读，鉴定结果。录入实验室信息系统或人工登记，发送报告；按生物安全相关规定处理废弃物；接受临床相关咨询。样本建库后总测序reads数目平均不低于20M，或者病原reads数平均不低于4M，检出病原种类包括，细菌&gt;9000种，真菌&gt;1500种，病毒&gt;6000种，寄生虫&gt;30种，分枝杆菌&gt;130种，支原体/衣原体/立克次体&gt;15种，并能够检测有临床意义的不低于15种毒力基因与36种耐药基因。</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限疑难感染、不明原因持续发热、急危重症感染、免疫缺陷/免疫抑制人群的感染排查、难培养或非培养病原体感染等引起的各类感染性疾病的筛查。</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w:t>
            </w:r>
          </w:p>
        </w:tc>
      </w:tr>
      <w:tr>
        <w:tblPrEx>
          <w:tblLayout w:type="fixed"/>
          <w:tblCellMar>
            <w:top w:w="0" w:type="dxa"/>
            <w:left w:w="0" w:type="dxa"/>
            <w:bottom w:w="0" w:type="dxa"/>
            <w:right w:w="0" w:type="dxa"/>
          </w:tblCellMar>
        </w:tblPrEx>
        <w:trPr>
          <w:cantSplit/>
          <w:trHeight w:val="14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260000024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不规则（意外）抗体检测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样本类型：血液。样本采集、签收、处理，定标和质控，检测样本，审核结果，录入实验室信息系统或人工登记，发送报告；按规定处理废弃物；接受临床相关咨询。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等线" w:cs="等线"/>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陆军军医大学第二附属医院、重庆医科大学附属儿童医院、重庆市妇幼保健院、重庆市黔江中心医院</w:t>
            </w:r>
          </w:p>
        </w:tc>
      </w:tr>
      <w:tr>
        <w:tblPrEx>
          <w:tblLayout w:type="fixed"/>
          <w:tblCellMar>
            <w:top w:w="0" w:type="dxa"/>
            <w:left w:w="0" w:type="dxa"/>
            <w:bottom w:w="0" w:type="dxa"/>
            <w:right w:w="0" w:type="dxa"/>
          </w:tblCellMar>
        </w:tblPrEx>
        <w:trPr>
          <w:cantSplit/>
          <w:trHeight w:val="140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组织/细胞核糖核酸（RNA）测序</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分离单个核细胞，提取核糖核酸（RNA），溶解核糖核酸（RNA）后测定浓度，逆转录后进行特异性基因的扩增，检测结果，人工分析报告。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次（位点）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每增加一个位点加收100元，计费最高不超过9800元。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陆军军医大学第一附属医院、重庆医科大学附属儿童医院、重庆医科大学附属第三医院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程序性死亡蛋白-1检测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全血。样本采集、处理，加溶血素、温育，定性检测全血样本中的T淋巴细胞膜表面的程序性死亡蛋白-1的表达，结果判读，审核结果，录入实验室信息系统或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270700007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程序性死亡受体-配体1检测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标本采集，核收登记，标本评估，样本前处理，与标准品、阴阳性对照及质控品同时进行检测，检测PD-L1表达水平。判断并审核结果，录入实验室信息系统或人工登记，出具分析报告，对特殊情况作出备注、提出临床建议；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重庆医科大学附属第二医院、重庆市急救医疗中心</w:t>
            </w:r>
          </w:p>
        </w:tc>
      </w:tr>
      <w:tr>
        <w:tblPrEx>
          <w:tblLayout w:type="fixed"/>
          <w:tblCellMar>
            <w:top w:w="0" w:type="dxa"/>
            <w:left w:w="0" w:type="dxa"/>
            <w:bottom w:w="0" w:type="dxa"/>
            <w:right w:w="0" w:type="dxa"/>
          </w:tblCellMar>
        </w:tblPrEx>
        <w:trPr>
          <w:cantSplit/>
          <w:trHeight w:val="115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280000015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核酸多聚酶链反应检查诊断</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样本类型：血液、组织、细胞和体液。标本经过核酸（包括DNA和RNA）提取和纯化，进行扩增、分析及诊断。含废液、废物处理。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每反应孔为1项，计费最高不超过2400元。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280000016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基因甲基化检测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样本类型：各种标本。样本采集、签收、处理（样本制备、提取游离DNA及亚硫酸盐转化、PCR扩增），样本检测，结果判读，录入实验信息系统或者人工登记，发送报告；按规定处理废弃物；接受临床相关咨询。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次（位点）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每增加一个位点加收100元，位点加收总价不超过1500元；全基因组甲基化检测最高不超过5000元。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陆军军医大学第一附属医院、重庆医科大学附属第二医院、重庆市中医院、重庆医科大学附属第三医院</w:t>
            </w:r>
          </w:p>
        </w:tc>
      </w:tr>
      <w:tr>
        <w:tblPrEx>
          <w:tblLayout w:type="fixed"/>
          <w:tblCellMar>
            <w:top w:w="0" w:type="dxa"/>
            <w:left w:w="0" w:type="dxa"/>
            <w:bottom w:w="0" w:type="dxa"/>
            <w:right w:w="0" w:type="dxa"/>
          </w:tblCellMar>
        </w:tblPrEx>
        <w:trPr>
          <w:cantSplit/>
          <w:trHeight w:val="13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喉返神经功能监测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行气管插管，将导管表面电极紧密贴合声带，利用刺激探针探查并暴露喉返神经，收集声带肌电信号，以监测其功能并判断喉返神经有无损伤。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神经监护气管插管、刺激探头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皮层电刺激脑功能区定位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开颅手术中，在患者大脑表面安放皮层电极或刺激电极，逐点行皮层电刺激，记录脑电及相关功能区域电生理反应，观察对患者皮层高级功能的干扰、定位脑功能区。不含脑电图检查。</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电极</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8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自控皮下镇痛术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指用于癌痛或其他顽固性疼痛的治疗。在监护条件下，消毒铺巾，麻醉，穿刺针置入皮下，固定穿刺针并连接镇痛泵。术毕敷料覆盖。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镇痛泵或电子给药泵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神经射频治疗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在具有无菌、空调、抢救设备的治疗室或CT室，监测基本生命体征，C型臂或CT下神经定位，消毒铺巾，局麻，射频针穿刺，射频治疗，固定敷料。不含影像学引导。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以1根神经为基价，每增加1根加收150元。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20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神经阻滞镇痛术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DSA室或CT室，监测基本生命体征，在影像学引导下神经定位，消毒铺巾，局部麻醉，穿刺针避开动静脉、胸腹膜、椎管及内脏等，到达治疗目标神经靶点，固定穿刺针，回抽无血、液体、气体后，注射治疗药物进行神经阻滞镇痛。穿刺点敷料固定。观察、测试、记录阻滞平面与不良反应。包括：颅神经、脊神经、交感神经（节）、副交感神经（节）等部位阻滞。</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以1根神经为基价，每增加1根神经或神经节加收150元。        </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69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310100046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硬膜外腔神经阻滞镇痛术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具有无菌、空调、抢救设备的治疗室、DSA室，监测基本生命体征，消毒铺巾，局部麻醉，硬膜外腔穿刺到位后，固定硬膜外腔穿刺针，回抽无血、液体、气体，注射治疗药物进行硬膜外腔神经阻滞镇痛。穿刺点敷料固定。观察、测试、记录阻滞平面与不良反应。包括：颈、胸、腰、骶椎硬膜外腔神经阻滞。</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留置硬膜外导管连续镇痛加收100元。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10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310204007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甲状旁腺负显影技术</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术前准备，超声引导或术中暴露甲状腺或中央区淋巴组织，抽吸示踪剂分点穿刺缓慢注射，负压拔针，无菌纱布轻轻按压注射部位，促进示踪剂扩散。</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重庆医科大学附属第二医院、重庆大学附属肿瘤医院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310208004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胰岛素泵安装术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安装胰岛素泵电池，调节时间等各项设置，由专科医生设定基础量，选择下腹部最佳输注部位，消毒，针头插入皮下，透明贴膜固定并贴上穿刺时间，固定。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胰岛素泵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取出术按50%收取。</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重庆医科大学附属第一医院、重庆医科大学附属儿童医院、重庆市人民医院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飞秒激光白内障手术辅助操作</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开机测试，准备相关医用耗材，辅助进行精准的连续环形撕囊、晶状体碎核、角膜切口和散光切口，负压环与患者眼睛脱离，机头自动回到初始位置，患者离开，准备下一步超乳步骤。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一次性接口组件材料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光学相干断层扫描血流成像（OCTA）</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核对医嘱及患者信息，告知注意事项，输入患者信息。受检者取坐位，视网膜断层扫描，采集眼底血管血流图像，计算机处理数据，打印报告单，并进行人工分析。图文报告。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w:t>
            </w:r>
          </w:p>
        </w:tc>
      </w:tr>
      <w:tr>
        <w:tblPrEx>
          <w:tblLayout w:type="fixed"/>
          <w:tblCellMar>
            <w:top w:w="0" w:type="dxa"/>
            <w:left w:w="0" w:type="dxa"/>
            <w:bottom w:w="0" w:type="dxa"/>
            <w:right w:w="0" w:type="dxa"/>
          </w:tblCellMar>
        </w:tblPrEx>
        <w:trPr>
          <w:cantSplit/>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睑板腺热脉动治疗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患者平卧，表面麻醉，清洁睑缘，调整固定。启动热脉动治疗仪，观测患者对治疗的反应。治疗结束，结膜囊内用滴眼液。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光学生物测量</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测量眼轴长度，角膜曲率，前房深度、晶体厚度及角膜直径，测量人工晶体度数。计算机分析，图文报告。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不测量人工晶体度数收取50元。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干眼超声雾化（熏蒸）治疗</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核对医嘱及患者信息，按照无菌技术操作原则配置药物，利用超声雾化器将药物震荡成微细分子，形成雾滴作用于眼部，告知患者注意事项，调节物量大小，提高患者治疗舒适度。</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每次20-30分钟。</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陆军军医大学第一附属医院、重庆医科大学附属第二医院、重庆市中医院、重庆市黔江中心医院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强脉冲光干眼治疗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清洁面部，调整体位和治疗参数，戴防护眼镜，进行强脉冲光照射。治疗结束，清理患者面部。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310300119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高强度精确聚焦超声热消融青光眼治疗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消毒铺巾，麻醉，固定患者眼位，机器自检，负压系统确定，放置定位环，聚焦超声探头居中放入定位环，注入耦合剂，执行治疗。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重庆市人民医院</w:t>
            </w:r>
          </w:p>
        </w:tc>
      </w:tr>
      <w:tr>
        <w:tblPrEx>
          <w:tblLayout w:type="fixed"/>
          <w:tblCellMar>
            <w:top w:w="0" w:type="dxa"/>
            <w:left w:w="0" w:type="dxa"/>
            <w:bottom w:w="0" w:type="dxa"/>
            <w:right w:w="0" w:type="dxa"/>
          </w:tblCellMar>
        </w:tblPrEx>
        <w:trPr>
          <w:cantSplit/>
          <w:trHeight w:val="14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310401050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前庭肌源诱发电位检查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仰卧或坐位，头偏向对侧，使用插入式耳机后用持续短纯音重复刺激，以兴奋同侧胸锁乳突肌，使其处于强直收缩状态，监测放大并调试滤波后的肌电图，连续测试两次以上验证其结果，取均值，纸质报告。包括颈源性肌源性电位(cVEMP)和眼源性肌源电位(oVEMP)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23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310401051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前庭功能复位治疗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结合患者病史，明确激发体位，给患者做相应的变位实验观察与其符合的特征性眼震，明确耳石脱落的半规管，选择复位治疗方案：后半规管选择Epley法、改良Epley法或Semont法等，使后半规管内自由游动的微粒经总脚回到椭圆囊；水平半规管选择左右翻滚法、Cufoni法等，使水平半规管内自由游动的微粒经水平管的非壶腹端进入椭圆囊。多半规管优先处理诱发眩晕和眼震强的责任半规管，成功后再复其余受累半规管。复位过程中通过观察眼震情况判断耳石复位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 xml:space="preserve"> 陆军特色医学中心</w:t>
            </w:r>
          </w:p>
        </w:tc>
      </w:tr>
      <w:tr>
        <w:tblPrEx>
          <w:tblLayout w:type="fixed"/>
          <w:tblCellMar>
            <w:top w:w="0" w:type="dxa"/>
            <w:left w:w="0" w:type="dxa"/>
            <w:bottom w:w="0" w:type="dxa"/>
            <w:right w:w="0" w:type="dxa"/>
          </w:tblCellMar>
        </w:tblPrEx>
        <w:trPr>
          <w:cantSplit/>
          <w:trHeight w:val="9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310602008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胸阻抗断层成像测定</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通过床旁监测断层平面内肺通气图像，判断肺内通气分布及呼气末肺容积状态，指导及判断呼吸机设置等呼吸治疗措施。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每天计费不超过3次。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重庆医科大学附属第一医院、重庆市人民医院、重庆市中医院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310604007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经皮纵膈穿刺活检术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消毒铺巾，局部麻醉，在穿刺点将活检套管针刺入胸腔纵隔，抵达纵隔病变组织后拔出针芯，切取病变送检。不含影像学引导、病理学检查。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30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310605017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电刀辅助下经超声支气管镜纵膈切开活检术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插入超声支气管镜探查纵膈及气管旁病变位置，电刀辅助下在纵膈病变组织处气管壁粘膜切开一小切口，用活检钳钝性分离出钳道，再次更换超声支气管镜超声引导活检钳，通过钳道进入纵隔病变组织中钳夹取出组织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310701030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6分钟步行试验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准备，安装心电、血氧、血压监测仪，患者步行6分钟，结合心电、血氧、血压监测数据进行分析。</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1个住院周期内计费不超过4次。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29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310702023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植入式心电记录器安置术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皮肤清洁处理，局部麻醉，在胸骨左缘第1-4肋之间的范围内安放电极，记录双极心电图，判断理想植入部位。根据选择的植入部位做切口，制备皮下囊袋，将记录器放进皮下囊袋后，予以敷贴覆盖。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植入式心电记录器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陆军军医大学第一附属医院、重庆医科大学附属第二医院、重庆医科大学附属第三医院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310800030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医用臭氧自体血回输</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选取患者合适静脉，采血，用一次性专用抗氧化采血袋（瓶），加入相同体积的医用臭氧充分混匀，再将医用臭氧化后的血液回输入患者体内。</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以每一次采血100-200毫升为计价单位。</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重庆市垫江县中医院</w:t>
            </w:r>
          </w:p>
        </w:tc>
      </w:tr>
      <w:tr>
        <w:tblPrEx>
          <w:tblLayout w:type="fixed"/>
          <w:tblCellMar>
            <w:top w:w="0" w:type="dxa"/>
            <w:left w:w="0" w:type="dxa"/>
            <w:bottom w:w="0" w:type="dxa"/>
            <w:right w:w="0" w:type="dxa"/>
          </w:tblCellMar>
        </w:tblPrEx>
        <w:trPr>
          <w:cantSplit/>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310902010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胃食管反流试验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说明检查注意事项。指导受检者咳嗽清嗓、采集唾液，测定胃蛋白酶，研判结果，根据研判结果提示胃食管反流情况，提供临床诊疗依据，出具报告。按规定处理废弃物。</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310902011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肠道菌群移植</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病人术前准备（包含饮食指导等）、菌群化冻复苏、将分离好的肠菌移植到患者胃肠道内、术后不良副反应的观察和处理。含肠道菌群制备。</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重庆医科大学附属永川医院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超声引导下肠套叠水压控制灌肠整复术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仰卧位，将肛管插入患者肛门，注入生理盐水或空气，充起肛管前端气囊，固定。向患者的肠道内注入生理盐水，同时记录注水量，B超监测肠套叠变化。复位成功，保持体位3分钟后，拔出肛管，待患者排出肠内容物。</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限14周岁以下儿童。</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重庆医科大学附属儿童医院</w:t>
            </w:r>
          </w:p>
        </w:tc>
      </w:tr>
      <w:tr>
        <w:tblPrEx>
          <w:tblLayout w:type="fixed"/>
          <w:tblCellMar>
            <w:top w:w="0" w:type="dxa"/>
            <w:left w:w="0" w:type="dxa"/>
            <w:bottom w:w="0" w:type="dxa"/>
            <w:right w:w="0" w:type="dxa"/>
          </w:tblCellMar>
        </w:tblPrEx>
        <w:trPr>
          <w:cantSplit/>
          <w:trHeight w:val="13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消化道内镜活检术</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麻醉，润滑，消泡，经口或皮肤造口或肛门插入内镜，进行检查，使用活检钳于病变部位钳取活体组织，止血。图文报告。不含消化道内镜检查、病理学检查。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310903016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共聚焦激光显微内镜消化道检查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全身麻醉、润滑、消泡，电子胃肠镜、胆管镜、胰管镜等经口或经肛对病人进行检查时，可通过母镜活检孔插入探头式共聚焦显微内镜，对消化道病变粘膜进行放大检查。图文报告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311000041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体外物理振动排石治疗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超声定位，调整患者体位，根据结石走向，顺走向轻推主振子，完成主动排石过程。不含影像学引导。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每天计费不超过1次。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陆军军医大学第一附属医院、陆军特色医学中心</w:t>
            </w:r>
          </w:p>
        </w:tc>
      </w:tr>
      <w:tr>
        <w:tblPrEx>
          <w:tblLayout w:type="fixed"/>
          <w:tblCellMar>
            <w:top w:w="0" w:type="dxa"/>
            <w:left w:w="0" w:type="dxa"/>
            <w:bottom w:w="0" w:type="dxa"/>
            <w:right w:w="0" w:type="dxa"/>
          </w:tblCellMar>
        </w:tblPrEx>
        <w:trPr>
          <w:cantSplit/>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胎儿镜下脊柱裂修补手术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取膀胱截石位，消毒铺巾，麻醉，实时超声监测，确定母体腹壁穿刺点，使用胎儿镜专用穿刺鞘经母体腹壁子宫壁，避开胎盘、胎儿进入羊膜腔内，并经穿刺鞘插入胎儿镜，对开放性脊柱裂进行修补。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5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胎儿主动脉瓣狭窄闭锁球囊扩张术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超声定位，消毒铺巾，在超声引导下避开胎盘、将穿刺针经胎儿心尖刺入左心室，使针尖正对主动脉瓣下，放入冠脉球囊导管，反复扩张主动脉瓣口，见主动脉瓣前向血流改善，并出现新的反流，退出穿刺针。术毕复查超声。包括胎儿肺动脉瓣狭窄闭锁球囊扩张。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91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宫颈冷冻消融术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暴露宫颈，确认病灶区域，使用压舌板或者棉条遮挡蓬松阴道壁。选择合适治疗头覆盖住病灶，冷冻，解冻，复温，撤出治疗头。重复操作，完成治疗。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重庆医科大学附属第二医院、陆军特色医学中心</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311201079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叶酸受体介导宫颈染色检查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取膀胱截石位，铺巾，暴露宫颈阴道，清理分泌物，取宫颈、宫颈管及阴道细胞组织，进行叶酸受体介导荧光染色检查，出具报告。按规定处理废弃物；接受临床相关咨询。</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135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311201080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乳管疏通治疗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患者信息，摆位，暴露患者上半身，定位，消毒铺巾，寻找溢液乳孔，扩乳孔，注入疏通液，挤出疏通液，反复轻柔操作，直至溢液清澈，观察情况，注入消炎及溶解蛋白的药物，消毒治疗部位，覆盖无菌纱布，记录并告知注意事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甲襞微循环检测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皮肤清洁消毒预处理，将指（趾）放在显微镜下进行甲襞微循环检测，采集微循环血管的形状、血液流动的状态、血管周围的图像并录像，图像分析、判断、审检结果，人工分析报告。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单肢</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重大附属三峡医院</w:t>
            </w:r>
          </w:p>
        </w:tc>
      </w:tr>
      <w:tr>
        <w:tblPrEx>
          <w:tblLayout w:type="fixed"/>
          <w:tblCellMar>
            <w:top w:w="0" w:type="dxa"/>
            <w:left w:w="0" w:type="dxa"/>
            <w:bottom w:w="0" w:type="dxa"/>
            <w:right w:w="0" w:type="dxa"/>
          </w:tblCellMar>
        </w:tblPrEx>
        <w:trPr>
          <w:cantSplit/>
          <w:trHeight w:val="10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共聚焦激光显微镜检查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暴露应检皮损，在体共聚焦激光扫描显微镜（皮肤三维CT）的扫描头紧贴皮损进行三维扫描检查，检查时长10-20分钟，图像分析，出具报告。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每次以1个皮损为基价，每增加一个皮损加收15元。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7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光斑贴试验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第1天：于患者腹部测得长波紫外线最小红斑量（UVA-MED）；将2份标准光斑贴变应原分别注入斑试器，分贴于患者上背中线两侧；第2天：读取24h试验结果，记录，结合患者UVA-MED计算照射剂量；第3天：读取48h试验结果、记录，去除光斑贴；用毛巾遮盖其中一侧，另一侧行照射；第4-5天：观察照射后24h和48h结果，出具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乳酸刺痛试验</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配置10%的乳酸水溶液；用移液器吸取10%的乳酸水溶液和蒸馏水滴加在两层滤纸片上；用镊子夹起浸湿后的两层滤纸片置于患者鼻唇沟；开始计时，分别在2.5分钟和8分钟时询问受试者的刺痛程度，并在8分钟时取下滤纸片，观察有无红斑。</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面部（皮肤）图像分析-医学美容整形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利用特定光对皮肤的作用，通过高清像机采集目标图像，拍摄出不同的照片，计算机软件定量和定性分析皮肤纹理、毛细血管与血红素、白癜风、色素痣等，并计算出色斑个数、色斑密度、毛孔个数、皱纹个数等，以及不良化妆品、紫外 线或日照等对皮肤造成不同程度的损害做出诊断和分析。图文报告。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重大附属三峡医院</w:t>
            </w:r>
          </w:p>
        </w:tc>
      </w:tr>
      <w:tr>
        <w:tblPrEx>
          <w:tblLayout w:type="fixed"/>
          <w:tblCellMar>
            <w:top w:w="0" w:type="dxa"/>
            <w:left w:w="0" w:type="dxa"/>
            <w:bottom w:w="0" w:type="dxa"/>
            <w:right w:w="0" w:type="dxa"/>
          </w:tblCellMar>
        </w:tblPrEx>
        <w:trPr>
          <w:cantSplit/>
          <w:trHeight w:val="8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准分子激光照射治疗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暴露患处，进行准分子激光照射，能量递增，操作完毕，健康宣教。</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2平方厘米</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每增加一平方厘米加收20元。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浅层化学换肤-医学美容整形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患部，眼角等脆弱部位皮肤涂保护剂；将高浓度化学活肤液自上而下，面部依额、鼻、面颊、下巴顺序涂抹，保留数分钟，喷中和液终止果酸活肤液作用；覆医用修复膜，并冷喷减轻疼痛及发红。治疗毕涂医用修复霜，健康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射频微针-医学美容整形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患者信息，告知注意事项，定位，局麻，清洁消毒治疗部位，用高频电灼仪，选择微针，按预定排列顺序，刺入皮肤，将射频能量精准作用于真皮层，对其产生刺激作用。操作毕行洁肤、保湿护理，健康宣教。用时约2-3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每射频发数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311400069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面部微针注射-医学美容整形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核对医嘱，告知注意事项。局部麻醉，清洁、消毒，确定注射点，选择不同型号的微针，按定位精准刺入皮肤，推注药物，拔针；更改注射点，再定位、注射、拔针，治疗毕，行洁肤，保湿护理，健康宣教。时长约2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每个注射点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微波热能止汗-医学美容整形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平躺、外展双上肢做汗腺测试实验，观察汗腺分布。根据患者实验结果、腋毛分布确定手术区域并做好标记。消毒皮肤，标记区域行局部肿胀麻醉，并将手术区域分区，设置能量级，装好治疗头开始治疗，按设备显示面板提示逐一治疗标记部位。治疗毕，术区冷敷。记录，术后随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99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激光生发-医学美容整形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患者进行脱发治疗以后，涂抹相应药物，坐于生发仪下，操作者遵照医嘱调节设备输出参数，将辐射头对准需治疗部位，相隔适宜距离进行体表照射，时长约20分钟。观察治疗反应，记录。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活细胞紧肤吸脂-医学美容整形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前手术区域拍照、备皮；脂肪抽吸区域进行等高线标记，脂肪移植区域进行划线标记。患者根据需要采取相应体位，暴露手术区域，医生给患者局部肿胀麻醉后采用新型皮下激光分离脂肪技术，脂肪抽吸区域吸出脂肪细胞，填充于需要移植区域。手术结束后，脂肪抽吸区域弹力衣加压包扎，移植区域无需特殊固定。术后随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脂肪填充-医学美容整形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麻或全麻，根据体表凹陷部位设计填充区域标记。供区切口，局部注射经肿胀麻醉后采集脂肪并纯化处理后颗粒脂肪保存。受区分层，均匀点、片状注射已采集的颗粒脂肪。达到注射预期效果后，注射针眼缝合或无菌敷料直接包扎。供区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皮肤修整-医学美容整形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设计皮肤切口，消毒铺巾，麻醉，按设计线沿皮纹切开，皮下异常组织修剪，皮下组织张力消除，减张逐层精细缝合，表皮外翻无张力缝合，包扎伤口。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陆军特色医学中心</w:t>
            </w:r>
          </w:p>
        </w:tc>
      </w:tr>
      <w:tr>
        <w:tblPrEx>
          <w:tblLayout w:type="fixed"/>
          <w:tblCellMar>
            <w:top w:w="0" w:type="dxa"/>
            <w:left w:w="0" w:type="dxa"/>
            <w:bottom w:w="0" w:type="dxa"/>
            <w:right w:w="0" w:type="dxa"/>
          </w:tblCellMar>
        </w:tblPrEx>
        <w:trPr>
          <w:cantSplit/>
          <w:trHeight w:val="9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皮肤美容缝合-医学美容整形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消毒铺巾，局部或全身麻醉，将伤口或创面分层解剖复位对合，同时精细分层，采用整形外科技术缝合，达到整形缝合目的。</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厘米</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311400076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抗瘢痕处理-医学美容整形</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皮肤，用食指及中指指腹力量顺时针轻柔打圈样均匀按摩皮肤，消毒晾干，在瘢痕皮肤处，对各类浅表性和非慢性创面所引发的皮肤瘙痒、疼痛、瘢痕增生及瘤性瘢痕所造成的色素沉着或脱失、瘙痒、发红进行治疗，治疗时间约2小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市场调节价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320500019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冠状动脉内血栓抽吸术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进行血栓抽吸的血管，沿指引钢丝将抽吸导管送至病变近端，抽吸导管近端连接负压抽吸装置。打开抽吸装置后谨慎前送导管，之后回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陆军军医大学第一附属医院、重庆医科大学附属第三医院</w:t>
            </w:r>
          </w:p>
        </w:tc>
      </w:tr>
      <w:tr>
        <w:tblPrEx>
          <w:tblLayout w:type="fixed"/>
          <w:tblCellMar>
            <w:top w:w="0" w:type="dxa"/>
            <w:left w:w="0" w:type="dxa"/>
            <w:bottom w:w="0" w:type="dxa"/>
            <w:right w:w="0" w:type="dxa"/>
          </w:tblCellMar>
        </w:tblPrEx>
        <w:trPr>
          <w:cantSplit/>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320500020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冠状定量血流分数检查术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局部麻醉,穿刺动脉放置鞘管,冠状动脉造影后经鞘管在监护仪监护及DSA引导下，沿引导钢丝将引导管送至冠状动脉开口，根据冠状动脉造影结果决定需要检查的靶血管和靶病变。动脉注射硝酸甘油，再次行2个体位差≥25°的靶血管造影，通过DSA系统或PACS系统将该2个体位的靶血管造影推送至定量血流分数测量系统，并对靶血管进行三维重建与血流动力学计算，分别获得靶血管、靶病变的定量血流分数、测量并计算病变长度、近端和远端参考管腔直径、病变的最佳造影投照体位等。</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w:t>
            </w:r>
          </w:p>
        </w:tc>
      </w:tr>
      <w:tr>
        <w:tblPrEx>
          <w:tblLayout w:type="fixed"/>
          <w:tblCellMar>
            <w:top w:w="0" w:type="dxa"/>
            <w:left w:w="0" w:type="dxa"/>
            <w:bottom w:w="0" w:type="dxa"/>
            <w:right w:w="0" w:type="dxa"/>
          </w:tblCellMar>
        </w:tblPrEx>
        <w:trPr>
          <w:cantSplit/>
          <w:trHeight w:val="32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320702003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肿瘤消融术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射频、微波、冷冻等实体肿瘤的消融技术。局部麻醉或全身麻醉，常规消毒铺巾，在超声、CT、磁共振、DSA等影像学引导下定位，消融针穿刺肿瘤，同时避开血管、减少正常脏器损伤。穿刺成功后连接消融机，根据肿瘤的位置和大小设置功率、消融时间，进行精准消融治疗。不含麻醉、监护、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一次性消融针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二医院、陆军军医大学第一附属医院、陆军军医大学第二附属医院、重庆医科大学附属儿童医院、重庆市妇幼保健院、重庆市中医院、重庆医科大学附属第三医院、重庆大学附属肿瘤医院、重庆市急救医疗中心</w:t>
            </w:r>
          </w:p>
        </w:tc>
      </w:tr>
      <w:tr>
        <w:tblPrEx>
          <w:tblLayout w:type="fixed"/>
          <w:tblCellMar>
            <w:top w:w="0" w:type="dxa"/>
            <w:left w:w="0" w:type="dxa"/>
            <w:bottom w:w="0" w:type="dxa"/>
            <w:right w:w="0" w:type="dxa"/>
          </w:tblCellMar>
        </w:tblPrEx>
        <w:trPr>
          <w:cantSplit/>
          <w:trHeight w:val="1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脑氧饱和度监测</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用于预防脆弱脑功能患者因低血压、低灌注性缺血、缺氧相关的围术期急性脑卒中、术后谵妄和术后认知功能损害等重大脑部并发症的监测。通过放置在前额颅骨的传感器或发光电极，连接监护仪，持续监测患者脑部氧供氧耗平衡状态和趋势变化，对异常状况和趋势，随时予以干预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脑氧饱和度监测电极或传感器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超过2小时，每增加1小时收取10元。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备体外循环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在循环崩溃风险大的非体外循环手术期间，准备、安装好体外循环所需物品，随时关注手术进程和患者循环状态，适时监测活化凝血时间（ACT），时刻准备紧急体外循环。</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实行体外循环患者不得再收取备体外循环费用。</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陆军军医大学第二附属医院、重庆医科大学附属儿童医院、重庆医科大学附属第三医院</w:t>
            </w:r>
          </w:p>
        </w:tc>
      </w:tr>
      <w:tr>
        <w:tblPrEx>
          <w:tblLayout w:type="fixed"/>
          <w:tblCellMar>
            <w:top w:w="0" w:type="dxa"/>
            <w:left w:w="0" w:type="dxa"/>
            <w:bottom w:w="0" w:type="dxa"/>
            <w:right w:w="0" w:type="dxa"/>
          </w:tblCellMar>
        </w:tblPrEx>
        <w:trPr>
          <w:cantSplit/>
          <w:trHeight w:val="17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330100026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麻醉监护下镇静术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指在麻醉监护下给予镇静药物或麻醉性镇痛药物，使患者处于镇静状态，能配合小手术、创伤较小的有创操作和医学检查。术中吸氧，全程持续监测心电图，无创动脉血压、呼吸、脉搏氧饱和度等。每5分钟记录一次生命体征，分析病情，观察麻醉效果，维持生命体征平稳，至手术或检查后患者清醒。及时有效预防和处理各类并发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不足半小时按半小时收取55元，超过半小时不足1小时按1小时收取。</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陆军军医大学第二附属医院、重庆医科大学附属儿童医院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脑干听觉诱发电位术中监护</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采用肌电图诱发电位仪记录，用于脑桥小脑角区和脑干内等病变的术中监护。耳机发声刺激，于头部相应位置进行记录。术前测定作为基线，术中进行监测观察变化，术后测定判断功能变化。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小时</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0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330203016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术中脑血管荧光造影</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患者术中荧光造影的准备，暴露目标血管或目标手术区域，手术显微镜切换为荧光显影模式，经外周血管注射特定荧光造影剂，通过手术显微镜或监视器观察判断目标血管或目标手术区域荧光显影情况。</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330204022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骶神经调控术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消毒铺巾、麻醉，腰骶部小切口，穿刺骶孔，置入刺激电极或神经电刺激器，刺激骶神经，调解参数，止血，缝合，包扎。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植入电极、电刺激系统（含遥控器）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8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330401019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眼表重建术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消毒铺巾，麻醉，开睑，置手术贴膜，在手术显微镜下剪开结膜，切除新生血管膜，止血，移植组织，并行缝合或粘合，加压包扎。不含移植材料。</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4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330401020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施莱姆氏（Schlemm）管成形术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眼睑，制作结膜瓣、浅层及深层巩膜瓣，打开Schlemm管外壁，将微导管插入Schlemm管一侧断端，顺着管道走行，直至从对侧断端穿出，根据房角、角膜情况扩张或切开Schlemm管、小梁网，间断缝合巩膜瓣、结膜瓣，术毕。术眼涂眼膏，纱布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角膜胶原交联术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调试角膜胶原交联设备输入治疗参数，消毒，冲洗双眼结膜囊，平卧，双眼表面麻醉，置手术贴膜，用开睑器撑开术眼眼睑。在显微镜下进行核黄素浸泡角膜，交联设备计时；浸泡结束后使用光学头照射365nm波长紫外线光诱导角膜胶原交联进行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角膜内皮移植术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消毒铺巾，麻醉，开睑，置手术贴膜，在手术显微镜下做角巩膜缘切口进入前房，刮除受体后弹力层，制备供体内皮植片，植入前房，前房内注入气体，形成前房，植片复位，缝合，消毒纱布遮盖。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异体角膜缘干细胞移植术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消毒铺巾，球后浸润麻醉，开睑，打开球结膜，取新鲜供体眼球，板层剖切供体角膜缘，获取干细胞，将其缝合固定于受体植床组织，复位缝合球结膜。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7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角膜层间手术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消毒铺巾，麻醉，开睑，冲洗，在角膜基质层注入无菌气泡、药液或染色剂，冲洗。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330404018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深板层角膜切除术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消毒铺巾，球后浸润麻醉，开睑，冲洗。板层刀剖切角膜近1/2厚度，角膜植床基质内注气形成大泡，逐渐向内分离暴露后弹力层，可透见前房、瞳孔及虹膜情况。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3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330405022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微创内路小梁切开术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表面麻醉或局部麻醉，开睑，置手术贴膜，选择目标象限标记目标区域，使用房角镜，并调整手术显微镜的角度和患者的头位，以便能清晰的观察到小梁网组织。术毕结膜囊内涂抗菌药物和糖皮质激素眼膏，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330405023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青光眼引流物植入术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结膜下浸润麻醉，开睑，沿角膜上方剪开球结膜，分离结膜及筋膜下组织，暴露巩膜，灼落止血，制作浅层巩膜瓣，穿刺进入前房，置入青光眼引流物入前房，缝合浅层巩膜瓣，形成前房，缝合复位球结膜。包括引流钉、引流阀植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引流物</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微创内路青光眼引流物植入术收取3600元。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重庆医科大学附属第一医院、重庆医科大学附属第三医院</w:t>
            </w:r>
          </w:p>
        </w:tc>
      </w:tr>
      <w:tr>
        <w:tblPrEx>
          <w:tblLayout w:type="fixed"/>
          <w:tblCellMar>
            <w:top w:w="0" w:type="dxa"/>
            <w:left w:w="0" w:type="dxa"/>
            <w:bottom w:w="0" w:type="dxa"/>
            <w:right w:w="0" w:type="dxa"/>
          </w:tblCellMar>
        </w:tblPrEx>
        <w:trPr>
          <w:cantSplit/>
          <w:trHeight w:val="10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330407015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玻璃体腔灌洗术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消毒铺巾，麻醉，开睑，置手术贴膜，应用倒像系统、眼内照明系统、光学透镜辅助手术，在手术显微镜下，巩膜穿刺，眼内灌注建立，进行玻璃体腔灌洗，关闭巩膜穿刺口，消毒纱布遮盖。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重庆医科大学附属第一医院、陆军军医大学第一附属医院</w:t>
            </w:r>
          </w:p>
        </w:tc>
      </w:tr>
      <w:tr>
        <w:tblPrEx>
          <w:tblLayout w:type="fixed"/>
          <w:tblCellMar>
            <w:top w:w="0" w:type="dxa"/>
            <w:left w:w="0" w:type="dxa"/>
            <w:bottom w:w="0" w:type="dxa"/>
            <w:right w:w="0" w:type="dxa"/>
          </w:tblCellMar>
        </w:tblPrEx>
        <w:trPr>
          <w:cantSplit/>
          <w:trHeight w:val="9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330409030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眼内填充术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消毒铺巾，麻醉，开睑，角膜后缘作常规玻璃体切割通道，放置灌注头。将惰性气体、硅油、玻璃球囊用推注器缓慢注入玻璃体腔内。拔出灌注，缝合，术毕。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330409031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眼眶壁修复术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消毒铺巾，全身麻醉，眼袋皮肤切口入路或者结膜入路，暴露眶骨膜，眶缘处切开眶骨膜，分离，行眼眶底探查，如有缺损或者异物，分别行眼眶底的修复或异物取出，术毕。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单眼</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91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330501022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耳廓良性肿物切除术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包括耳廓痣、血管瘤、瘢痕、囊肿等切除。消毒铺巾，局部麻醉或全身麻醉，肿物皮下分离切除，缝合切口，止血。不含局部皮瓣移植术或游离皮片移植。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5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330602015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经鼻内镜下鼻腔泪囊造口术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填塞肾上腺素浸润棉片收缩鼻腔，鼻内窥镜下取出棉片并检查鼻腔，于钩突部位制作一鼻黏膜骨膜瓣，咬取部分泪骨充分暴露泪囊，泪道探针探通下泪小管确认泪囊，切开泪囊，冲洗通畅，造口处植入支架，止血纱支撑并固定泪囊瓣及鼻粘膜瓣并防止粘连，眼膏涂鼻腔，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5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330604044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颌下神经节副交感神经纤维切断术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通过切断颌下神经节的副交感神经纤维，从而治疗原发性流涎症。消毒铺巾，局部麻醉或全身麻醉下，从口腔内的口底行切口，分离翻开舌下腺，寻找舌神经，沿舌神经向后分离，找到由舌神经发出的副交感神经纤维支和颌下神经节，切断颌下神经节节前的副交感神经纤维并结扎，冲洗创腔，缝合，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118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129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330702017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经胸腔镜剑突下肺癌根治术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贴膜，双腔气管插管，单肺通气，胸腔镜探查胸腔，定位肿瘤所在肺叶。游离并暴露肿瘤所在肺叶静脉、动脉分支及叶支气管分别切断、缝合。清扫肺内及纵隔内淋巴结，止血，放置引流管，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9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330703036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胸骨骨折内固定术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消毒铺巾，全身麻醉，贴膜，骨折部胸骨切口，逐层切开胸壁，复位胸骨骨折，内固定，止血，放置引流管，逐层缝合切口。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内固定材料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重庆市急救医疗中心</w:t>
            </w:r>
          </w:p>
        </w:tc>
      </w:tr>
      <w:tr>
        <w:tblPrEx>
          <w:tblLayout w:type="fixed"/>
          <w:tblCellMar>
            <w:top w:w="0" w:type="dxa"/>
            <w:left w:w="0" w:type="dxa"/>
            <w:bottom w:w="0" w:type="dxa"/>
            <w:right w:w="0" w:type="dxa"/>
          </w:tblCellMar>
        </w:tblPrEx>
        <w:trPr>
          <w:cantSplit/>
          <w:trHeight w:val="12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330703037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经胸腔镜剑突下前纵隔肿瘤切除术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全身麻醉，消毒铺巾，贴膜，单腔气管插管，双肺通气，经剑突下切口建立纵隔内气胸，置入胸腔镜探查，定位肿瘤。游离切除肿瘤及前纵隔脂肪、淋巴结组织，止血，放置引流管，缝合切口。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重庆大学附属肿瘤医院</w:t>
            </w:r>
          </w:p>
        </w:tc>
      </w:tr>
      <w:tr>
        <w:tblPrEx>
          <w:tblLayout w:type="fixed"/>
          <w:tblCellMar>
            <w:top w:w="0" w:type="dxa"/>
            <w:left w:w="0" w:type="dxa"/>
            <w:bottom w:w="0" w:type="dxa"/>
            <w:right w:w="0" w:type="dxa"/>
          </w:tblCellMar>
        </w:tblPrEx>
        <w:trPr>
          <w:cantSplit/>
          <w:trHeight w:val="14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330804073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恶性肿瘤侵及血管切除重建术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全身麻醉，显露肿瘤侵及部位血管（含肠系膜血管、肝动脉、门静脉、腔静脉及腹腔干）及控制血管根部及远端、重要分支血管，肝素化，阻断血管，切除受侵血管并取两端组织病理检查，对端吻合或人工血管架桥吻合，重要分支Y型吻合。</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330900024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淋巴结结核病灶清除术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消毒铺巾，麻醉，电刀逐层切开皮肤及皮下组织，电刀或超声刀止血、切除结核病灶、周围坏死组织、结核窦道及肿大淋巴结，局部负压引流，加压包扎，标本送检。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经口内镜下肌切开术（POEM）</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局部或全身麻醉，消泡，经口插入内镜，确定隧道切开部位，黏膜下注射液体垫，粘膜切开，建立黏膜下隧道，行黏膜下剥离，肌层切开，清理创面，封闭隧道入口。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重庆医科大学附属第二医院、陆军军医大学第二附属医院</w:t>
            </w:r>
          </w:p>
        </w:tc>
      </w:tr>
      <w:tr>
        <w:tblPrEx>
          <w:tblLayout w:type="fixed"/>
          <w:tblCellMar>
            <w:top w:w="0" w:type="dxa"/>
            <w:left w:w="0" w:type="dxa"/>
            <w:bottom w:w="0" w:type="dxa"/>
            <w:right w:w="0" w:type="dxa"/>
          </w:tblCellMar>
        </w:tblPrEx>
        <w:trPr>
          <w:cantSplit/>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经内镜粘膜下隧道肿瘤切除术（STER）</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咽部麻醉，润滑，消泡，判断肿瘤位置，在肿瘤上方开窗，进入粘膜下层，建立隧道，剥离肿瘤，止血，缝合，术毕。图文报告。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陆军军医大学第二附属医院、重庆医科大学附属第二医院</w:t>
            </w:r>
          </w:p>
        </w:tc>
      </w:tr>
      <w:tr>
        <w:tblPrEx>
          <w:tblLayout w:type="fixed"/>
          <w:tblCellMar>
            <w:top w:w="0" w:type="dxa"/>
            <w:left w:w="0" w:type="dxa"/>
            <w:bottom w:w="0" w:type="dxa"/>
            <w:right w:w="0" w:type="dxa"/>
          </w:tblCellMar>
        </w:tblPrEx>
        <w:trPr>
          <w:cantSplit/>
          <w:trHeight w:val="17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331002021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经电子内镜消化道黏膜切除术（EMR）</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消毒铺巾，麻醉，经消化道插入电子内镜，常规检查消化系统病变部位，寻查肿物，于肿物基底部注射药物以抬举病变黏膜部分，进行高频电凝电切或剥离切除，图文报告。不含监护、病理学检查。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一次性高频切开刀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采用切开刀进行剥离手术治疗（ESD）加收200元。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陆军军医大学第一附属医院、重庆医科大学附属第二医院、重庆大学附属肿瘤医院、重庆医科大学附属第三医院</w:t>
            </w:r>
          </w:p>
        </w:tc>
      </w:tr>
      <w:tr>
        <w:tblPrEx>
          <w:tblLayout w:type="fixed"/>
          <w:tblCellMar>
            <w:top w:w="0" w:type="dxa"/>
            <w:left w:w="0" w:type="dxa"/>
            <w:bottom w:w="0" w:type="dxa"/>
            <w:right w:w="0" w:type="dxa"/>
          </w:tblCellMar>
        </w:tblPrEx>
        <w:trPr>
          <w:cantSplit/>
          <w:trHeight w:val="103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331008032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腹腔结核病灶清除术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消毒铺巾，麻醉，贴膜、逐层进入腹腔，电刀或超声刀止血、游离腹腔粘连，寻找脓腔，切除结核病灶、周围坏死组织、保护好腹腔脏器、局部引流，标本送检。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13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331102020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经尿道输尿管软镜肾盂旁囊肿内切开术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润滑尿道，插入输尿管镜，检查膀胱，寻找输尿管口，扩张输尿管口，插入导丝，检查输尿管下端，拔出输尿管镜，推输尿管鞘，插入输尿管软镜检査，输尿管、肾盂、肾盏，找到肾囊肿薄弱处，内切开囊壁，止血，留置输尿管支架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激光法加收800元。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w:t>
            </w:r>
          </w:p>
        </w:tc>
      </w:tr>
      <w:tr>
        <w:tblPrEx>
          <w:tblLayout w:type="fixed"/>
          <w:tblCellMar>
            <w:top w:w="0" w:type="dxa"/>
            <w:left w:w="0" w:type="dxa"/>
            <w:bottom w:w="0" w:type="dxa"/>
            <w:right w:w="0" w:type="dxa"/>
          </w:tblCellMar>
        </w:tblPrEx>
        <w:trPr>
          <w:cantSplit/>
          <w:trHeight w:val="20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139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331104029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经耻骨阴道无张力尿道中段悬吊术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麻醉，用生理盐水向阴道前壁粘膜下注射形成水垫后，自尿道外口下纵形切开阴道前壁粘膜，钝锐性分离膀胱阴道间隙至耻骨后，紧贴耻骨联合经耻骨无张力尿道中段悬吊，耻骨联合中点左右皮肤出针，置膀胱镜再次查看膀胱无损伤，见双侧输尿管开口，退出膀胱镜放置植入物，调节植入物张力至按压膀胱无明显漏尿，重置导尿管，缝合阴道前壁切口。不含阴道前后壁修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9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331201013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经尿道前列腺剜除术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取膀胱截石位，消毒铺巾，置剜除镜进入膀胱，确定双侧输尿管开口及精阜位置，行前列腺剜除。</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激光法加收800元。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8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331203014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显微镜下睾丸或附睾切开取精术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平卧位，消毒铺巾，润滑尿道，导尿后，气管全身麻醉，切开阴囊各层，止血，显露附睾、睾丸，在手术显微镜下切开睾丸白膜，暴露睾丸组织，止血后，彻底解剖分离曲细精管，显微切取目标生精小管或切开附睾包膜，选择目标小管，切开附睾管，穿刺抽吸附睾液，获取精子置于培养皿中，倒置显微镜下剥离曲细精管寻找精子或观察精子数量、活力和精子形态等。</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52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宫腹腔镜联合辅助阴式子宫憩室修补术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阴道及宫颈，阴道拉钩暴露宫颈，打开宫颈膀胱间隙，分离周围组织，暴露剖宫产切口憩室部位，切除瘢痕处薄弱组织，缝合子宫切口，宫腔镜检查憩室修补后宫腔镜形态，联合腹腔镜检查有无损伤，关闭阴道前穹窿。必要时予以宫腔水囊压迫止血引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经宫腔镜子宫异常组织机械旋切术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放置窥器，置入宫腔镜明确肌瘤、息肉部位、大小、数目，通过宫腔镜置入一次性宫腔组织旋切活检器或组织切割器，切除黏膜下肌瘤、子宫内膜息肉，切除与组织排除同步完成。检查息肉、肌瘤根蒂创面出血情况，止血，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陆军军医大学第一附属医院</w:t>
            </w:r>
          </w:p>
        </w:tc>
      </w:tr>
      <w:tr>
        <w:tblPrEx>
          <w:tblLayout w:type="fixed"/>
          <w:tblCellMar>
            <w:top w:w="0" w:type="dxa"/>
            <w:left w:w="0" w:type="dxa"/>
            <w:bottom w:w="0" w:type="dxa"/>
            <w:right w:w="0" w:type="dxa"/>
          </w:tblCellMar>
        </w:tblPrEx>
        <w:trPr>
          <w:cantSplit/>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331306012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宫腔镜下子宫切口憩室电切术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消毒铺巾，宫腔检查镜了解宫颈管、切口憩室及宫腔情况，判断切口下缘是否有活瓣样结构并排除子宫内膜病变等，扩张宫颈管，直视下置入宫腔电切镜，去除异位内膜，查无明显出血后退出宫腔电切镜，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重庆市妇幼保健院</w:t>
            </w:r>
          </w:p>
        </w:tc>
      </w:tr>
      <w:tr>
        <w:tblPrEx>
          <w:tblLayout w:type="fixed"/>
          <w:tblCellMar>
            <w:top w:w="0" w:type="dxa"/>
            <w:left w:w="0" w:type="dxa"/>
            <w:bottom w:w="0" w:type="dxa"/>
            <w:right w:w="0" w:type="dxa"/>
          </w:tblCellMar>
        </w:tblPrEx>
        <w:trPr>
          <w:cantSplit/>
          <w:trHeight w:val="8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331400021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子宫颈缝扎止血术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取膀胱截石位，铺巾，保护会阴，扩开阴道，暴露宫颈，消毒，缝扎止血；检查创面无出血后，再次消毒，术毕。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子宫颈提拉式缝合止血术收取500元。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331501063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微创内镜下椎间盘髓核摘除术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消毒铺巾，麻醉，经后路或侧路，X线引导下穿刺，放置工作通道，内镜下切除部分椎板或部分关节突、部分黄韧带，摘除突出髓核，减压神经根及硬膜囊，缝合切口。</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0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331501064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微创腰椎间融合术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消毒铺巾，麻醉，经后路、斜外侧入路或后外侧入路放置微创通道，在内镜或显微镜监视下切除关节突关节，切除椎间盘，植入融合器行椎间植骨。在X线引导下行双侧经皮椎弓根螺钉固定。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4820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7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331506027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髌前滑囊切除术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消毒铺巾，麻醉，髌前滑囊探查，滑液取出，滑囊切除，减张缝合，止血，加压包扎，支具固定。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单侧</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450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16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149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331601015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乳腺肿瘤组织标记定位针置入术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消毒铺巾，麻醉，影像引导下选择肿物位置，将组织标记物、定位针直接穿刺或者通过专用管路置入目标组织内，不含影像学引导。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乳腺标记定位针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812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取出术按50%收取；乳腺病灶定位收取240元。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重庆医科大学附属第一医院、重庆大学附属肿瘤医院、重庆市中医院</w:t>
            </w:r>
          </w:p>
        </w:tc>
      </w:tr>
      <w:tr>
        <w:tblPrEx>
          <w:tblLayout w:type="fixed"/>
          <w:tblCellMar>
            <w:top w:w="0" w:type="dxa"/>
            <w:left w:w="0" w:type="dxa"/>
            <w:bottom w:w="0" w:type="dxa"/>
            <w:right w:w="0" w:type="dxa"/>
          </w:tblCellMar>
        </w:tblPrEx>
        <w:trPr>
          <w:cantSplit/>
          <w:trHeight w:val="13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331602014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浅表脓肿穿刺引流术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清洁消毒，局部麻醉，穿刺、抽脓，等脓液变少后，将脓肿轻挤，让附近的脓液在针下集中，再次进行抽吸。将脓液抽干净，注入其脓液量80%的生理盐水，进行反复冲洗，直到抽出的液体变清，停止抽吸。穿刺后，进行加压包扎。</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9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331602015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浅表结核病灶清除术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消毒铺巾，麻醉，贴膜，逐层切开皮肤及皮下组织，止血、切除结核病灶、周围坏死组织、结核窦道，必要时肌肉瓣充填，局部负压引流，加压包扎，标本送检。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重庆市公共卫生医疗救治中心</w:t>
            </w:r>
          </w:p>
        </w:tc>
      </w:tr>
      <w:tr>
        <w:tblPrEx>
          <w:tblLayout w:type="fixed"/>
          <w:tblCellMar>
            <w:top w:w="0" w:type="dxa"/>
            <w:left w:w="0" w:type="dxa"/>
            <w:bottom w:w="0" w:type="dxa"/>
            <w:right w:w="0" w:type="dxa"/>
          </w:tblCellMar>
        </w:tblPrEx>
        <w:trPr>
          <w:cantSplit/>
          <w:trHeight w:val="2028"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340100030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低温冲击镇痛治疗</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短按治疗枪按钮，调整治疗枪头距皮肤约6-8cm的距离，测量治疗部位的温度；长按治疗枪按钮开始治疗，将治疗枪垂直于皮肤表面，液态二氧化碳经过内设的50bar压力迅速蒸发，凝结成固态的-78℃干冰微晶喷射到皮肤表面形成白霜，并保持6-8cm的距离小范围匀速移动。治疗过程应密切观察患者皮肤表面结霜情况，皮肤表面出现白霜，表示该部位已达到治疗温度，需移动至其他区域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陆军军医大学第二附属医院</w:t>
            </w:r>
          </w:p>
        </w:tc>
      </w:tr>
      <w:tr>
        <w:tblPrEx>
          <w:tblLayout w:type="fixed"/>
          <w:tblCellMar>
            <w:top w:w="0" w:type="dxa"/>
            <w:left w:w="0" w:type="dxa"/>
            <w:bottom w:w="0" w:type="dxa"/>
            <w:right w:w="0" w:type="dxa"/>
          </w:tblCellMar>
        </w:tblPrEx>
        <w:trPr>
          <w:cantSplit/>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心脏康复训练</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根据患者运动试验结果如安静心率、最高心率、血压和心电图、病变程度、左心功能等级以及症状、个体健康状况制定运动处方。按照运动处方，在医师及治疗师的指导下完成每周3-5次，每次约15-60分钟的运动训练。包括准备活动、有氧运动、放松运动（伸展运动和柔软体操为主）。参照运动训练方案实施过程中病人对训练的反应，以及再评定的结果，不断修订运动处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日</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重庆医科大学附属康复医院</w:t>
            </w:r>
          </w:p>
        </w:tc>
      </w:tr>
      <w:tr>
        <w:tblPrEx>
          <w:tblLayout w:type="fixed"/>
          <w:tblCellMar>
            <w:top w:w="0" w:type="dxa"/>
            <w:left w:w="0" w:type="dxa"/>
            <w:bottom w:w="0" w:type="dxa"/>
            <w:right w:w="0" w:type="dxa"/>
          </w:tblCellMar>
        </w:tblPrEx>
        <w:trPr>
          <w:cantSplit/>
          <w:trHeight w:val="164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吞咽功能障碍导管球囊治疗术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局部麻醉，将导管球囊经鼻腔插入患者食道内，抽取适量生理盐水注入导管球囊内，确定并标记环咽肌位置后将导管球囊缓慢向外拉，根据患者环咽肌紧张程度进行导管球囊位置的调整，使球囊处于环咽肌处，反复轻柔向外提拉及交替放松，当球囊滑过环咽肌时迅速抽出球囊液体，术后评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重庆医科大学附属第三医院</w:t>
            </w:r>
          </w:p>
        </w:tc>
      </w:tr>
      <w:tr>
        <w:tblPrEx>
          <w:tblLayout w:type="fixed"/>
          <w:tblCellMar>
            <w:top w:w="0" w:type="dxa"/>
            <w:left w:w="0" w:type="dxa"/>
            <w:bottom w:w="0" w:type="dxa"/>
            <w:right w:w="0" w:type="dxa"/>
          </w:tblCellMar>
        </w:tblPrEx>
        <w:trPr>
          <w:cantSplit/>
          <w:trHeight w:val="13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340200048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肌能系贴扎术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准备，评估治疗部位，选择贴布长度，拟定治疗方案，选择剪裁类型。检查粘贴部位皮肤，酒精清洁，皮肤晾干后，根据治疗目的选择粘贴类型，剪裁贴布，贴起锚点，进行无张力粘贴或较小拉力粘贴或完全拉力粘贴，检查贴合度。</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r>
        <w:tblPrEx>
          <w:tblLayout w:type="fixed"/>
          <w:tblCellMar>
            <w:top w:w="0" w:type="dxa"/>
            <w:left w:w="0" w:type="dxa"/>
            <w:bottom w:w="0" w:type="dxa"/>
            <w:right w:w="0" w:type="dxa"/>
          </w:tblCellMar>
        </w:tblPrEx>
        <w:trPr>
          <w:cantSplit/>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430000029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浮针经皮松解术</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对患者的运动功能评估，疾病理解与辩证认识，局部患肌触诊，患处消毒、局部进针、运针、扫散、配合再灌注活动、留管并告知注意事项。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部位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重庆医科大学附属永川医院</w:t>
            </w:r>
          </w:p>
        </w:tc>
      </w:tr>
      <w:tr>
        <w:tblPrEx>
          <w:tblLayout w:type="fixed"/>
          <w:tblCellMar>
            <w:top w:w="0" w:type="dxa"/>
            <w:left w:w="0" w:type="dxa"/>
            <w:bottom w:w="0" w:type="dxa"/>
            <w:right w:w="0" w:type="dxa"/>
          </w:tblCellMar>
        </w:tblPrEx>
        <w:trPr>
          <w:cantSplit/>
          <w:trHeight w:val="166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等线" w:cs="等线"/>
                <w:color w:val="000000"/>
                <w:sz w:val="20"/>
              </w:rPr>
            </w:pPr>
            <w:r>
              <w:rPr>
                <w:rFonts w:ascii="Times New Roman" w:hAnsi="Times New Roman" w:eastAsia="等线" w:cs="等线"/>
                <w:color w:val="000000"/>
                <w:kern w:val="0"/>
                <w:sz w:val="20"/>
                <w:lang w:bidi="ar"/>
              </w:rPr>
              <w:t>470000017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棍针疗法</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评估患者，告知注意事项。辨证，循经取穴，取舒适体位，暴露皮肤。定经取穴，润滑，棍针器具点燃艾条预热，手握棍针，与患者皮肤成合适角度，于选穴部位开穴，行挑拨法、刨动法、刮法、点法等。如此反复3～5次，约30分钟。随时观察患者局部皮肤，询问感受。操作毕洁肤、记录、终末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rPr>
                <w:rFonts w:ascii="Times New Roman" w:hAnsi="Times New Roman" w:eastAsia="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115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ascii="Times New Roman" w:hAnsi="Times New Roman" w:eastAsia="宋体" w:cs="宋体"/>
                <w:color w:val="000000"/>
                <w:sz w:val="20"/>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宋体" w:cs="宋体"/>
                <w:color w:val="000000"/>
                <w:sz w:val="20"/>
              </w:rPr>
            </w:pPr>
            <w:r>
              <w:rPr>
                <w:rFonts w:hint="eastAsia" w:ascii="Times New Roman" w:hAnsi="Times New Roman" w:eastAsia="宋体" w:cs="宋体"/>
                <w:color w:val="000000"/>
                <w:kern w:val="0"/>
                <w:sz w:val="20"/>
                <w:lang w:bidi="ar"/>
              </w:rPr>
              <w:t>重庆市中医院</w:t>
            </w:r>
          </w:p>
        </w:tc>
      </w:tr>
    </w:tbl>
    <w:p>
      <w:pPr>
        <w:pStyle w:val="2"/>
        <w:rPr>
          <w:rFonts w:hint="default"/>
        </w:rPr>
        <w:sectPr>
          <w:pgSz w:w="16838" w:h="11906" w:orient="landscape"/>
          <w:pgMar w:top="1587" w:right="2098" w:bottom="1474" w:left="1984" w:header="851" w:footer="992" w:gutter="0"/>
          <w:pgNumType w:fmt="numberInDash"/>
          <w:cols w:space="425" w:num="1"/>
          <w:docGrid w:linePitch="435" w:charSpace="0"/>
        </w:sectPr>
      </w:pPr>
    </w:p>
    <w:p>
      <w:pPr>
        <w:rPr>
          <w:rFonts w:hint="eastAsia" w:ascii="Times New Roman" w:hAnsi="Times New Roman" w:eastAsia="方正黑体_GBK" w:cs="方正黑体_GBK"/>
          <w:kern w:val="0"/>
          <w:sz w:val="32"/>
          <w:szCs w:val="32"/>
          <w:shd w:val="clear" w:color="auto" w:fill="FFFFFF"/>
        </w:rPr>
      </w:pPr>
      <w:r>
        <w:rPr>
          <w:rFonts w:hint="eastAsia" w:ascii="Times New Roman" w:hAnsi="Times New Roman" w:eastAsia="方正黑体_GBK" w:cs="方正黑体_GBK"/>
          <w:kern w:val="0"/>
          <w:sz w:val="32"/>
          <w:szCs w:val="32"/>
          <w:shd w:val="clear" w:color="auto" w:fill="FFFFFF"/>
        </w:rPr>
        <w:t>附件2</w:t>
      </w:r>
    </w:p>
    <w:p>
      <w:pPr>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医疗机构</w:t>
      </w:r>
      <w:r>
        <w:rPr>
          <w:rFonts w:ascii="方正小标宋_GBK" w:hAnsi="方正小标宋_GBK" w:eastAsia="方正小标宋_GBK" w:cs="方正小标宋_GBK"/>
          <w:bCs/>
          <w:kern w:val="0"/>
          <w:sz w:val="44"/>
          <w:szCs w:val="44"/>
          <w:shd w:val="clear" w:color="auto" w:fill="FFFFFF"/>
        </w:rPr>
        <w:t>新增</w:t>
      </w:r>
      <w:r>
        <w:rPr>
          <w:rFonts w:hint="eastAsia" w:ascii="方正小标宋_GBK" w:hAnsi="方正小标宋_GBK" w:eastAsia="方正小标宋_GBK" w:cs="方正小标宋_GBK"/>
          <w:bCs/>
          <w:kern w:val="0"/>
          <w:sz w:val="44"/>
          <w:szCs w:val="44"/>
          <w:shd w:val="clear" w:color="auto" w:fill="FFFFFF"/>
        </w:rPr>
        <w:t>医疗服务价格项目备案表</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 xml:space="preserve">申请单位（盖章）：    </w:t>
      </w:r>
      <w:r>
        <w:rPr>
          <w:rFonts w:ascii="方正仿宋_GBK" w:hAnsi="方正仿宋_GBK" w:eastAsia="方正仿宋_GBK" w:cs="方正仿宋_GBK"/>
          <w:kern w:val="0"/>
          <w:sz w:val="24"/>
          <w:szCs w:val="24"/>
          <w:shd w:val="clear" w:color="auto" w:fill="FFFFFF"/>
        </w:rPr>
        <w:t xml:space="preserve">                           </w:t>
      </w:r>
      <w:r>
        <w:rPr>
          <w:rFonts w:hint="eastAsia" w:ascii="方正仿宋_GBK" w:hAnsi="方正仿宋_GBK" w:eastAsia="方正仿宋_GBK" w:cs="方正仿宋_GBK"/>
          <w:kern w:val="0"/>
          <w:sz w:val="24"/>
          <w:szCs w:val="24"/>
          <w:shd w:val="clear" w:color="auto" w:fill="FFFFFF"/>
        </w:rPr>
        <w:t xml:space="preserve">申请日期：  年   月  </w:t>
      </w:r>
      <w:r>
        <w:rPr>
          <w:rFonts w:ascii="方正仿宋_GBK" w:hAnsi="方正仿宋_GBK" w:eastAsia="方正仿宋_GBK" w:cs="方正仿宋_GBK"/>
          <w:kern w:val="0"/>
          <w:sz w:val="24"/>
          <w:szCs w:val="24"/>
          <w:shd w:val="clear" w:color="auto" w:fill="FFFFFF"/>
        </w:rPr>
        <w:t xml:space="preserve"> </w:t>
      </w:r>
      <w:r>
        <w:rPr>
          <w:rFonts w:hint="eastAsia" w:ascii="方正仿宋_GBK" w:hAnsi="方正仿宋_GBK" w:eastAsia="方正仿宋_GBK" w:cs="方正仿宋_GBK"/>
          <w:kern w:val="0"/>
          <w:sz w:val="24"/>
          <w:szCs w:val="24"/>
          <w:shd w:val="clear" w:color="auto" w:fill="FFFFFF"/>
        </w:rPr>
        <w:t>日</w:t>
      </w:r>
    </w:p>
    <w:tbl>
      <w:tblPr>
        <w:tblStyle w:val="8"/>
        <w:tblW w:w="8963" w:type="dxa"/>
        <w:jc w:val="center"/>
        <w:tblInd w:w="0" w:type="dxa"/>
        <w:tblLayout w:type="fixed"/>
        <w:tblCellMar>
          <w:top w:w="0" w:type="dxa"/>
          <w:left w:w="108" w:type="dxa"/>
          <w:bottom w:w="0" w:type="dxa"/>
          <w:right w:w="108" w:type="dxa"/>
        </w:tblCellMar>
      </w:tblPr>
      <w:tblGrid>
        <w:gridCol w:w="2314"/>
        <w:gridCol w:w="2000"/>
        <w:gridCol w:w="1482"/>
        <w:gridCol w:w="3167"/>
      </w:tblGrid>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项目编码</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项目名称</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71"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项目内涵</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除外内容</w:t>
            </w:r>
          </w:p>
        </w:tc>
        <w:tc>
          <w:tcPr>
            <w:tcW w:w="200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c>
          <w:tcPr>
            <w:tcW w:w="148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计价单位</w:t>
            </w:r>
          </w:p>
        </w:tc>
        <w:tc>
          <w:tcPr>
            <w:tcW w:w="31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计价说明</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申请试行价格</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292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申请理由：</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187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审核意见：</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bl>
    <w:p>
      <w:pPr>
        <w:widowControl/>
        <w:shd w:val="solid" w:color="FFFFFF" w:fill="auto"/>
        <w:autoSpaceDN w:val="0"/>
        <w:spacing w:line="0" w:lineRule="atLeas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pPr>
      <w:r>
        <w:rPr>
          <w:rFonts w:hint="eastAsia" w:ascii="方正仿宋_GBK" w:hAnsi="方正仿宋_GBK" w:eastAsia="方正仿宋_GBK" w:cs="方正仿宋_GBK"/>
          <w:kern w:val="0"/>
          <w:sz w:val="24"/>
          <w:szCs w:val="24"/>
          <w:shd w:val="clear" w:color="auto" w:fill="FFFFFF"/>
        </w:rPr>
        <w:t>审核部门</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盖章</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 xml:space="preserve">               日     期：</w:t>
      </w:r>
    </w:p>
    <w:p>
      <w:pPr>
        <w:rPr>
          <w:rFonts w:ascii="方正仿宋_GBK" w:eastAsia="方正仿宋_GBK"/>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TdjMjhkZWFkYTljNmRhMmNmMGRkNmVmYTIxZDcifQ=="/>
  </w:docVars>
  <w:rsids>
    <w:rsidRoot w:val="00BD59F1"/>
    <w:rsid w:val="001B29FD"/>
    <w:rsid w:val="001E62AC"/>
    <w:rsid w:val="00256583"/>
    <w:rsid w:val="00287718"/>
    <w:rsid w:val="002958C0"/>
    <w:rsid w:val="00336BD7"/>
    <w:rsid w:val="004375A7"/>
    <w:rsid w:val="00465ED9"/>
    <w:rsid w:val="006236DB"/>
    <w:rsid w:val="006251EB"/>
    <w:rsid w:val="00627C57"/>
    <w:rsid w:val="006761A9"/>
    <w:rsid w:val="006C28A5"/>
    <w:rsid w:val="006C716A"/>
    <w:rsid w:val="00800B09"/>
    <w:rsid w:val="008A1FBB"/>
    <w:rsid w:val="009569E5"/>
    <w:rsid w:val="00A8021B"/>
    <w:rsid w:val="00BB0F49"/>
    <w:rsid w:val="00BD59F1"/>
    <w:rsid w:val="00C02CA9"/>
    <w:rsid w:val="00D822F4"/>
    <w:rsid w:val="00E10AF5"/>
    <w:rsid w:val="00E95DD5"/>
    <w:rsid w:val="00EC1B42"/>
    <w:rsid w:val="00F65B11"/>
    <w:rsid w:val="00F713B4"/>
    <w:rsid w:val="02C41C4F"/>
    <w:rsid w:val="084E05D9"/>
    <w:rsid w:val="08614BAF"/>
    <w:rsid w:val="08FE7C34"/>
    <w:rsid w:val="099E3ED5"/>
    <w:rsid w:val="0B195B80"/>
    <w:rsid w:val="0B3B179A"/>
    <w:rsid w:val="0E9C75AF"/>
    <w:rsid w:val="0FDC1964"/>
    <w:rsid w:val="119519D0"/>
    <w:rsid w:val="1337172D"/>
    <w:rsid w:val="14EF5305"/>
    <w:rsid w:val="15645738"/>
    <w:rsid w:val="1F74366A"/>
    <w:rsid w:val="20921196"/>
    <w:rsid w:val="219C780C"/>
    <w:rsid w:val="257124F5"/>
    <w:rsid w:val="25FF5D3C"/>
    <w:rsid w:val="28953D29"/>
    <w:rsid w:val="294F1EEB"/>
    <w:rsid w:val="2AFE6B7B"/>
    <w:rsid w:val="2B163AC5"/>
    <w:rsid w:val="2C0679BF"/>
    <w:rsid w:val="2D092D6F"/>
    <w:rsid w:val="2DB14142"/>
    <w:rsid w:val="2E593E6B"/>
    <w:rsid w:val="31667E06"/>
    <w:rsid w:val="33EF44A5"/>
    <w:rsid w:val="349631E8"/>
    <w:rsid w:val="34E2450B"/>
    <w:rsid w:val="37AF1A83"/>
    <w:rsid w:val="383902F8"/>
    <w:rsid w:val="38FE0059"/>
    <w:rsid w:val="396B3403"/>
    <w:rsid w:val="39CF0A9D"/>
    <w:rsid w:val="3A1D2AC7"/>
    <w:rsid w:val="3CC11305"/>
    <w:rsid w:val="3E6437EB"/>
    <w:rsid w:val="3FCD2D9B"/>
    <w:rsid w:val="4A2E797B"/>
    <w:rsid w:val="4A9F2515"/>
    <w:rsid w:val="4BF957B2"/>
    <w:rsid w:val="51F11B9C"/>
    <w:rsid w:val="53F6304F"/>
    <w:rsid w:val="54504313"/>
    <w:rsid w:val="54E36229"/>
    <w:rsid w:val="572620D2"/>
    <w:rsid w:val="58D1655D"/>
    <w:rsid w:val="5F78236B"/>
    <w:rsid w:val="678B1A56"/>
    <w:rsid w:val="72244554"/>
    <w:rsid w:val="7DD5324B"/>
    <w:rsid w:val="7FDF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jc w:val="center"/>
    </w:pPr>
    <w:rPr>
      <w:lang w:val="zh-CN" w:eastAsia="zh-CN"/>
    </w:rPr>
  </w:style>
  <w:style w:type="paragraph" w:styleId="4">
    <w:name w:val="footer"/>
    <w:basedOn w:val="1"/>
    <w:link w:val="10"/>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39</Pages>
  <Words>21434</Words>
  <Characters>23798</Characters>
  <Lines>34</Lines>
  <Paragraphs>50</Paragraphs>
  <TotalTime>3</TotalTime>
  <ScaleCrop>false</ScaleCrop>
  <LinksUpToDate>false</LinksUpToDate>
  <CharactersWithSpaces>23916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2022-11-03T03:01:00Z</dcterms:created>
  <dc:creator>胡娟</dc:creator>
  <cp:lastModifiedBy>null</cp:lastModifiedBy>
  <cp:lastPrinted>2022-12-30T07:39:00Z</cp:lastPrinted>
  <dcterms:modified xsi:type="dcterms:W3CDTF">2023-02-14T00:45:39Z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BC972E165EEC4E1AA79E2344B3F0291B</vt:lpwstr>
  </property>
</Properties>
</file>