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594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spacing w:val="0"/>
          <w:w w:val="100"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spacing w:val="0"/>
          <w:w w:val="100"/>
          <w:kern w:val="0"/>
          <w:sz w:val="44"/>
          <w:szCs w:val="44"/>
          <w:lang w:eastAsia="zh-CN"/>
        </w:rPr>
        <w:t>重庆市黔江区招商投资促进局</w:t>
      </w:r>
    </w:p>
    <w:p>
      <w:pPr>
        <w:snapToGrid w:val="0"/>
        <w:spacing w:before="0" w:beforeAutospacing="0" w:after="0" w:afterAutospacing="0" w:line="594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spacing w:val="0"/>
          <w:w w:val="100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spacing w:val="0"/>
          <w:w w:val="100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spacing w:val="0"/>
          <w:w w:val="100"/>
          <w:kern w:val="0"/>
          <w:sz w:val="44"/>
          <w:szCs w:val="44"/>
          <w:lang w:eastAsia="zh-CN"/>
        </w:rPr>
        <w:t>上半年招商投资促进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spacing w:val="0"/>
          <w:w w:val="100"/>
          <w:kern w:val="0"/>
          <w:sz w:val="44"/>
          <w:szCs w:val="44"/>
        </w:rPr>
        <w:t>工作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  <w:t>总结</w:t>
      </w:r>
    </w:p>
    <w:p>
      <w:pPr>
        <w:snapToGrid w:val="0"/>
        <w:spacing w:before="0" w:beforeAutospacing="0" w:after="0" w:afterAutospacing="0" w:line="594" w:lineRule="exact"/>
        <w:ind w:firstLine="400" w:firstLineChars="200"/>
        <w:jc w:val="both"/>
        <w:textAlignment w:val="baseline"/>
        <w:rPr>
          <w:rFonts w:eastAsia="方正仿宋_GBK"/>
          <w:b w:val="0"/>
          <w:i w:val="0"/>
          <w:caps w:val="0"/>
          <w:spacing w:val="0"/>
          <w:w w:val="100"/>
          <w:sz w:val="20"/>
          <w:szCs w:val="32"/>
        </w:rPr>
      </w:pPr>
    </w:p>
    <w:p>
      <w:pPr>
        <w:keepLines w:val="0"/>
        <w:widowControl w:val="0"/>
        <w:snapToGrid w:val="0"/>
        <w:spacing w:before="0" w:beforeAutospacing="0" w:after="0" w:afterAutospacing="0" w:line="594" w:lineRule="exact"/>
        <w:jc w:val="both"/>
        <w:textAlignment w:val="baseline"/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   今年来，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面对错综复杂的宏观环境、经济下行的巨大压力，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在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区委、区政府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的坚强领导下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/>
          <w:sz w:val="32"/>
          <w:szCs w:val="32"/>
        </w:rPr>
        <w:t>区招商投资局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立足资源禀赋、发挥比较优势、围绕主导产业，加快“走出去、请进来”步伐，大力开展招商引资工作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，努力开创招商引资新局面，现将上半年招商投资促进工作开展情况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总结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如下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。</w:t>
      </w:r>
    </w:p>
    <w:p>
      <w:pPr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一、上半年</w:t>
      </w:r>
      <w:r>
        <w:rPr>
          <w:rFonts w:hint="eastAsia" w:ascii="方正黑体_GBK" w:hAnsi="方正黑体_GBK" w:eastAsia="方正黑体_GBK" w:cs="方正黑体_GBK"/>
          <w:b w:val="0"/>
          <w:i w:val="0"/>
          <w:caps w:val="0"/>
          <w:spacing w:val="0"/>
          <w:w w:val="100"/>
          <w:sz w:val="32"/>
          <w:szCs w:val="32"/>
        </w:rPr>
        <w:t>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上半年，全区签订正式合同3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个，完成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区政府工作报告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目标的9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%；正式合同额64.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亿元，分别完成市级下达正式合同额目标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53.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区级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正式合同额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M0目标的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%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累计认定开工项目53个、近三年签约项目开工率40.2%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到位资金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6.1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。主要呈现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三个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特点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招商机制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健全完善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一是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领导挂帅。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区招商投资促进工作领导小组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给区四大家所有实职区领导下达了招商引资目标任务，充分发挥其带头招商、带动招商的作用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今年来，区领导带队外出招商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次，对接企业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家，助推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多个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项目成功签约。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专班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推进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。按照“链长挂帅、部门牵头、多方协同”的模式建立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12个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产业链招商专班，全面推进主导产业强链补链延链。积极组建驻粤港澳大湾区、长三角、京津冀、成渝双城经济圈四个驻外招商组，近期将授旗出征。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三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赛马比拼。实行半月调度、每月通报、季度晾晒、年度考核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招商赛马比拼机制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制定了“红橙黄蓝绿”五色图晾晒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方式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，切实抓好各项目标任务落实。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正向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激励。升级“招商英雄榜”，对在招商引资中表现突出的单位或个人进行重点奖励，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评定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2022年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上榜单位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个，上榜个人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，今年来，有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10个单位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名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个人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参与揭榜；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出台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年终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考核加分等激励政策，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全力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调动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各级各部门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招商积极性。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（二）产业招商精准聚焦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结合产业基础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紧盯12条细分产业链开展精准招商，签约产业链项目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个，合同额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64.1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，产业链项目到位资金占总额度的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95%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。其中：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围绕铝产业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签约铝灰渣综合利用及铝深加工等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项目，开工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年产30万吨再生铝项目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；围绕食品加工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签约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肉奶牛养殖及深加工、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荣信集团预制菜加工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等项目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11个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围绕生物医药，挂牌成立武陵山生物医药研究院，重点洽谈推进爱宠生物、“浣米熊”宠物健康等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（三）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招商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活动赋能发展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全区上下把主要精力、主要力量向招商引资倾斜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为营造浓厚的招商氛围，不定期组织开展或参加重大招商活动。积极筹办了央企市属国企支持黔江中心城市建设座谈会议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，推出拟深度合作项目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42个，44家央企、市属国企等单位参加会议；举办了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重庆黔江武陵山生物医药联合研究院揭牌仪式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，目前企业正在我区开展CAR-T细胞治疗血液肿瘤、干细胞治疗糖尿病、干细胞抗衰老等临床试验和其他生物治疗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；举办了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武陵文旅大会招商项目推介及集中签约等大型活动，现场签约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城市大峡谷二期、黔江景区夜游经济等2个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文旅项目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，协议引资55亿元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我区上半年招商引资工作虽有序推进，但仍存在一些不足：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一是招商力量未能有效发挥。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我局作为全区招商工作的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部门，承担大量合同起草、客商接待、产业前景分析等本应专业行业部门履行的日常事务，导致外出招商次数少、频次低，缺乏对市场的深入分析、未能及时把握商机，统筹、指导、督促、考核等职责作用发挥不足。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二是部门协同招商合力不够。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少数部门缺乏“全域”思维，招商合力未完全形成。一些招商责任单位工作人员对全区招商政策、产业结构、资源优势、要素配备等内容掌握不透，业务水平有待提高、服务质量亟需升级，且存在外出招商多为跟团外出、应付性外出。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三是存量项目有效推进乏力。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从在谈项目看，面临着转化率低、重大项目少的问题；从签约项目看，主要面临终止投资多、开工意愿低的问题；从开工项目看，面临着有效项目少、资金缺口大等问题。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b w:val="0"/>
          <w:i w:val="0"/>
          <w:iCs w:val="0"/>
          <w:caps w:val="0"/>
          <w:color w:val="000000"/>
          <w:spacing w:val="8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w w:val="100"/>
          <w:sz w:val="32"/>
          <w:szCs w:val="32"/>
        </w:rPr>
        <w:t>、</w:t>
      </w: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下</w:t>
      </w: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半年工作打算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9"/>
          <w:rFonts w:hint="eastAsia" w:ascii="方正仿宋_GBK" w:hAnsi="方正仿宋_GBK" w:eastAsia="方正仿宋_GBK" w:cs="方正仿宋_GBK"/>
          <w:bCs/>
          <w:color w:val="000000"/>
          <w:spacing w:val="0"/>
          <w:kern w:val="0"/>
          <w:sz w:val="32"/>
          <w:szCs w:val="32"/>
          <w:lang w:val="en-US" w:eastAsia="zh-CN"/>
        </w:rPr>
        <w:t>下半年，</w:t>
      </w:r>
      <w:r>
        <w:rPr>
          <w:rStyle w:val="9"/>
          <w:rFonts w:hint="eastAsia" w:ascii="方正仿宋_GBK" w:hAnsi="方正仿宋_GBK" w:eastAsia="方正仿宋_GBK" w:cs="方正仿宋_GBK"/>
          <w:bCs/>
          <w:color w:val="000000"/>
          <w:spacing w:val="0"/>
          <w:kern w:val="0"/>
          <w:sz w:val="32"/>
          <w:szCs w:val="32"/>
          <w:lang w:eastAsia="zh-CN"/>
        </w:rPr>
        <w:t>我局将</w:t>
      </w:r>
      <w:r>
        <w:rPr>
          <w:rStyle w:val="9"/>
          <w:rFonts w:hint="eastAsia" w:ascii="方正仿宋_GBK" w:hAnsi="方正仿宋_GBK" w:eastAsia="方正仿宋_GBK" w:cs="方正仿宋_GBK"/>
          <w:bCs/>
          <w:color w:val="000000"/>
          <w:spacing w:val="0"/>
          <w:kern w:val="0"/>
          <w:sz w:val="32"/>
          <w:szCs w:val="32"/>
          <w:lang w:val="en-US" w:eastAsia="zh-CN"/>
        </w:rPr>
        <w:t>深入贯彻落实区委、区政府关于招商引资工作要求，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坚定全年目标任务不动摇，</w:t>
      </w:r>
      <w:r>
        <w:rPr>
          <w:rStyle w:val="9"/>
          <w:rFonts w:hint="eastAsia" w:ascii="方正仿宋_GBK" w:hAnsi="方正仿宋_GBK" w:eastAsia="方正仿宋_GBK" w:cs="方正仿宋_GBK"/>
          <w:bCs/>
          <w:color w:val="000000"/>
          <w:spacing w:val="0"/>
          <w:kern w:val="0"/>
          <w:sz w:val="32"/>
          <w:szCs w:val="32"/>
          <w:lang w:eastAsia="zh-CN"/>
        </w:rPr>
        <w:t>在认真总结上半年</w:t>
      </w:r>
      <w:r>
        <w:rPr>
          <w:rStyle w:val="9"/>
          <w:rFonts w:hint="eastAsia" w:ascii="方正仿宋_GBK" w:hAnsi="方正仿宋_GBK" w:eastAsia="方正仿宋_GBK" w:cs="方正仿宋_GBK"/>
          <w:bCs/>
          <w:color w:val="000000"/>
          <w:spacing w:val="0"/>
          <w:kern w:val="0"/>
          <w:sz w:val="32"/>
          <w:szCs w:val="32"/>
          <w:lang w:val="en-US" w:eastAsia="zh-CN"/>
        </w:rPr>
        <w:t>工作的基础上持续发力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、攻坚克难、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狠抓落实，</w:t>
      </w:r>
      <w:r>
        <w:rPr>
          <w:rStyle w:val="9"/>
          <w:rFonts w:hint="eastAsia" w:ascii="方正仿宋_GBK" w:hAnsi="方正仿宋_GBK" w:eastAsia="方正仿宋_GBK" w:cs="方正仿宋_GBK"/>
          <w:bCs/>
          <w:color w:val="000000"/>
          <w:spacing w:val="0"/>
          <w:kern w:val="0"/>
          <w:sz w:val="32"/>
          <w:szCs w:val="32"/>
          <w:lang w:eastAsia="zh-CN"/>
        </w:rPr>
        <w:t>确保完成市、区</w:t>
      </w:r>
      <w:r>
        <w:rPr>
          <w:rStyle w:val="9"/>
          <w:rFonts w:hint="eastAsia" w:ascii="方正仿宋_GBK" w:hAnsi="方正仿宋_GBK" w:eastAsia="方正仿宋_GBK" w:cs="方正仿宋_GBK"/>
          <w:bCs/>
          <w:color w:val="000000"/>
          <w:spacing w:val="0"/>
          <w:kern w:val="0"/>
          <w:sz w:val="32"/>
          <w:szCs w:val="32"/>
          <w:lang w:val="en-US" w:eastAsia="zh-CN"/>
        </w:rPr>
        <w:t>年度目标任务。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全体系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优化招商项目结构。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一是抓大项目开工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紧盯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麒麟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风电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二期、金洞风储一体化示范、铝灰渣综合利用及铝深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加工、交通工具轻量化产业原材料基地等投资超亿元的签约项目尽快开工，弥补当前到位资金缺口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二是抓常态化机制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。进一步优化提升项目备案、在建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项目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信息双向联动机制，健全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投资信息挖掘—招商项目策划—在建项目监测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工作闭环机制，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做到一二三产业“应统尽统”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三是抓存量促提升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对29个签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约未开工项目实行点对点工作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督办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按月形成项目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调度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清单，尽快补齐存量工作短板、形成新增接续投资。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（二）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全方位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打造优势招商环境。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一是加快完善招商政策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督促相关部门尽快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制定出台相关政策，进一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步提升投资企业吸引力、增强区域竞争力。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加大招商引资政策兑现保障力度，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确保招引项目及时享受优惠政策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。借助市区联动招商机制，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积极争取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将食品加工产业纳入市区联合招商范围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二是加强要素资源统筹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  <w:r>
        <w:rPr>
          <w:rFonts w:eastAsia="方正仿宋_GBK"/>
          <w:color w:val="000000"/>
          <w:sz w:val="32"/>
          <w:szCs w:val="32"/>
        </w:rPr>
        <w:t>强化项目全生命周期管理服务，做好招商项目土地、能源、人才等要素保障，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充分发挥区领导联系招商企业和招商引资调度会作用，研判跟踪项目质量，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签约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项目定人定责、倒排工期、紧盯不放，逐月落实目标任务，主动靠前服务，缩短审批时限、协调解决难点问题，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协同部门力量共推项目快速落地开工并形成有效投资。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三是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强化招商队伍建设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持续做好招商队伍建设，常态化举办招商人员业务知识、实战技能培训，不断提升招商人员综合素质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（三）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全流程做好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结果导向评价。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一是确保在谈有进度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加强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在谈项目进度管理，对于符合产业准入条件、要素供给能保障、本级财力能匹配的项目，原则上从洽谈到签约时间不超过3个月；对于投资额大、要素要求高、议价能力强的项目，原则上从洽谈到签约时间不超过6个月。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二是确保谋划有深度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立足厂房、楼宇、闲置土地等宝贵资源，抢抓当前分布式光伏、停车场、充换电设施、共享单车等领域处于投资风口的有利条件，精准策划一批资源类招商项目。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是确保签约有结果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严格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落实新签项目务必在2024年一季度前开工的底线要求，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切实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提高签约项目质量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避免出现新的终止投资类项目，为明年接续提高项目开工率、资金到位率打好基础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pStyle w:val="2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pStyle w:val="2"/>
        <w:ind w:firstLine="5440" w:firstLineChars="1700"/>
        <w:rPr>
          <w:rFonts w:hint="default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7DF6DD"/>
    <w:multiLevelType w:val="singleLevel"/>
    <w:tmpl w:val="FF7DF6D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ZTU2OTNkZDhiOTUyZDJiN2Y4NjgzOThkOWE2NWQifQ=="/>
  </w:docVars>
  <w:rsids>
    <w:rsidRoot w:val="00000000"/>
    <w:rsid w:val="006D0CE9"/>
    <w:rsid w:val="01101675"/>
    <w:rsid w:val="07FFF478"/>
    <w:rsid w:val="0D45746B"/>
    <w:rsid w:val="11D55397"/>
    <w:rsid w:val="14F11A91"/>
    <w:rsid w:val="1B852F33"/>
    <w:rsid w:val="1ED65854"/>
    <w:rsid w:val="1FBF3441"/>
    <w:rsid w:val="229C0B63"/>
    <w:rsid w:val="246102B6"/>
    <w:rsid w:val="25B61F3B"/>
    <w:rsid w:val="2C471AD8"/>
    <w:rsid w:val="2DFE521A"/>
    <w:rsid w:val="3227669B"/>
    <w:rsid w:val="32E75E2A"/>
    <w:rsid w:val="337A13F2"/>
    <w:rsid w:val="345474EF"/>
    <w:rsid w:val="36315D3A"/>
    <w:rsid w:val="37FA215C"/>
    <w:rsid w:val="38795776"/>
    <w:rsid w:val="3FFFE46E"/>
    <w:rsid w:val="417D62D7"/>
    <w:rsid w:val="4A233794"/>
    <w:rsid w:val="50923421"/>
    <w:rsid w:val="50C01D3C"/>
    <w:rsid w:val="5438608E"/>
    <w:rsid w:val="57F329F7"/>
    <w:rsid w:val="5BFC32A8"/>
    <w:rsid w:val="5E8C325E"/>
    <w:rsid w:val="624125B1"/>
    <w:rsid w:val="637EEEAC"/>
    <w:rsid w:val="6A5E1D79"/>
    <w:rsid w:val="6A987604"/>
    <w:rsid w:val="6B9B2D32"/>
    <w:rsid w:val="6F9FD00E"/>
    <w:rsid w:val="6FEF615A"/>
    <w:rsid w:val="73EF2BEC"/>
    <w:rsid w:val="751853F4"/>
    <w:rsid w:val="75426F1E"/>
    <w:rsid w:val="75C43339"/>
    <w:rsid w:val="760F102B"/>
    <w:rsid w:val="764B632B"/>
    <w:rsid w:val="76A93916"/>
    <w:rsid w:val="775C3CBE"/>
    <w:rsid w:val="7B3702FB"/>
    <w:rsid w:val="7E2F5C81"/>
    <w:rsid w:val="7EABB072"/>
    <w:rsid w:val="7FAF2185"/>
    <w:rsid w:val="7FF5DF17"/>
    <w:rsid w:val="AFFB508C"/>
    <w:rsid w:val="BFB3800E"/>
    <w:rsid w:val="DB9FB642"/>
    <w:rsid w:val="DD667C80"/>
    <w:rsid w:val="F5BFB18F"/>
    <w:rsid w:val="FFBB83AB"/>
    <w:rsid w:val="FFFE25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4"/>
    <w:basedOn w:val="3"/>
    <w:next w:val="1"/>
    <w:qFormat/>
    <w:uiPriority w:val="0"/>
    <w:pPr>
      <w:spacing w:line="374" w:lineRule="auto"/>
      <w:outlineLvl w:val="3"/>
    </w:pPr>
    <w:rPr>
      <w:rFonts w:ascii="Cambria" w:hAnsi="Cambria" w:eastAsia="宋体" w:cs="Cambria"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560" w:lineRule="exact"/>
      <w:ind w:firstLine="420" w:firstLineChars="200"/>
    </w:pPr>
    <w:rPr>
      <w:rFonts w:ascii="Times New Roman" w:hAnsi="Times New Roman" w:eastAsia="仿宋" w:cs="Times New Roman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15"/>
    <w:basedOn w:val="8"/>
    <w:qFormat/>
    <w:uiPriority w:val="0"/>
    <w:rPr>
      <w:rFonts w:hint="default" w:ascii="Times New Roman" w:hAnsi="Times New Roman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2023-08-23T16:53:00Z</dcterms:created>
  <dc:creator>huawei</dc:creator>
  <cp:lastModifiedBy>花格子 Edelweiss♧</cp:lastModifiedBy>
  <dcterms:modified xsi:type="dcterms:W3CDTF">2023-10-11T00:37:29Z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0D2FAF1104FE9CA15D510965F80E1B8F</vt:lpwstr>
  </property>
</Properties>
</file>