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tabs>
          <w:tab w:val="center" w:pos="4567"/>
          <w:tab w:val="left" w:pos="77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  <w:t>杉岭府发〔</w:t>
      </w:r>
      <w:r>
        <w:rPr>
          <w:rFonts w:ascii="Times New Roman" w:hAnsi="Times New Roman" w:eastAsia="方正仿宋_GBK"/>
          <w:b w:val="0"/>
          <w:bCs w:val="0"/>
          <w:color w:val="000000"/>
          <w:spacing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kern w:val="0"/>
          <w:sz w:val="32"/>
          <w:szCs w:val="32"/>
        </w:rPr>
        <w:t>02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/>
          <w:b w:val="0"/>
          <w:bCs w:val="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黔江区杉岭乡人民政府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default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关于印发《杉岭乡2024年蚕桑生产工作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实施方案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》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各村（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为确保蚕桑产量增产，助农增收。经过乡党委、政府研究同意，现就《杉岭乡2024年蚕桑生产工作实施方案》印发给你们，请遵照执行。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707" w:firstLineChars="1471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707" w:firstLineChars="1471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27" w:firstLineChars="1571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黔江区杉岭乡人民政府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344" w:firstLineChars="167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2024年3月11日</w:t>
      </w:r>
    </w:p>
    <w:p>
      <w:pPr>
        <w:keepNext w:val="0"/>
        <w:keepLines w:val="0"/>
        <w:widowControl/>
        <w:suppressLineNumbers w:val="0"/>
        <w:jc w:val="left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94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杉岭乡2024年蚕桑生产工作实施方案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根据黔江区2024年蚕桑工作相关会议精神，结合我乡实际，经乡党委、政府研究同意，特制定本实施方案。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94" w:lineRule="exact"/>
        <w:ind w:leftChars="0" w:firstLine="640" w:firstLineChars="200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一、目标任务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94" w:lineRule="exact"/>
        <w:ind w:leftChars="0"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全乡6个村（社区）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蚕桑生产产茧量突破1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00担，再获“全区蚕桑产量增产奖”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二、任务分解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94" w:lineRule="exact"/>
        <w:ind w:leftChars="0" w:firstLine="640" w:firstLineChars="200"/>
        <w:rPr>
          <w:rFonts w:hint="default" w:ascii="Times New Roman" w:hAnsi="Times New Roman" w:eastAsia="方正仿宋_GBK"/>
          <w:sz w:val="32"/>
          <w:szCs w:val="32"/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杉岭社区全年养蚕330张，产茧210担；林峰社区全年养蚕322张，产茧240担；枫香村全年养蚕330张，产茧担220担；尖山子村全年养蚕329张，产茧219担；苦竹村全年养蚕629张，产茧441担；兴隆村全年养蚕460张，产茧370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94" w:lineRule="exact"/>
        <w:ind w:leftChars="0" w:firstLine="640" w:firstLineChars="200"/>
        <w:rPr>
          <w:rFonts w:hint="default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三、组织保障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（一）加强</w:t>
      </w:r>
      <w:r>
        <w:rPr>
          <w:rFonts w:hint="default" w:ascii="Times New Roman" w:hAnsi="Times New Roman" w:eastAsia="方正楷体_GBK" w:cs="方正楷体_GBK"/>
          <w:sz w:val="32"/>
          <w:szCs w:val="32"/>
          <w:lang w:val="en-US" w:eastAsia="zh-CN"/>
        </w:rPr>
        <w:t>组织领导</w:t>
      </w: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，强化责任担当。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成立以乡长陈启华同志为组长，分管领导侯海波同志为副组长，各村（社区）驻村领导和各村社书记为成员的工作领导小组，领导小组下设办公室在农业服务中心，由聂德斌负责处理日常业务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工作。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（二）强化责任落实，严格考核奖惩。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实行主要领导亲自抓、各驻村领导具体抓、村居两委主要抓、驻村干部村干部包组包户抓、蚕茧站分村包片抓责任制。各村居实行责任到人、任务到户。蚕茧站技术人员要到户开展技术指导，全体乡村干部要认真学习蚕桑工作相关技术知识，深入养蚕户，抓好宣传动员、技术培训和指导工作，做到及时发现问题、解决问题，为今年蚕桑产业发展打下坚实基础。2024年蚕桑生产工作纳入各村（社区）全年目标考核。</w:t>
      </w:r>
    </w:p>
    <w:p>
      <w:pPr>
        <w:pStyle w:val="6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rPr>
          <w:rFonts w:hint="default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附件：2024年杉岭乡蚕桑工作干部包村包组包户责任表</w:t>
      </w: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20" w:firstLineChars="200"/>
        <w:jc w:val="right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  <w:t xml:space="preserve">                        </w:t>
      </w:r>
    </w:p>
    <w:p>
      <w:pPr>
        <w:bidi w:val="0"/>
        <w:rPr>
          <w:rFonts w:hint="default" w:ascii="Times New Roman" w:hAnsi="Times New Roman"/>
          <w:lang w:val="en-US" w:eastAsia="zh-CN"/>
        </w:rPr>
      </w:pPr>
    </w:p>
    <w:p>
      <w:pPr>
        <w:bidi w:val="0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bidi w:val="0"/>
        <w:jc w:val="left"/>
        <w:rPr>
          <w:rFonts w:hint="default" w:ascii="Times New Roman" w:hAnsi="Times New Roman"/>
          <w:lang w:val="en-US" w:eastAsia="zh-CN"/>
        </w:rPr>
      </w:pPr>
    </w:p>
    <w:p>
      <w:pPr>
        <w:pStyle w:val="5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pStyle w:val="5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pStyle w:val="5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pStyle w:val="5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pStyle w:val="5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</w:pBd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黔江区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杉岭乡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党政办公室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日印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发</w:t>
      </w:r>
    </w:p>
    <w:p>
      <w:pP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br w:type="page"/>
      </w:r>
    </w:p>
    <w:tbl>
      <w:tblPr>
        <w:tblStyle w:val="11"/>
        <w:tblW w:w="830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45"/>
        <w:gridCol w:w="1935"/>
        <w:gridCol w:w="2280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lang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2024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年杉岭乡蚕桑工作干部包村包组包户责任表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村社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包村干部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包组包户干部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蚕农户姓名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技术员包村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杉岭社区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万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鹏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万鹏、李刚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联合社、李华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陶庆福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刘迪、秦义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彭芙容、何仁义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张婕、田仁美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张红坤、张红余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文化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罗登文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孙立、汪永华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李杰娣、陈明菊、汪文丰、杨泽立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张婕、李刚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李刚、何仁义</w:t>
            </w: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林峰社区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秦绍海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秦绍海、杨静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陈祖军、李方贵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陶庆福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罗伦贤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益西措姆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陶庆福、聂友林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吴优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秦清容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枫香村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朱彦涛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周涛、陈昌军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李红军、李才福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张久成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田春玲、李华松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李方孝、李方云、李贤涛、李贤友、李绍产、陶中华、陶钦碧、李方全、邓传海、邓生武、邓传福、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朱彦涛、何凤云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陶泉霖、张成权、张立春、田素芝、王开合、张银平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齐勇、罗光仟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罗光仟、张九成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苦竹村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吴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军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吴军、陈进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王石虎、余春文、余生安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吴军、陈宏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李方远、张清、李贤翠、李安全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吴军、安华容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安华容、甘显银、王石波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杨黎、安明学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何洪素、张茂发、王双林、安文喜、安明学、向家刚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李佳霖、王满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李贤书、李绍海、李绍华、李方宝、甘云明、王凤、李仁方、李贤文、张玉海、张超、李方锦、彭章奎、刘明开、付兴德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安明学、李容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彭祖学、陈钦江、何洪文、温天福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尖山子村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侯海波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侯海波、李林杰、李静贤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联合社、王贞平、李方杰、甘显长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种统强、吴龙华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田银秀、李长寿、李绍应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谢怀奎、李平阳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甘显安、李贤文、甘雨照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陈威霖、王天翠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郑清顺、李方应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兴隆村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向素容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张象、唐芙蓉、杨秀彬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李绍荣、李绍兵、罗天元、田茂华、李方斌、杨秀彬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张久成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潘勇、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杨秀军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王石周、张永红、田茂兵、甘海云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聂德斌、陈晓梅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杨胜齐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李武、周清华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饶海林、刘国全、林永章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陈春明、吴松柏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吴和平、吴松柏、饶天江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向素容、甘海云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张绍德、李彩、葛先烈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李彩娜、袁举英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张冬梅、袁举英、刘绍友</w:t>
            </w: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Times New Roman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eastAsia="仿宋_GB2312"/>
        <w:sz w:val="24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14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4"/>
        <w:rFonts w:hint="eastAsia" w:ascii="宋体" w:hAnsi="宋体" w:eastAsia="宋体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8"/>
      <w:ind w:right="360" w:firstLine="360"/>
      <w:jc w:val="right"/>
      <w:rPr>
        <w:rFonts w:eastAsia="仿宋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14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4"/>
        <w:rFonts w:hint="eastAsia" w:ascii="宋体" w:hAnsi="宋体" w:eastAsia="宋体"/>
        <w:sz w:val="28"/>
      </w:rPr>
      <w:t>- 2 -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8"/>
      <w:ind w:right="360" w:firstLine="360"/>
      <w:rPr>
        <w:rFonts w:hint="eastAsia"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VkMTE2OTQ1YTI2MWE1ZWQ4ZDdjMmEwYTdkNDAifQ=="/>
  </w:docVars>
  <w:rsids>
    <w:rsidRoot w:val="00172A27"/>
    <w:rsid w:val="01817DC3"/>
    <w:rsid w:val="05B96048"/>
    <w:rsid w:val="072004C0"/>
    <w:rsid w:val="08B05241"/>
    <w:rsid w:val="22D06BA8"/>
    <w:rsid w:val="2427103F"/>
    <w:rsid w:val="284B1370"/>
    <w:rsid w:val="29622B06"/>
    <w:rsid w:val="2B7A515E"/>
    <w:rsid w:val="2DBE3F99"/>
    <w:rsid w:val="3AEE244B"/>
    <w:rsid w:val="3CAF5312"/>
    <w:rsid w:val="3D9073F1"/>
    <w:rsid w:val="3E085198"/>
    <w:rsid w:val="404576A6"/>
    <w:rsid w:val="4304405A"/>
    <w:rsid w:val="4F8E7901"/>
    <w:rsid w:val="6E6F4EFC"/>
    <w:rsid w:val="708A112B"/>
    <w:rsid w:val="70DC0AA6"/>
    <w:rsid w:val="76873A2B"/>
    <w:rsid w:val="7BFFA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hint="default" w:ascii="Arial" w:hAnsi="Arial" w:eastAsia="黑体"/>
      <w:b/>
      <w:sz w:val="21"/>
      <w:szCs w:val="24"/>
    </w:rPr>
  </w:style>
  <w:style w:type="character" w:default="1" w:styleId="12">
    <w:name w:val="Default Paragraph Font"/>
    <w:link w:val="13"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qFormat/>
    <w:uiPriority w:val="0"/>
    <w:rPr>
      <w:rFonts w:ascii="Times New Roman" w:hAnsi="Times New Roman" w:eastAsia="方正仿宋_GBK" w:cs="Times New Roman"/>
      <w:sz w:val="32"/>
    </w:rPr>
  </w:style>
  <w:style w:type="paragraph" w:styleId="6">
    <w:name w:val="Body Text Indent"/>
    <w:basedOn w:val="1"/>
    <w:qFormat/>
    <w:uiPriority w:val="0"/>
    <w:pPr>
      <w:ind w:firstLine="570"/>
    </w:pPr>
    <w:rPr>
      <w:sz w:val="28"/>
    </w:rPr>
  </w:style>
  <w:style w:type="paragraph" w:styleId="7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Char4 Char Char Char"/>
    <w:basedOn w:val="1"/>
    <w:link w:val="12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8">
    <w:name w:val="1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5"/>
    <w:basedOn w:val="12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Program%20Files%20(x86)\Tencent\WeCha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2012-09-02T01:44:00Z</dcterms:created>
  <dc:creator>濯水镇用户</dc:creator>
  <cp:lastModifiedBy>kylin</cp:lastModifiedBy>
  <cp:lastPrinted>2024-03-11T19:53:00Z</cp:lastPrinted>
  <dcterms:modified xsi:type="dcterms:W3CDTF">2024-03-15T13:32:32Z</dcterms:modified>
  <dc:title>濯水府发〔2016〕77号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627873492_btnclosed</vt:lpwstr>
  </property>
  <property fmtid="{D5CDD505-2E9C-101B-9397-08002B2CF9AE}" pid="4" name="ICV">
    <vt:lpwstr>D2899A34E65E4415A1CDB56965194E4A_13</vt:lpwstr>
  </property>
</Properties>
</file>