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316"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ind w:right="640" w:firstLine="316" w:firstLineChars="100"/>
        <w:rPr>
          <w:rFonts w:hint="eastAsia" w:ascii="方正仿宋_GBK" w:eastAsia="方正仿宋_GBK"/>
          <w:color w:val="000000"/>
          <w:sz w:val="32"/>
          <w:szCs w:val="32"/>
        </w:rPr>
      </w:pPr>
      <w:r>
        <w:rPr>
          <w:szCs w:val="32"/>
        </w:rPr>
        <w:t>黔江府办发〔2021〕</w:t>
      </w:r>
      <w:r>
        <w:rPr>
          <w:rFonts w:hint="eastAsia"/>
          <w:szCs w:val="32"/>
        </w:rPr>
        <w:t>77</w:t>
      </w:r>
      <w:r>
        <w:rPr>
          <w:szCs w:val="32"/>
        </w:rPr>
        <w:t>号</w:t>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spacing w:line="579" w:lineRule="exact"/>
        <w:jc w:val="center"/>
        <w:rPr>
          <w:rFonts w:eastAsia="方正小标宋_GBK"/>
          <w:sz w:val="36"/>
          <w:szCs w:val="36"/>
        </w:rPr>
      </w:pPr>
    </w:p>
    <w:p>
      <w:pPr>
        <w:spacing w:line="579" w:lineRule="exact"/>
        <w:jc w:val="center"/>
        <w:rPr>
          <w:szCs w:val="32"/>
        </w:rPr>
      </w:pPr>
    </w:p>
    <w:p>
      <w:pPr>
        <w:spacing w:line="579" w:lineRule="exact"/>
        <w:rPr>
          <w:szCs w:val="32"/>
        </w:rPr>
      </w:pPr>
    </w:p>
    <w:p>
      <w:pPr>
        <w:spacing w:line="579" w:lineRule="exact"/>
        <w:rPr>
          <w:szCs w:val="32"/>
        </w:rPr>
      </w:pPr>
    </w:p>
    <w:p>
      <w:pPr>
        <w:spacing w:line="579" w:lineRule="exact"/>
        <w:jc w:val="center"/>
        <w:rPr>
          <w:rFonts w:eastAsia="方正小标宋_GBK"/>
          <w:sz w:val="44"/>
          <w:szCs w:val="44"/>
        </w:rPr>
      </w:pPr>
      <w:bookmarkStart w:id="0" w:name="_GoBack"/>
      <w:r>
        <w:rPr>
          <w:rFonts w:eastAsia="方正小标宋_GBK"/>
          <w:sz w:val="44"/>
          <w:szCs w:val="44"/>
        </w:rPr>
        <w:t>重庆市黔江区人民政府办公室</w:t>
      </w:r>
    </w:p>
    <w:p>
      <w:pPr>
        <w:spacing w:line="579" w:lineRule="exact"/>
        <w:jc w:val="center"/>
        <w:rPr>
          <w:rFonts w:eastAsia="方正小标宋_GBK"/>
          <w:sz w:val="44"/>
          <w:szCs w:val="44"/>
        </w:rPr>
      </w:pPr>
      <w:r>
        <w:rPr>
          <w:rFonts w:eastAsia="方正小标宋_GBK"/>
          <w:sz w:val="44"/>
          <w:szCs w:val="44"/>
        </w:rPr>
        <w:t>关于印发《重庆市黔江区“安全乘梯守护行动”实施方案》的通知</w:t>
      </w:r>
    </w:p>
    <w:p>
      <w:pPr>
        <w:spacing w:line="579" w:lineRule="exact"/>
        <w:jc w:val="left"/>
        <w:rPr>
          <w:szCs w:val="32"/>
        </w:rPr>
      </w:pPr>
    </w:p>
    <w:bookmarkEnd w:id="0"/>
    <w:p>
      <w:pPr>
        <w:spacing w:line="579" w:lineRule="exact"/>
        <w:jc w:val="left"/>
        <w:rPr>
          <w:szCs w:val="32"/>
        </w:rPr>
      </w:pPr>
      <w:r>
        <w:rPr>
          <w:szCs w:val="32"/>
        </w:rPr>
        <w:t>各乡、镇人民政府，各街道办事处，区政府各部门，有关单位：</w:t>
      </w:r>
    </w:p>
    <w:p>
      <w:pPr>
        <w:adjustRightInd w:val="0"/>
        <w:snapToGrid w:val="0"/>
        <w:spacing w:line="579" w:lineRule="exact"/>
        <w:ind w:firstLine="608" w:firstLineChars="200"/>
        <w:rPr>
          <w:color w:val="000000"/>
          <w:szCs w:val="32"/>
          <w:lang w:bidi="ar"/>
        </w:rPr>
      </w:pPr>
      <w:r>
        <w:rPr>
          <w:color w:val="000000"/>
          <w:spacing w:val="-6"/>
          <w:szCs w:val="32"/>
          <w:lang w:bidi="ar"/>
        </w:rPr>
        <w:t>《重庆市黔江区“安全乘梯守护行动”实施方案》</w:t>
      </w:r>
      <w:r>
        <w:rPr>
          <w:color w:val="000000"/>
          <w:szCs w:val="32"/>
          <w:lang w:bidi="ar"/>
        </w:rPr>
        <w:t>已经区政府同意，现印发给你们，请认真贯彻落实。</w:t>
      </w:r>
    </w:p>
    <w:p>
      <w:pPr>
        <w:spacing w:line="579" w:lineRule="exact"/>
        <w:ind w:firstLine="632" w:firstLineChars="200"/>
        <w:jc w:val="right"/>
        <w:rPr>
          <w:kern w:val="0"/>
          <w:szCs w:val="32"/>
          <w:lang w:val="zh-CN"/>
        </w:rPr>
      </w:pPr>
    </w:p>
    <w:p>
      <w:pPr>
        <w:spacing w:line="579" w:lineRule="exact"/>
        <w:ind w:firstLine="632" w:firstLineChars="200"/>
        <w:jc w:val="right"/>
        <w:rPr>
          <w:kern w:val="0"/>
          <w:szCs w:val="32"/>
          <w:lang w:val="zh-CN"/>
        </w:rPr>
      </w:pPr>
    </w:p>
    <w:p>
      <w:pPr>
        <w:spacing w:line="579" w:lineRule="exact"/>
        <w:ind w:firstLine="632" w:firstLineChars="200"/>
        <w:jc w:val="center"/>
        <w:rPr>
          <w:kern w:val="0"/>
          <w:szCs w:val="32"/>
          <w:lang w:val="zh-CN"/>
        </w:rPr>
      </w:pPr>
      <w:r>
        <w:rPr>
          <w:kern w:val="0"/>
          <w:szCs w:val="32"/>
        </w:rPr>
        <w:t xml:space="preserve">        </w:t>
      </w:r>
      <w:r>
        <w:rPr>
          <w:rFonts w:hint="eastAsia"/>
          <w:kern w:val="0"/>
          <w:szCs w:val="32"/>
        </w:rPr>
        <w:t xml:space="preserve">  </w:t>
      </w:r>
      <w:r>
        <w:rPr>
          <w:kern w:val="0"/>
          <w:szCs w:val="32"/>
          <w:lang w:val="zh-CN"/>
        </w:rPr>
        <w:t>重庆市黔江区人民政府办公室</w:t>
      </w:r>
    </w:p>
    <w:p>
      <w:pPr>
        <w:spacing w:line="579" w:lineRule="exact"/>
        <w:ind w:right="640" w:firstLine="632" w:firstLineChars="200"/>
        <w:jc w:val="center"/>
        <w:rPr>
          <w:rFonts w:hint="eastAsia"/>
          <w:kern w:val="0"/>
          <w:szCs w:val="32"/>
          <w:lang w:val="zh-CN"/>
        </w:rPr>
      </w:pPr>
      <w:r>
        <w:rPr>
          <w:kern w:val="0"/>
          <w:szCs w:val="32"/>
          <w:lang w:val="zh-CN"/>
        </w:rPr>
        <w:t xml:space="preserve">                20</w:t>
      </w:r>
      <w:r>
        <w:rPr>
          <w:kern w:val="0"/>
          <w:szCs w:val="32"/>
        </w:rPr>
        <w:t>21</w:t>
      </w:r>
      <w:r>
        <w:rPr>
          <w:kern w:val="0"/>
          <w:szCs w:val="32"/>
          <w:lang w:val="zh-CN"/>
        </w:rPr>
        <w:t>年</w:t>
      </w:r>
      <w:r>
        <w:rPr>
          <w:kern w:val="0"/>
          <w:szCs w:val="32"/>
        </w:rPr>
        <w:t>11</w:t>
      </w:r>
      <w:r>
        <w:rPr>
          <w:kern w:val="0"/>
          <w:szCs w:val="32"/>
          <w:lang w:val="zh-CN"/>
        </w:rPr>
        <w:t>月</w:t>
      </w:r>
      <w:r>
        <w:rPr>
          <w:rFonts w:hint="eastAsia"/>
          <w:kern w:val="0"/>
          <w:szCs w:val="32"/>
          <w:lang w:val="zh-CN"/>
        </w:rPr>
        <w:t>18</w:t>
      </w:r>
      <w:r>
        <w:rPr>
          <w:kern w:val="0"/>
          <w:szCs w:val="32"/>
        </w:rPr>
        <w:t xml:space="preserve"> </w:t>
      </w:r>
      <w:r>
        <w:rPr>
          <w:kern w:val="0"/>
          <w:szCs w:val="32"/>
          <w:lang w:val="zh-CN"/>
        </w:rPr>
        <w:t xml:space="preserve">日   </w:t>
      </w:r>
    </w:p>
    <w:p>
      <w:pPr>
        <w:pStyle w:val="2"/>
        <w:ind w:firstLine="632" w:firstLineChars="200"/>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（此件公开发布）</w:t>
      </w:r>
    </w:p>
    <w:p>
      <w:pPr>
        <w:spacing w:line="579" w:lineRule="exact"/>
        <w:jc w:val="center"/>
        <w:rPr>
          <w:rFonts w:eastAsia="方正小标宋_GBK"/>
          <w:sz w:val="44"/>
          <w:szCs w:val="44"/>
        </w:rPr>
      </w:pPr>
      <w:r>
        <w:rPr>
          <w:rFonts w:eastAsia="方正小标宋_GBK"/>
          <w:sz w:val="44"/>
          <w:szCs w:val="44"/>
        </w:rPr>
        <w:br w:type="page"/>
      </w:r>
      <w:r>
        <w:rPr>
          <w:rFonts w:eastAsia="方正小标宋_GBK"/>
          <w:sz w:val="44"/>
          <w:szCs w:val="44"/>
        </w:rPr>
        <w:t>重庆市黔江区“安全乘梯守护行动”实施方案</w:t>
      </w:r>
    </w:p>
    <w:p>
      <w:pPr>
        <w:spacing w:line="579" w:lineRule="exact"/>
        <w:ind w:firstLine="632" w:firstLineChars="200"/>
        <w:rPr>
          <w:szCs w:val="32"/>
        </w:rPr>
      </w:pPr>
    </w:p>
    <w:p>
      <w:pPr>
        <w:pStyle w:val="7"/>
        <w:widowControl w:val="0"/>
        <w:spacing w:beforeAutospacing="0" w:afterAutospacing="0" w:line="579" w:lineRule="exact"/>
        <w:ind w:firstLine="632"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为深入贯彻落实《重庆市人民政府办公厅关于印发重庆市“安全乘梯守护行动”工作方案的通知》（渝府办发〔2021〕94号）要求，切实加强电梯安全管理，保障人民群众生命安全，现结合我区实际，制定本实施方案。</w:t>
      </w:r>
    </w:p>
    <w:p>
      <w:pPr>
        <w:pStyle w:val="15"/>
        <w:spacing w:line="579" w:lineRule="exact"/>
        <w:ind w:firstLine="632"/>
        <w:rPr>
          <w:rFonts w:eastAsia="方正黑体_GBK"/>
          <w:szCs w:val="32"/>
        </w:rPr>
      </w:pPr>
      <w:r>
        <w:rPr>
          <w:rFonts w:eastAsia="方正黑体_GBK"/>
          <w:szCs w:val="32"/>
        </w:rPr>
        <w:t>一、工作目标</w:t>
      </w:r>
    </w:p>
    <w:p>
      <w:pPr>
        <w:spacing w:line="579" w:lineRule="exact"/>
        <w:ind w:firstLine="632" w:firstLineChars="200"/>
        <w:rPr>
          <w:szCs w:val="32"/>
        </w:rPr>
      </w:pPr>
      <w:r>
        <w:rPr>
          <w:szCs w:val="32"/>
        </w:rPr>
        <w:t>以习近平新时代中国特色社会主义思想为指导，坚持“人民至上、生命至上”的安全发展理念，始终把人民生命安全摆在首位，实施电梯全过程、分类监管，建立开放包容、多元共治、协同联动的监管模式，切实保障广大人民群众人身和财产安全。到2023年，努力形成职责明晰、措施有力、机制健全、社会共治的电梯质量安全管理格局，全区电梯质量安全水平全面提升，运行故障明显降低，困人救援时间进一步缩短，乘客伤害事故持续减少，安全形势持续向好，安全乘梯意识显著增强，实现人民群众舒适乘梯、安全乘梯的工作目标。</w:t>
      </w:r>
    </w:p>
    <w:p>
      <w:pPr>
        <w:pStyle w:val="15"/>
        <w:spacing w:line="579" w:lineRule="exact"/>
        <w:ind w:firstLine="632"/>
        <w:rPr>
          <w:rFonts w:eastAsia="方正黑体_GBK"/>
          <w:szCs w:val="32"/>
        </w:rPr>
      </w:pPr>
      <w:r>
        <w:rPr>
          <w:rFonts w:eastAsia="方正黑体_GBK"/>
          <w:szCs w:val="32"/>
        </w:rPr>
        <w:t>二、工作步骤</w:t>
      </w:r>
    </w:p>
    <w:p>
      <w:pPr>
        <w:spacing w:line="579" w:lineRule="exact"/>
        <w:ind w:firstLine="632" w:firstLineChars="200"/>
        <w:rPr>
          <w:szCs w:val="32"/>
        </w:rPr>
      </w:pPr>
      <w:r>
        <w:rPr>
          <w:szCs w:val="32"/>
        </w:rPr>
        <w:t>2021年，启动电梯无纸化维保工作，完成5台老旧电梯更新改造，并持续推动更新改造工作。</w:t>
      </w:r>
    </w:p>
    <w:p>
      <w:pPr>
        <w:spacing w:line="579" w:lineRule="exact"/>
        <w:ind w:firstLine="632" w:firstLineChars="200"/>
        <w:rPr>
          <w:szCs w:val="32"/>
        </w:rPr>
      </w:pPr>
      <w:r>
        <w:rPr>
          <w:szCs w:val="32"/>
        </w:rPr>
        <w:t>2022年，完成改进电梯维护保养模式和调整电梯检验检测方式试点工作，全面开展15年以上老旧住宅电梯安全评估工作。</w:t>
      </w:r>
    </w:p>
    <w:p>
      <w:pPr>
        <w:spacing w:line="579" w:lineRule="exact"/>
        <w:ind w:firstLine="632" w:firstLineChars="200"/>
        <w:rPr>
          <w:szCs w:val="32"/>
        </w:rPr>
      </w:pPr>
      <w:r>
        <w:rPr>
          <w:szCs w:val="32"/>
        </w:rPr>
        <w:t>2023年，全区“安全乘梯守护行动”取得明显成效，电梯应急响应率达99%，故障困人率低于0.5%，检验（检测）合格率达95%，救援到场时间平均不超过30分钟，按时到达率达98%。</w:t>
      </w:r>
    </w:p>
    <w:p>
      <w:pPr>
        <w:pStyle w:val="15"/>
        <w:spacing w:line="579" w:lineRule="exact"/>
        <w:ind w:firstLine="632"/>
        <w:rPr>
          <w:rFonts w:eastAsia="方正黑体_GBK"/>
          <w:szCs w:val="32"/>
        </w:rPr>
      </w:pPr>
      <w:r>
        <w:rPr>
          <w:rFonts w:eastAsia="方正黑体_GBK"/>
          <w:szCs w:val="32"/>
        </w:rPr>
        <w:t>三、工作任务</w:t>
      </w:r>
    </w:p>
    <w:p>
      <w:pPr>
        <w:spacing w:line="579" w:lineRule="exact"/>
        <w:ind w:firstLine="632" w:firstLineChars="200"/>
        <w:rPr>
          <w:rFonts w:eastAsia="方正楷体_GBK"/>
          <w:szCs w:val="32"/>
        </w:rPr>
      </w:pPr>
      <w:r>
        <w:rPr>
          <w:rFonts w:eastAsia="方正楷体_GBK"/>
          <w:szCs w:val="32"/>
        </w:rPr>
        <w:t>（一）夯实电梯质量安全基础。</w:t>
      </w:r>
    </w:p>
    <w:p>
      <w:pPr>
        <w:spacing w:line="579" w:lineRule="exact"/>
        <w:ind w:firstLine="632" w:firstLineChars="200"/>
        <w:rPr>
          <w:szCs w:val="32"/>
        </w:rPr>
      </w:pPr>
      <w:r>
        <w:rPr>
          <w:szCs w:val="32"/>
        </w:rPr>
        <w:t>1.督促销售、安装、维保单位加强电梯新技术、新产品的推广和运用，提升电梯使用环节智能化水平。鼓励使用单位采购具有应急平层、智慧终端等新技术的电梯，进一步降低电梯故障困人频率。</w:t>
      </w:r>
      <w:r>
        <w:rPr>
          <w:rFonts w:eastAsia="方正楷体_GBK"/>
          <w:szCs w:val="32"/>
        </w:rPr>
        <w:t>（区市场监管局、区发展改革委、区住房城乡建委、区经济信息委等按职责分工负责）</w:t>
      </w:r>
    </w:p>
    <w:p>
      <w:pPr>
        <w:spacing w:line="579" w:lineRule="exact"/>
        <w:ind w:firstLine="632" w:firstLineChars="200"/>
        <w:rPr>
          <w:rFonts w:eastAsia="方正楷体_GBK"/>
          <w:szCs w:val="32"/>
        </w:rPr>
      </w:pPr>
      <w:r>
        <w:rPr>
          <w:szCs w:val="32"/>
        </w:rPr>
        <w:t>2.对提供高于国家标准的优质产品和服务的电梯生产企业，在招投标时给与加分。</w:t>
      </w:r>
      <w:r>
        <w:rPr>
          <w:rFonts w:eastAsia="方正楷体_GBK"/>
          <w:szCs w:val="32"/>
        </w:rPr>
        <w:t>（区市场监管局牵头，区发展改革委等部门负责）</w:t>
      </w:r>
    </w:p>
    <w:p>
      <w:pPr>
        <w:spacing w:line="579" w:lineRule="exact"/>
        <w:ind w:firstLine="632" w:firstLineChars="200"/>
        <w:rPr>
          <w:szCs w:val="32"/>
        </w:rPr>
      </w:pPr>
      <w:r>
        <w:rPr>
          <w:szCs w:val="32"/>
        </w:rPr>
        <w:t>3.解决老旧住宅居民出行难题，积极推动老旧住宅增设电梯。积极宣贯《重庆市老旧住宅增设电梯建设管理暂行办法》，大力推广《既有建筑加装电梯钢结构井道》标准。区住房城乡建委要加大对老旧住宅加装电梯支持力度，进一步畅通大修基金使用渠道，鼓励居民使用大修基金加装电梯。</w:t>
      </w:r>
      <w:r>
        <w:rPr>
          <w:rFonts w:eastAsia="方正楷体_GBK"/>
          <w:szCs w:val="32"/>
        </w:rPr>
        <w:t>（区规划自然资源局、区住房城乡建委、区市场监管局、各乡镇（街道）等按职责分工负责）</w:t>
      </w:r>
    </w:p>
    <w:p>
      <w:pPr>
        <w:spacing w:line="579" w:lineRule="exact"/>
        <w:ind w:firstLine="632" w:firstLineChars="200"/>
        <w:rPr>
          <w:rFonts w:eastAsia="方正楷体_GBK"/>
          <w:szCs w:val="32"/>
        </w:rPr>
      </w:pPr>
      <w:r>
        <w:rPr>
          <w:rFonts w:eastAsia="方正楷体_GBK"/>
          <w:szCs w:val="32"/>
        </w:rPr>
        <w:t>（二）加强隐患治理与更新改造。</w:t>
      </w:r>
    </w:p>
    <w:p>
      <w:pPr>
        <w:spacing w:line="579" w:lineRule="exact"/>
        <w:ind w:firstLine="632" w:firstLineChars="200"/>
        <w:rPr>
          <w:rFonts w:eastAsia="方正楷体_GBK"/>
          <w:szCs w:val="32"/>
        </w:rPr>
      </w:pPr>
      <w:r>
        <w:rPr>
          <w:szCs w:val="32"/>
        </w:rPr>
        <w:t>对全区无物业管理、无维护保养、无专项维修资金的电梯或经安全评估存在严重安全隐患的电梯进行专项整治，消除安全隐患。结合黔江实际，探索建立老旧住宅增设电梯规范管理模式，鼓励广大市民群众引入专业物业单位管理电梯，确保电梯安全管理责任落实到位。大力支持老旧电梯更新改造，加大15年以上老旧电梯更新改造支持力度。进一步畅通物业专项维修资金提取渠道，做好紧急使用物业专项维修资金有关工作。</w:t>
      </w:r>
      <w:r>
        <w:rPr>
          <w:rFonts w:eastAsia="方正楷体_GBK"/>
          <w:szCs w:val="32"/>
        </w:rPr>
        <w:t>（区规划自然资源局、区住房城乡建委、区市场监管局、各乡镇（街道）等按职责分工负责）</w:t>
      </w:r>
    </w:p>
    <w:p>
      <w:pPr>
        <w:spacing w:line="579" w:lineRule="exact"/>
        <w:ind w:firstLine="632" w:firstLineChars="200"/>
        <w:rPr>
          <w:rFonts w:eastAsia="方正楷体_GBK"/>
          <w:szCs w:val="32"/>
        </w:rPr>
      </w:pPr>
      <w:r>
        <w:rPr>
          <w:rFonts w:eastAsia="方正楷体_GBK"/>
          <w:szCs w:val="32"/>
        </w:rPr>
        <w:t>（三）改进使用管理与维护保养模式。</w:t>
      </w:r>
    </w:p>
    <w:p>
      <w:pPr>
        <w:spacing w:line="579" w:lineRule="exact"/>
        <w:ind w:firstLine="632" w:firstLineChars="200"/>
        <w:rPr>
          <w:rFonts w:eastAsia="方正楷体_GBK"/>
          <w:szCs w:val="32"/>
        </w:rPr>
      </w:pPr>
      <w:r>
        <w:rPr>
          <w:szCs w:val="32"/>
        </w:rPr>
        <w:t>全面深化按需维保改革，制定黔江区按需维保工作实施方案，督促辖区内电梯维保单位积极参与按需维保试点工作，推动维保方式转变。全面推行无纸化维保，提高电梯维保信息化程度。公众聚集场所电梯的维保，要优先考虑由电梯原制造企业实施。学校、医院、机场、保障性住房要尽快实行电梯维保大包或全包模式，其他单位逐步开展。加强在用电梯的使用管理，物业服务企业要在物业服务费中列支电梯使用维护费用，每年公示电梯运行维护费用收支情况，电梯轿厢广告收益要优先用于电梯的使用维护和大修改造。</w:t>
      </w:r>
      <w:r>
        <w:rPr>
          <w:rFonts w:eastAsia="方正楷体_GBK"/>
          <w:szCs w:val="32"/>
        </w:rPr>
        <w:t>（区市场监管局、区住房城乡建委、区教委、区卫生健康委、区交通局、区国资委、各乡镇（街道）等按职责分工负责）</w:t>
      </w:r>
    </w:p>
    <w:p>
      <w:pPr>
        <w:spacing w:line="579" w:lineRule="exact"/>
        <w:ind w:firstLine="632" w:firstLineChars="200"/>
        <w:rPr>
          <w:rFonts w:eastAsia="方正楷体_GBK"/>
          <w:szCs w:val="32"/>
        </w:rPr>
      </w:pPr>
      <w:r>
        <w:rPr>
          <w:rFonts w:eastAsia="方正楷体_GBK"/>
          <w:szCs w:val="32"/>
        </w:rPr>
        <w:t>（四）推进调整电梯检验检测方式试点。</w:t>
      </w:r>
    </w:p>
    <w:p>
      <w:pPr>
        <w:spacing w:line="579" w:lineRule="exact"/>
        <w:ind w:firstLine="632" w:firstLineChars="200"/>
        <w:rPr>
          <w:szCs w:val="32"/>
        </w:rPr>
      </w:pPr>
      <w:r>
        <w:rPr>
          <w:szCs w:val="32"/>
        </w:rPr>
        <w:t>按照《市场监管总局关于进一步做好改进电梯维护保养模式和调整电梯检验检测方式试点工作的意见》（国市监特设〔2020〕56号）和《重庆市市场监督管理局关于做好改进电梯维护保养模式和调整电梯检验检测方式试点工作的实施方案》（渝市监办发〔2020〕84号）文件要求，积极参加电梯检验检测试点工作，加强与重庆市特种设备检测研究院沟通协调，按计划调整电梯检验检测方式，确保按时完成工作任务。开展电梯检验检测专项抽查，提升检验检测质量和技术服务水平。</w:t>
      </w:r>
      <w:r>
        <w:rPr>
          <w:rFonts w:eastAsia="方正楷体_GBK"/>
          <w:szCs w:val="32"/>
        </w:rPr>
        <w:t>（区市场监管局负责）</w:t>
      </w:r>
    </w:p>
    <w:p>
      <w:pPr>
        <w:spacing w:line="579" w:lineRule="exact"/>
        <w:ind w:firstLine="632" w:firstLineChars="200"/>
        <w:rPr>
          <w:rFonts w:eastAsia="方正楷体_GBK"/>
          <w:szCs w:val="32"/>
        </w:rPr>
      </w:pPr>
      <w:r>
        <w:rPr>
          <w:rFonts w:eastAsia="方正楷体_GBK"/>
          <w:szCs w:val="32"/>
        </w:rPr>
        <w:t>（五）健全智慧电梯管理平台。</w:t>
      </w:r>
    </w:p>
    <w:p>
      <w:pPr>
        <w:spacing w:line="579" w:lineRule="exact"/>
        <w:ind w:firstLine="632" w:firstLineChars="200"/>
        <w:rPr>
          <w:rFonts w:eastAsia="方正楷体_GBK"/>
          <w:szCs w:val="32"/>
        </w:rPr>
      </w:pPr>
      <w:r>
        <w:rPr>
          <w:szCs w:val="32"/>
        </w:rPr>
        <w:t>1.加大电梯“96333”应急处置服务平台的推广和宣传力度，鼓励广大乘梯群众在电梯紧急呼叫装置失效的情况下拨打96333进行呼救，充分发挥其应急救援作用，最大限度减少伤亡。区内电信营运企业要加强电梯轿厢内和井道移动通信信号覆盖，推进智能电梯信息安全工作。</w:t>
      </w:r>
      <w:r>
        <w:rPr>
          <w:rFonts w:eastAsia="方正楷体_GBK"/>
          <w:szCs w:val="32"/>
        </w:rPr>
        <w:t>（区市场监管局、区经济信息委等按职责分工负责）</w:t>
      </w:r>
    </w:p>
    <w:p>
      <w:pPr>
        <w:spacing w:line="579" w:lineRule="exact"/>
        <w:ind w:firstLine="632" w:firstLineChars="200"/>
        <w:rPr>
          <w:rFonts w:eastAsia="方正楷体_GBK"/>
          <w:szCs w:val="32"/>
        </w:rPr>
      </w:pPr>
      <w:r>
        <w:rPr>
          <w:szCs w:val="32"/>
        </w:rPr>
        <w:t>2.用好重庆智慧电梯管理平台，及时反馈使用中遇到的问题，并对后续功能延展提出建设性意见，积极推广加装电梯智慧终端，逐步将全区电梯纳入智慧管理，推动传统人工报警方式向智能报警方式转变，逐步实现智慧救援。将电梯应急救援纳入本区应急救援体系，统一协调指挥电梯应急救援工作。</w:t>
      </w:r>
      <w:r>
        <w:rPr>
          <w:rFonts w:eastAsia="方正楷体_GBK"/>
          <w:szCs w:val="32"/>
        </w:rPr>
        <w:t>（区应急局、区市场监管局等按职责分工负责）</w:t>
      </w:r>
    </w:p>
    <w:p>
      <w:pPr>
        <w:spacing w:line="579" w:lineRule="exact"/>
        <w:ind w:firstLine="632" w:firstLineChars="200"/>
        <w:rPr>
          <w:rFonts w:eastAsia="方正楷体_GBK"/>
          <w:szCs w:val="32"/>
        </w:rPr>
      </w:pPr>
      <w:r>
        <w:rPr>
          <w:rFonts w:eastAsia="方正楷体_GBK"/>
          <w:szCs w:val="32"/>
        </w:rPr>
        <w:t>（六）完善安全监管工作机制。</w:t>
      </w:r>
    </w:p>
    <w:p>
      <w:pPr>
        <w:spacing w:line="579" w:lineRule="exact"/>
        <w:ind w:firstLine="632" w:firstLineChars="200"/>
        <w:rPr>
          <w:szCs w:val="32"/>
        </w:rPr>
      </w:pPr>
      <w:r>
        <w:rPr>
          <w:szCs w:val="32"/>
        </w:rPr>
        <w:t>1.落实“党政同责、一岗双责”。有关行业主管部门要按照“管行业必须管安全、管业务必须管安全、管生产经营必须管安全”的要求，认真履行安全管理职责，指导督促有关单位加强电梯安全管理。</w:t>
      </w:r>
      <w:r>
        <w:rPr>
          <w:rFonts w:eastAsia="方正楷体_GBK"/>
          <w:szCs w:val="32"/>
        </w:rPr>
        <w:t>（区级有关行业主管部门按职责分工负责）</w:t>
      </w:r>
    </w:p>
    <w:p>
      <w:pPr>
        <w:spacing w:line="579" w:lineRule="exact"/>
        <w:ind w:firstLine="632" w:firstLineChars="200"/>
        <w:rPr>
          <w:szCs w:val="32"/>
        </w:rPr>
      </w:pPr>
      <w:r>
        <w:rPr>
          <w:szCs w:val="32"/>
        </w:rPr>
        <w:t>2.落实属地管理职责。要将电梯质量安全工作纳入区政府质量安全责任考核体系；各乡镇（街道）、工业园区管委会要加强对电梯安全工作的领导，依法履行电梯安全监管职责，协助有关部门做好辖区内电梯的安全监督管理工作，协调解决电梯使用过程中的有关问题。未明确使用管理单位的电梯，所在地的乡镇政府（街道办事处）应指定使用管理单位，村委会（居委会）协助落实管理。</w:t>
      </w:r>
      <w:r>
        <w:rPr>
          <w:rFonts w:eastAsia="方正楷体_GBK"/>
          <w:szCs w:val="32"/>
        </w:rPr>
        <w:t>（区市场监管局、各乡镇（街道）、正阳工业园区管委会等按职责分工负责）</w:t>
      </w:r>
    </w:p>
    <w:p>
      <w:pPr>
        <w:spacing w:line="579" w:lineRule="exact"/>
        <w:ind w:firstLine="632" w:firstLineChars="200"/>
        <w:rPr>
          <w:rFonts w:eastAsia="方正楷体_GBK"/>
          <w:szCs w:val="32"/>
        </w:rPr>
      </w:pPr>
      <w:r>
        <w:rPr>
          <w:szCs w:val="32"/>
        </w:rPr>
        <w:t>3.发挥好区安全生产委员会特种设备安全办公室（以下简称区特安办）作用。区市场监管局负责做好区特安办日常工作，加强与区级有关行业主管部门、乡镇（街道）和工业园区管委会的协调联络，建立定期召开联席会议机制，共同推进“安全乘梯守护行动”相关工作。</w:t>
      </w:r>
      <w:r>
        <w:rPr>
          <w:rFonts w:eastAsia="方正楷体_GBK"/>
          <w:szCs w:val="32"/>
        </w:rPr>
        <w:t>（区市场监管局牵头，区级有关行业主管部门、各乡镇街道、正阳工业园区管委会等负责）</w:t>
      </w:r>
    </w:p>
    <w:p>
      <w:pPr>
        <w:spacing w:line="579" w:lineRule="exact"/>
        <w:ind w:firstLine="632" w:firstLineChars="200"/>
        <w:rPr>
          <w:rFonts w:eastAsia="方正楷体_GBK"/>
          <w:szCs w:val="32"/>
        </w:rPr>
      </w:pPr>
      <w:r>
        <w:rPr>
          <w:rFonts w:eastAsia="方正楷体_GBK"/>
          <w:szCs w:val="32"/>
        </w:rPr>
        <w:t>（七）推动质量安全主体责任落实。</w:t>
      </w:r>
    </w:p>
    <w:p>
      <w:pPr>
        <w:spacing w:line="579" w:lineRule="exact"/>
        <w:ind w:firstLine="632" w:firstLineChars="200"/>
        <w:rPr>
          <w:rFonts w:eastAsia="方正楷体_GBK"/>
          <w:szCs w:val="32"/>
        </w:rPr>
      </w:pPr>
      <w:r>
        <w:rPr>
          <w:szCs w:val="32"/>
        </w:rPr>
        <w:t>1.落实电梯生产单位责任。电梯生产单位应保证生产的电梯符合相关安全技术规范和标准，对电梯的安全性能负责。督促其严格按照有关要求做好电梯整机和重要部件质保期延长工作。享受政府财政补助的电梯更新改造项目，整梯质保期限不少于5年；新安装使用并由原生产企业维保的电梯，其中曳引机、门机、安全钳、限速器、控制柜等五大部件质保期需在10年以上。</w:t>
      </w:r>
      <w:r>
        <w:rPr>
          <w:rFonts w:eastAsia="方正楷体_GBK"/>
          <w:szCs w:val="32"/>
        </w:rPr>
        <w:t>（区市场监管局负责）</w:t>
      </w:r>
    </w:p>
    <w:p>
      <w:pPr>
        <w:spacing w:line="579" w:lineRule="exact"/>
        <w:ind w:firstLine="632" w:firstLineChars="200"/>
        <w:rPr>
          <w:rFonts w:eastAsia="方正楷体_GBK"/>
          <w:szCs w:val="32"/>
        </w:rPr>
      </w:pPr>
      <w:r>
        <w:rPr>
          <w:szCs w:val="32"/>
        </w:rPr>
        <w:t>2.落实建设单位责任。建设单位应确保电梯机房、井道、底坑、钢结构等工程及电梯依附的建筑物符合法律法规和国、市、区各级建设行政主管部门制定出台的有关设计规范要求。</w:t>
      </w:r>
      <w:r>
        <w:rPr>
          <w:rFonts w:eastAsia="方正楷体_GBK"/>
          <w:szCs w:val="32"/>
        </w:rPr>
        <w:t>（区住房城乡建委负责）</w:t>
      </w:r>
    </w:p>
    <w:p>
      <w:pPr>
        <w:spacing w:line="579" w:lineRule="exact"/>
        <w:ind w:firstLine="632" w:firstLineChars="200"/>
        <w:rPr>
          <w:rFonts w:eastAsia="方正楷体_GBK"/>
          <w:szCs w:val="32"/>
        </w:rPr>
      </w:pPr>
      <w:r>
        <w:rPr>
          <w:szCs w:val="32"/>
        </w:rPr>
        <w:t>3.落实电梯使用单位责任。电梯使用单位应对电梯使用与管理负责，保障电梯使用安全。要加强电梯安全管理，落实24小时值班制度，做好日常检查、维保监督、隐患整治、应急处置等工作。对学校、机场、车站、商场、医院、旅游景区等公众聚集场所使用的电梯要加大检查频次。对故障频率高的电梯，使用单位可委托第三方技术机构进行安全评估，按程序向有关部门申请物业专项维修资金。未明确使用单位、无法落实使用安全管理责任的电梯不得投入使用。注册登记为个人或业主委员会的已投用小区电梯，要逐步引入专业物业公司管理，切实落实使用管理责任。</w:t>
      </w:r>
      <w:r>
        <w:rPr>
          <w:rFonts w:eastAsia="方正楷体_GBK"/>
          <w:szCs w:val="32"/>
        </w:rPr>
        <w:t>（区市场监管局牵头，区住房城乡建委、各乡镇街道负责）</w:t>
      </w:r>
    </w:p>
    <w:p>
      <w:pPr>
        <w:spacing w:line="579" w:lineRule="exact"/>
        <w:ind w:firstLine="632" w:firstLineChars="200"/>
        <w:rPr>
          <w:szCs w:val="32"/>
        </w:rPr>
      </w:pPr>
      <w:r>
        <w:rPr>
          <w:szCs w:val="32"/>
        </w:rPr>
        <w:t>4.落实电梯维保单位责任。电梯维保单位应对其维保的电梯安全性能负责，严格按照法律法规和安全技术规范要求认真、逐项开展电梯维护保养，如实记录维保情况，及时开展应急救援。严禁设置技术故障，影响电梯正常运行。发现存在严重安全隐患的电梯，应当立即书面通知使用单位停止使用，并向当地特种设备安全监督管理部门报告。</w:t>
      </w:r>
      <w:r>
        <w:rPr>
          <w:rFonts w:eastAsia="方正楷体_GBK"/>
          <w:szCs w:val="32"/>
        </w:rPr>
        <w:t>（区市场监管局负责）</w:t>
      </w:r>
    </w:p>
    <w:p>
      <w:pPr>
        <w:spacing w:line="579" w:lineRule="exact"/>
        <w:ind w:firstLine="632" w:firstLineChars="200"/>
        <w:rPr>
          <w:rFonts w:eastAsia="方正楷体_GBK"/>
          <w:szCs w:val="32"/>
        </w:rPr>
      </w:pPr>
      <w:r>
        <w:rPr>
          <w:szCs w:val="32"/>
        </w:rPr>
        <w:t>5.落实电梯检验检测机构责任。电梯检验检测机构应严格按照法律法规和安全技术规范要求做好电梯检验检测工作，保证电梯检验检测质量。检验检测机构及人员需对检验检测工作及出具的检验检测报告负责。检验检测机构应对电梯、电梯配件产品质量和电梯故障诊断提供必要的技术支持。</w:t>
      </w:r>
      <w:r>
        <w:rPr>
          <w:rFonts w:eastAsia="方正楷体_GBK"/>
          <w:szCs w:val="32"/>
        </w:rPr>
        <w:t>（区市场监管局、市特检院黔江中心按职责分工负责）</w:t>
      </w:r>
    </w:p>
    <w:p>
      <w:pPr>
        <w:spacing w:line="579" w:lineRule="exact"/>
        <w:ind w:firstLine="632" w:firstLineChars="200"/>
        <w:rPr>
          <w:rFonts w:eastAsia="方正楷体_GBK"/>
          <w:szCs w:val="32"/>
        </w:rPr>
      </w:pPr>
      <w:r>
        <w:rPr>
          <w:rFonts w:eastAsia="方正楷体_GBK"/>
          <w:szCs w:val="32"/>
        </w:rPr>
        <w:t>（八）推行电梯企业“自我声明+信用管理”模式。</w:t>
      </w:r>
    </w:p>
    <w:p>
      <w:pPr>
        <w:spacing w:line="579" w:lineRule="exact"/>
        <w:ind w:firstLine="632" w:firstLineChars="200"/>
        <w:rPr>
          <w:szCs w:val="32"/>
        </w:rPr>
      </w:pPr>
      <w:r>
        <w:rPr>
          <w:szCs w:val="32"/>
        </w:rPr>
        <w:t>推动电梯企业自我声明采用标准、公开承诺服务质量。结合黔江实际，制定电梯维保和服务质量评比细则，定期对全区所有电梯维保单位的维保和服务质量进行星级评定，向全社会公布评定结果。严格诚信管理，扎实开展“诚信维保单位”创建活动，强化电梯黑名单运用，倒逼电梯维保单位落实维保责任，推动形成以维保效果定价的市场机制。</w:t>
      </w:r>
      <w:r>
        <w:rPr>
          <w:rFonts w:eastAsia="方正楷体_GBK"/>
          <w:szCs w:val="32"/>
        </w:rPr>
        <w:t>（区市场监管局负责）</w:t>
      </w:r>
    </w:p>
    <w:p>
      <w:pPr>
        <w:spacing w:line="579" w:lineRule="exact"/>
        <w:ind w:firstLine="632" w:firstLineChars="200"/>
        <w:rPr>
          <w:rFonts w:eastAsia="方正楷体_GBK"/>
          <w:szCs w:val="32"/>
        </w:rPr>
      </w:pPr>
      <w:r>
        <w:rPr>
          <w:rFonts w:eastAsia="方正楷体_GBK"/>
          <w:szCs w:val="32"/>
        </w:rPr>
        <w:t>（九）推进电梯安全责任保险。</w:t>
      </w:r>
    </w:p>
    <w:p>
      <w:pPr>
        <w:spacing w:line="579" w:lineRule="exact"/>
        <w:ind w:firstLine="632" w:firstLineChars="200"/>
        <w:rPr>
          <w:rFonts w:eastAsia="方正楷体_GBK"/>
          <w:szCs w:val="32"/>
        </w:rPr>
      </w:pPr>
      <w:r>
        <w:rPr>
          <w:szCs w:val="32"/>
        </w:rPr>
        <w:t>探索建立电梯安全责任保险事故预防机制，鼓励“保险+服务”“电梯养老保险”等保险模式的创新和应用，积极发挥保险的事故预防和经济补偿作用。鼓励保险公司推出电梯重大安全部件保险，为电梯故障重大维修提供兜底保障。保险公司应当对电梯维保及运行情况进行有效监控，根据风险评估实行保费费率动态调整机制，不断提升电梯安全管理水平。</w:t>
      </w:r>
      <w:r>
        <w:rPr>
          <w:rFonts w:eastAsia="方正楷体_GBK"/>
          <w:szCs w:val="32"/>
        </w:rPr>
        <w:t>（区市场监管局、黔江银保监分局按职责分工负责）</w:t>
      </w:r>
    </w:p>
    <w:p>
      <w:pPr>
        <w:spacing w:line="579" w:lineRule="exact"/>
        <w:ind w:firstLine="632" w:firstLineChars="200"/>
        <w:rPr>
          <w:rFonts w:eastAsia="方正楷体_GBK"/>
          <w:szCs w:val="32"/>
        </w:rPr>
      </w:pPr>
      <w:r>
        <w:rPr>
          <w:rFonts w:eastAsia="方正楷体_GBK"/>
          <w:szCs w:val="32"/>
        </w:rPr>
        <w:t>（十）促进电梯产业创新发展。</w:t>
      </w:r>
    </w:p>
    <w:p>
      <w:pPr>
        <w:spacing w:line="579" w:lineRule="exact"/>
        <w:ind w:firstLine="632" w:firstLineChars="200"/>
        <w:rPr>
          <w:szCs w:val="32"/>
        </w:rPr>
      </w:pPr>
      <w:r>
        <w:rPr>
          <w:szCs w:val="32"/>
        </w:rPr>
        <w:t>加大科技创新支持力度，落实税收优惠政策，促进企业科技研发和维保服务能力提升，推动相关电梯企业由技术型企业向创新型、服务型企业转型，不断提高黔江电梯维保企业服务能力和质量。</w:t>
      </w:r>
      <w:r>
        <w:rPr>
          <w:rFonts w:eastAsia="方正楷体_GBK"/>
          <w:szCs w:val="32"/>
        </w:rPr>
        <w:t>（区市场监管局、区科技局、区经济信息委、区商务委、区税务局等按职责分工负责）</w:t>
      </w:r>
    </w:p>
    <w:p>
      <w:pPr>
        <w:spacing w:line="579" w:lineRule="exact"/>
        <w:ind w:firstLine="632" w:firstLineChars="200"/>
        <w:rPr>
          <w:rFonts w:eastAsia="方正楷体_GBK"/>
          <w:szCs w:val="32"/>
        </w:rPr>
      </w:pPr>
      <w:r>
        <w:rPr>
          <w:rFonts w:eastAsia="方正楷体_GBK"/>
          <w:szCs w:val="32"/>
        </w:rPr>
        <w:t>（十一）强化事前、事中、事后监管联动。</w:t>
      </w:r>
    </w:p>
    <w:p>
      <w:pPr>
        <w:spacing w:line="579" w:lineRule="exact"/>
        <w:ind w:firstLine="632" w:firstLineChars="200"/>
        <w:rPr>
          <w:rFonts w:eastAsia="方正楷体_GBK"/>
          <w:szCs w:val="32"/>
        </w:rPr>
      </w:pPr>
      <w:r>
        <w:rPr>
          <w:szCs w:val="32"/>
        </w:rPr>
        <w:t>深化“放管服”改革，简化行政许可换证程序，严格依法审批。加强风险控制，强化市场准入管理，严重失信主体在审查电梯生产行政许可时不适用告知承诺制。加大“双随机</w:t>
      </w:r>
      <w:r>
        <w:rPr>
          <w:rFonts w:hint="eastAsia"/>
          <w:szCs w:val="32"/>
          <w:lang w:eastAsia="zh-CN"/>
        </w:rPr>
        <w:t>、</w:t>
      </w:r>
      <w:r>
        <w:rPr>
          <w:szCs w:val="32"/>
        </w:rPr>
        <w:t>一公开”监管抽查和针对性执法检查力度，持续开展电梯安全专项抽查，坚决打击短接安全回路等违法违规行为。完善市场退出机制，对违反《中华人民共和国特种设备安全法》相关规定，被依法吊销行政许可的企业，3年内不予受理其新的许可申请。建立电梯企业信用清单，落实电梯安装、使用管理、维护保养、检验检测、投诉、安全事故、“黑名单”等相关信息公示制度，对严重违法失信企业和从业人员依法依规予以联合惩戒。</w:t>
      </w:r>
      <w:r>
        <w:rPr>
          <w:rFonts w:eastAsia="方正楷体_GBK"/>
          <w:szCs w:val="32"/>
        </w:rPr>
        <w:t>（区市场监管局、区发展改革委等按职责分工负责）</w:t>
      </w:r>
    </w:p>
    <w:p>
      <w:pPr>
        <w:spacing w:line="579" w:lineRule="exact"/>
        <w:ind w:firstLine="632" w:firstLineChars="200"/>
        <w:rPr>
          <w:rFonts w:eastAsia="方正楷体_GBK"/>
          <w:szCs w:val="32"/>
        </w:rPr>
      </w:pPr>
      <w:r>
        <w:rPr>
          <w:rFonts w:eastAsia="方正楷体_GBK"/>
          <w:szCs w:val="32"/>
        </w:rPr>
        <w:t>（十二）提升从业人员安全技能。</w:t>
      </w:r>
    </w:p>
    <w:p>
      <w:pPr>
        <w:spacing w:line="579" w:lineRule="exact"/>
        <w:ind w:firstLine="632" w:firstLineChars="200"/>
        <w:rPr>
          <w:rFonts w:eastAsia="方正楷体_GBK"/>
          <w:szCs w:val="32"/>
        </w:rPr>
      </w:pPr>
      <w:r>
        <w:rPr>
          <w:szCs w:val="32"/>
        </w:rPr>
        <w:t>电梯维保单位要对新取证维保人员，以“跟师学艺”“以老带新”等方式，进行再学习、再培训，不断提高电梯从业人员专业水平。要大力弘扬劳模精神和工匠精神，鼓励电梯从业人员争当“巴渝电梯工匠”，实现技高者多得，增强电梯作业人员责任感和荣誉感。</w:t>
      </w:r>
      <w:r>
        <w:rPr>
          <w:rFonts w:eastAsia="方正楷体_GBK"/>
          <w:szCs w:val="32"/>
        </w:rPr>
        <w:t>（区市场监管局负责）</w:t>
      </w:r>
    </w:p>
    <w:p>
      <w:pPr>
        <w:pStyle w:val="15"/>
        <w:spacing w:line="579" w:lineRule="exact"/>
        <w:ind w:firstLine="632"/>
        <w:rPr>
          <w:rFonts w:eastAsia="方正黑体_GBK"/>
          <w:szCs w:val="32"/>
        </w:rPr>
      </w:pPr>
      <w:r>
        <w:rPr>
          <w:rFonts w:eastAsia="方正黑体_GBK"/>
          <w:szCs w:val="32"/>
        </w:rPr>
        <w:t>四、保障措施</w:t>
      </w:r>
    </w:p>
    <w:p>
      <w:pPr>
        <w:spacing w:line="579" w:lineRule="exact"/>
        <w:ind w:firstLine="632" w:firstLineChars="200"/>
        <w:rPr>
          <w:rFonts w:eastAsia="方正楷体_GBK"/>
          <w:szCs w:val="32"/>
        </w:rPr>
      </w:pPr>
      <w:r>
        <w:rPr>
          <w:rFonts w:eastAsia="方正楷体_GBK"/>
          <w:szCs w:val="32"/>
        </w:rPr>
        <w:t>（一）强化组织领导。</w:t>
      </w:r>
      <w:r>
        <w:rPr>
          <w:szCs w:val="32"/>
        </w:rPr>
        <w:t>各单位要提高认识、统一思想，将电梯生产质量和安全管理列入重点任务，按照工作安排，明确专人负责，扎实推进相关工作，形成齐抓共管的良好氛围，确保我区“安全乘梯守护行动”取得良好成效。</w:t>
      </w:r>
      <w:r>
        <w:rPr>
          <w:rFonts w:eastAsia="方正楷体_GBK"/>
          <w:szCs w:val="32"/>
        </w:rPr>
        <w:t>（区级有关行业主管部门、各乡镇街道负责）</w:t>
      </w:r>
    </w:p>
    <w:p>
      <w:pPr>
        <w:spacing w:line="579" w:lineRule="exact"/>
        <w:ind w:firstLine="632" w:firstLineChars="200"/>
        <w:rPr>
          <w:rFonts w:eastAsia="方正楷体_GBK"/>
          <w:szCs w:val="32"/>
        </w:rPr>
      </w:pPr>
      <w:r>
        <w:rPr>
          <w:rFonts w:eastAsia="方正楷体_GBK"/>
          <w:szCs w:val="32"/>
        </w:rPr>
        <w:t>（二）加强政策保障。</w:t>
      </w:r>
      <w:r>
        <w:rPr>
          <w:szCs w:val="32"/>
        </w:rPr>
        <w:t>要探索建立黔江区老旧住宅增设电梯规范管理政策机制，逐步引入专业物业单位管理电梯，严格落实电梯使用管理责任。要加强电梯监管方面的执法检查装备配置和经费保障，进一步充实基层监管执法队伍人员数量，为开展好“安全乘梯守护行动”</w:t>
      </w:r>
      <w:r>
        <w:t xml:space="preserve"> </w:t>
      </w:r>
      <w:r>
        <w:rPr>
          <w:szCs w:val="32"/>
        </w:rPr>
        <w:t>提供坚强保障。</w:t>
      </w:r>
      <w:r>
        <w:rPr>
          <w:rFonts w:eastAsia="方正楷体_GBK"/>
          <w:szCs w:val="32"/>
        </w:rPr>
        <w:t>（区规划自然资源局、区住房城乡建委、区司法局、区市场监管局、区财政局等按职责分工负责）</w:t>
      </w:r>
    </w:p>
    <w:p>
      <w:pPr>
        <w:spacing w:line="579" w:lineRule="exact"/>
        <w:ind w:firstLine="632" w:firstLineChars="200"/>
        <w:rPr>
          <w:rFonts w:eastAsia="方正楷体_GBK"/>
          <w:szCs w:val="32"/>
        </w:rPr>
      </w:pPr>
      <w:r>
        <w:rPr>
          <w:rFonts w:eastAsia="方正楷体_GBK"/>
          <w:szCs w:val="32"/>
        </w:rPr>
        <w:t>（三）发挥社区作用。</w:t>
      </w:r>
      <w:r>
        <w:rPr>
          <w:szCs w:val="32"/>
        </w:rPr>
        <w:t>要调动社区党组织、社会组织、社会工作服务机构的积极性，共同参与社区电梯安全综合治理，积极化解影响电梯安全运行的社区矛盾，实现决策共谋、发展共建、建设共管。</w:t>
      </w:r>
      <w:r>
        <w:rPr>
          <w:rFonts w:eastAsia="方正楷体_GBK"/>
          <w:szCs w:val="32"/>
        </w:rPr>
        <w:t>（各乡镇街道负责）</w:t>
      </w:r>
    </w:p>
    <w:p>
      <w:pPr>
        <w:spacing w:line="579" w:lineRule="exact"/>
        <w:ind w:firstLine="632" w:firstLineChars="200"/>
        <w:rPr>
          <w:rFonts w:eastAsia="方正楷体_GBK"/>
          <w:szCs w:val="32"/>
        </w:rPr>
      </w:pPr>
      <w:r>
        <w:rPr>
          <w:rFonts w:eastAsia="方正楷体_GBK"/>
          <w:szCs w:val="32"/>
        </w:rPr>
        <w:t>（四）强化舆论监督。</w:t>
      </w:r>
      <w:r>
        <w:rPr>
          <w:szCs w:val="32"/>
        </w:rPr>
        <w:t>加强中小学、幼儿园电梯安全教育，将电梯有关知识纳入科普学习范围，普及电梯安全知识。市场监管部门和教育部门要积极开展“电梯安全知识进校园”活动，各大专院校、中小学要将电梯安全知识纳入相关课程的必讲内容，引导广大师生安全乘梯、文明乘梯。强化社会舆论监督，新闻媒体加大电梯安全知识宣传力度，对无故障报故障套取大修金、更换配件以次充好、虚假维保、恶意低价竞争等不诚信行为进行曝光，促进我区电梯产品质量和服务质量提升。</w:t>
      </w:r>
      <w:r>
        <w:rPr>
          <w:rFonts w:eastAsia="方正楷体_GBK"/>
          <w:szCs w:val="32"/>
        </w:rPr>
        <w:t>（区教委、区科技局、区政府新闻办公室、区市场监管局、区住房城乡建委等按职责分工负责）</w:t>
      </w:r>
    </w:p>
    <w:p>
      <w:pPr>
        <w:spacing w:line="579" w:lineRule="exact"/>
        <w:ind w:left="408" w:firstLine="632" w:firstLineChars="200"/>
        <w:rPr>
          <w:szCs w:val="32"/>
        </w:rPr>
      </w:pPr>
    </w:p>
    <w:p>
      <w:pPr>
        <w:spacing w:line="579" w:lineRule="exact"/>
        <w:ind w:firstLine="632" w:firstLineChars="200"/>
        <w:rPr>
          <w:szCs w:val="32"/>
        </w:rPr>
      </w:pPr>
      <w:r>
        <w:rPr>
          <w:szCs w:val="32"/>
        </w:rPr>
        <w:t>附件：1.行业主管部门电梯安全管理职责</w:t>
      </w:r>
    </w:p>
    <w:p>
      <w:pPr>
        <w:spacing w:line="579" w:lineRule="exact"/>
        <w:ind w:firstLine="1637" w:firstLineChars="518"/>
        <w:rPr>
          <w:szCs w:val="32"/>
        </w:rPr>
      </w:pPr>
      <w:r>
        <w:rPr>
          <w:szCs w:val="32"/>
        </w:rPr>
        <w:t>2.重庆市黔江区“安全乘梯守护行动”重点工作任务</w:t>
      </w:r>
    </w:p>
    <w:p>
      <w:pPr>
        <w:spacing w:line="579" w:lineRule="exact"/>
        <w:ind w:left="1680" w:firstLine="209" w:firstLineChars="66"/>
        <w:rPr>
          <w:szCs w:val="32"/>
        </w:rPr>
      </w:pPr>
      <w:r>
        <w:rPr>
          <w:szCs w:val="32"/>
        </w:rPr>
        <w:t>分解</w:t>
      </w:r>
    </w:p>
    <w:p>
      <w:pPr>
        <w:spacing w:line="579" w:lineRule="exact"/>
        <w:rPr>
          <w:szCs w:val="32"/>
        </w:rPr>
      </w:pPr>
    </w:p>
    <w:p>
      <w:pPr>
        <w:spacing w:line="579" w:lineRule="exact"/>
        <w:rPr>
          <w:szCs w:val="32"/>
        </w:rPr>
      </w:pPr>
    </w:p>
    <w:p>
      <w:pPr>
        <w:spacing w:line="579" w:lineRule="exact"/>
        <w:rPr>
          <w:rFonts w:eastAsia="黑体"/>
          <w:szCs w:val="32"/>
        </w:rPr>
      </w:pPr>
      <w:r>
        <w:rPr>
          <w:szCs w:val="32"/>
        </w:rPr>
        <w:br w:type="page"/>
      </w:r>
      <w:r>
        <w:rPr>
          <w:rFonts w:eastAsia="方正黑体_GBK"/>
          <w:szCs w:val="32"/>
        </w:rPr>
        <w:t>附件</w:t>
      </w:r>
      <w:r>
        <w:rPr>
          <w:rFonts w:eastAsia="黑体"/>
          <w:szCs w:val="32"/>
        </w:rPr>
        <w:t>1</w:t>
      </w:r>
    </w:p>
    <w:p>
      <w:pPr>
        <w:spacing w:line="579" w:lineRule="exact"/>
        <w:jc w:val="center"/>
        <w:rPr>
          <w:rFonts w:eastAsia="方正小标宋_GBK"/>
          <w:sz w:val="44"/>
          <w:szCs w:val="44"/>
        </w:rPr>
      </w:pPr>
      <w:r>
        <w:rPr>
          <w:rFonts w:eastAsia="方正小标宋_GBK"/>
          <w:sz w:val="44"/>
          <w:szCs w:val="44"/>
        </w:rPr>
        <w:t>行业主管部门电梯安全管理职责</w:t>
      </w:r>
    </w:p>
    <w:p>
      <w:pPr>
        <w:spacing w:line="579" w:lineRule="exact"/>
        <w:jc w:val="center"/>
        <w:rPr>
          <w:szCs w:val="32"/>
        </w:rPr>
      </w:pPr>
    </w:p>
    <w:p>
      <w:pPr>
        <w:spacing w:line="579" w:lineRule="exact"/>
        <w:ind w:firstLine="632" w:firstLineChars="200"/>
        <w:rPr>
          <w:szCs w:val="32"/>
        </w:rPr>
      </w:pPr>
      <w:r>
        <w:rPr>
          <w:szCs w:val="32"/>
        </w:rPr>
        <w:t>市场监管部门：对电梯质量安全实施监督管理，进一步完善监管机制，查处违法违规行为。</w:t>
      </w:r>
    </w:p>
    <w:p>
      <w:pPr>
        <w:spacing w:line="579" w:lineRule="exact"/>
        <w:ind w:firstLine="632" w:firstLineChars="200"/>
        <w:rPr>
          <w:szCs w:val="32"/>
        </w:rPr>
      </w:pPr>
      <w:r>
        <w:rPr>
          <w:szCs w:val="32"/>
        </w:rPr>
        <w:t>住房城乡建设部门：负责对建筑物中电梯井道和机房、底坑、钢结构等工程质量实施监督管理，督促建设单位履行电梯安装过程的安全管理职责，严格执行《住宅电梯配置和选型及安装维护》《既有建筑加装电梯结构井道》标准。监督建设单位、施工单位不得在新建工程建设施工作业中将电梯用于运载建筑材料、建筑垃圾等。指导和督促物业服务企业履行住宅电梯使用安全管理职责。</w:t>
      </w:r>
    </w:p>
    <w:p>
      <w:pPr>
        <w:spacing w:line="579" w:lineRule="exact"/>
        <w:ind w:firstLine="632" w:firstLineChars="200"/>
        <w:rPr>
          <w:szCs w:val="32"/>
        </w:rPr>
      </w:pPr>
      <w:r>
        <w:rPr>
          <w:szCs w:val="32"/>
        </w:rPr>
        <w:t>规划自然资源部门：牵头负责老旧住宅增设电梯有关工作。</w:t>
      </w:r>
    </w:p>
    <w:p>
      <w:pPr>
        <w:spacing w:line="579" w:lineRule="exact"/>
        <w:ind w:firstLine="632" w:firstLineChars="200"/>
        <w:rPr>
          <w:szCs w:val="32"/>
        </w:rPr>
      </w:pPr>
      <w:r>
        <w:rPr>
          <w:szCs w:val="32"/>
        </w:rPr>
        <w:t>经济信息部门：负责指导电梯生产企业自主创新，推动电梯产品质量提升。支持智慧电梯管理平台建设，强化系统应用和功能延展。负责协调各基础电信营运企业加强电梯轿厢和井道综合信息通信网络覆盖工作。</w:t>
      </w:r>
    </w:p>
    <w:p>
      <w:pPr>
        <w:spacing w:line="579" w:lineRule="exact"/>
        <w:ind w:firstLine="632" w:firstLineChars="200"/>
        <w:rPr>
          <w:szCs w:val="32"/>
        </w:rPr>
      </w:pPr>
      <w:r>
        <w:rPr>
          <w:szCs w:val="32"/>
        </w:rPr>
        <w:t>人力社保部门：负责做好电梯行业从业人员职业技能提升培训工作，会同有关部门开展电梯职业技能竞赛。</w:t>
      </w:r>
    </w:p>
    <w:p>
      <w:pPr>
        <w:spacing w:line="579" w:lineRule="exact"/>
        <w:ind w:firstLine="632" w:firstLineChars="200"/>
        <w:rPr>
          <w:szCs w:val="32"/>
        </w:rPr>
      </w:pPr>
      <w:r>
        <w:rPr>
          <w:szCs w:val="32"/>
        </w:rPr>
        <w:t>教育部门：负责中小学电梯安全教育，普及电梯安全知识；督促做好学校、幼儿园电梯安全管理。</w:t>
      </w:r>
    </w:p>
    <w:p>
      <w:pPr>
        <w:spacing w:line="579" w:lineRule="exact"/>
        <w:ind w:firstLine="632" w:firstLineChars="200"/>
        <w:rPr>
          <w:szCs w:val="32"/>
        </w:rPr>
      </w:pPr>
      <w:r>
        <w:rPr>
          <w:szCs w:val="32"/>
        </w:rPr>
        <w:t>应急管理部门：负责统筹、指导电梯安全事故调查处理。</w:t>
      </w:r>
    </w:p>
    <w:p>
      <w:pPr>
        <w:spacing w:line="579" w:lineRule="exact"/>
        <w:ind w:firstLine="632" w:firstLineChars="200"/>
        <w:rPr>
          <w:szCs w:val="32"/>
        </w:rPr>
      </w:pPr>
      <w:r>
        <w:rPr>
          <w:szCs w:val="32"/>
        </w:rPr>
        <w:t>消防救援机构：负责电梯事故的应急救援处置，强化电梯应急救援的培训，提高应急救援能力。</w:t>
      </w:r>
    </w:p>
    <w:p>
      <w:pPr>
        <w:spacing w:line="579" w:lineRule="exact"/>
        <w:ind w:firstLine="632" w:firstLineChars="200"/>
        <w:rPr>
          <w:szCs w:val="32"/>
        </w:rPr>
      </w:pPr>
      <w:r>
        <w:rPr>
          <w:szCs w:val="32"/>
        </w:rPr>
        <w:t>保险监管部门：负责配合政府部门制定电梯安全责任保险相关政策，推进电梯安全责任保险，对承保电梯安全责任险的保险机构进行监督管理，指导保险机构做好承保理赔服务工作。</w:t>
      </w:r>
    </w:p>
    <w:p>
      <w:pPr>
        <w:spacing w:line="579" w:lineRule="exact"/>
        <w:ind w:firstLine="632" w:firstLineChars="200"/>
        <w:rPr>
          <w:szCs w:val="32"/>
        </w:rPr>
      </w:pPr>
      <w:r>
        <w:rPr>
          <w:szCs w:val="32"/>
        </w:rPr>
        <w:t>宣传、发展改革、科技、公安、司法、财政、城市管理、交通、商务、文化旅游、卫生健康、体育等部门按照各自职责，共同做好电梯安全监督管理工作。</w:t>
      </w:r>
    </w:p>
    <w:p>
      <w:pPr>
        <w:tabs>
          <w:tab w:val="left" w:pos="6159"/>
        </w:tabs>
        <w:spacing w:line="579" w:lineRule="exact"/>
        <w:jc w:val="left"/>
        <w:sectPr>
          <w:headerReference r:id="rId4" w:type="first"/>
          <w:footerReference r:id="rId7" w:type="first"/>
          <w:footerReference r:id="rId5" w:type="default"/>
          <w:headerReference r:id="rId3" w:type="even"/>
          <w:footerReference r:id="rId6" w:type="even"/>
          <w:pgSz w:w="11906" w:h="16838"/>
          <w:pgMar w:top="2098" w:right="1474" w:bottom="1985" w:left="1588" w:header="851" w:footer="992" w:gutter="0"/>
          <w:cols w:space="720" w:num="1"/>
          <w:docGrid w:type="linesAndChars" w:linePitch="579" w:charSpace="-849"/>
        </w:sectPr>
      </w:pPr>
    </w:p>
    <w:p>
      <w:pPr>
        <w:spacing w:line="579" w:lineRule="exact"/>
        <w:rPr>
          <w:rFonts w:eastAsia="黑体"/>
          <w:szCs w:val="32"/>
        </w:rPr>
      </w:pPr>
      <w:r>
        <w:rPr>
          <w:rFonts w:eastAsia="方正黑体_GBK"/>
          <w:szCs w:val="32"/>
        </w:rPr>
        <w:t>附件</w:t>
      </w:r>
      <w:r>
        <w:rPr>
          <w:rFonts w:eastAsia="黑体"/>
          <w:szCs w:val="32"/>
        </w:rPr>
        <w:t>2</w:t>
      </w:r>
    </w:p>
    <w:p>
      <w:pPr>
        <w:spacing w:line="579" w:lineRule="exact"/>
        <w:jc w:val="center"/>
        <w:rPr>
          <w:rFonts w:eastAsia="方正小标宋_GBK"/>
          <w:sz w:val="44"/>
          <w:szCs w:val="44"/>
        </w:rPr>
      </w:pPr>
      <w:r>
        <w:rPr>
          <w:rFonts w:eastAsia="方正小标宋_GBK"/>
          <w:sz w:val="44"/>
          <w:szCs w:val="44"/>
        </w:rPr>
        <w:t>重庆市黔江区“安全乘梯守护行动”重点工作任务分解</w:t>
      </w:r>
    </w:p>
    <w:p>
      <w:pPr>
        <w:spacing w:line="579" w:lineRule="exact"/>
        <w:jc w:val="center"/>
        <w:rPr>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4418"/>
        <w:gridCol w:w="4665"/>
        <w:gridCol w:w="1395"/>
        <w:gridCol w:w="133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63" w:type="dxa"/>
            <w:noWrap w:val="0"/>
            <w:vAlign w:val="center"/>
          </w:tcPr>
          <w:p>
            <w:pPr>
              <w:spacing w:line="579" w:lineRule="exact"/>
              <w:jc w:val="center"/>
              <w:rPr>
                <w:rFonts w:eastAsia="方正黑体_GBK"/>
                <w:sz w:val="24"/>
              </w:rPr>
            </w:pPr>
            <w:r>
              <w:rPr>
                <w:rFonts w:eastAsia="方正黑体_GBK"/>
                <w:sz w:val="24"/>
              </w:rPr>
              <w:t>序号</w:t>
            </w:r>
          </w:p>
        </w:tc>
        <w:tc>
          <w:tcPr>
            <w:tcW w:w="4418" w:type="dxa"/>
            <w:noWrap w:val="0"/>
            <w:vAlign w:val="center"/>
          </w:tcPr>
          <w:p>
            <w:pPr>
              <w:spacing w:line="579" w:lineRule="exact"/>
              <w:jc w:val="center"/>
              <w:rPr>
                <w:rFonts w:eastAsia="方正黑体_GBK"/>
                <w:sz w:val="24"/>
              </w:rPr>
            </w:pPr>
            <w:r>
              <w:rPr>
                <w:rFonts w:eastAsia="方正黑体_GBK"/>
                <w:sz w:val="24"/>
              </w:rPr>
              <w:t>工作任务</w:t>
            </w:r>
          </w:p>
        </w:tc>
        <w:tc>
          <w:tcPr>
            <w:tcW w:w="4665" w:type="dxa"/>
            <w:noWrap w:val="0"/>
            <w:vAlign w:val="center"/>
          </w:tcPr>
          <w:p>
            <w:pPr>
              <w:spacing w:line="579" w:lineRule="exact"/>
              <w:jc w:val="center"/>
              <w:rPr>
                <w:rFonts w:eastAsia="方正黑体_GBK"/>
                <w:sz w:val="24"/>
              </w:rPr>
            </w:pPr>
            <w:r>
              <w:rPr>
                <w:rFonts w:eastAsia="方正黑体_GBK"/>
                <w:sz w:val="24"/>
              </w:rPr>
              <w:t>工作步骤</w:t>
            </w:r>
          </w:p>
        </w:tc>
        <w:tc>
          <w:tcPr>
            <w:tcW w:w="1395" w:type="dxa"/>
            <w:noWrap w:val="0"/>
            <w:vAlign w:val="center"/>
          </w:tcPr>
          <w:p>
            <w:pPr>
              <w:spacing w:line="579" w:lineRule="exact"/>
              <w:jc w:val="center"/>
              <w:rPr>
                <w:rFonts w:eastAsia="方正黑体_GBK"/>
                <w:sz w:val="24"/>
              </w:rPr>
            </w:pPr>
            <w:r>
              <w:rPr>
                <w:rFonts w:eastAsia="方正黑体_GBK"/>
                <w:sz w:val="24"/>
              </w:rPr>
              <w:t>牵头单位</w:t>
            </w:r>
          </w:p>
        </w:tc>
        <w:tc>
          <w:tcPr>
            <w:tcW w:w="1333" w:type="dxa"/>
            <w:noWrap w:val="0"/>
            <w:vAlign w:val="center"/>
          </w:tcPr>
          <w:p>
            <w:pPr>
              <w:spacing w:line="579" w:lineRule="exact"/>
              <w:jc w:val="center"/>
              <w:rPr>
                <w:rFonts w:eastAsia="方正黑体_GBK"/>
                <w:sz w:val="24"/>
              </w:rPr>
            </w:pPr>
            <w:r>
              <w:rPr>
                <w:rFonts w:eastAsia="方正黑体_GBK"/>
                <w:sz w:val="24"/>
              </w:rPr>
              <w:t>配合单位</w:t>
            </w:r>
          </w:p>
        </w:tc>
        <w:tc>
          <w:tcPr>
            <w:tcW w:w="725" w:type="dxa"/>
            <w:noWrap w:val="0"/>
            <w:vAlign w:val="center"/>
          </w:tcPr>
          <w:p>
            <w:pPr>
              <w:spacing w:line="579" w:lineRule="exact"/>
              <w:jc w:val="center"/>
              <w:rPr>
                <w:rFonts w:eastAsia="方正黑体_GBK"/>
                <w:sz w:val="24"/>
              </w:rPr>
            </w:pPr>
            <w:r>
              <w:rPr>
                <w:rFonts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663" w:type="dxa"/>
            <w:noWrap w:val="0"/>
            <w:vAlign w:val="center"/>
          </w:tcPr>
          <w:p>
            <w:pPr>
              <w:spacing w:line="440" w:lineRule="exact"/>
              <w:jc w:val="center"/>
              <w:rPr>
                <w:sz w:val="24"/>
              </w:rPr>
            </w:pPr>
            <w:r>
              <w:rPr>
                <w:sz w:val="24"/>
              </w:rPr>
              <w:t>1</w:t>
            </w:r>
          </w:p>
        </w:tc>
        <w:tc>
          <w:tcPr>
            <w:tcW w:w="4418" w:type="dxa"/>
            <w:noWrap w:val="0"/>
            <w:vAlign w:val="center"/>
          </w:tcPr>
          <w:p>
            <w:pPr>
              <w:spacing w:line="440" w:lineRule="exact"/>
              <w:jc w:val="left"/>
              <w:rPr>
                <w:sz w:val="24"/>
              </w:rPr>
            </w:pPr>
            <w:r>
              <w:rPr>
                <w:sz w:val="24"/>
              </w:rPr>
              <w:t>开展维保单位星级评定，将评定结果向社会公布，推动形成以维保效果定价的市场机制。</w:t>
            </w:r>
          </w:p>
        </w:tc>
        <w:tc>
          <w:tcPr>
            <w:tcW w:w="4665" w:type="dxa"/>
            <w:noWrap w:val="0"/>
            <w:vAlign w:val="center"/>
          </w:tcPr>
          <w:p>
            <w:pPr>
              <w:spacing w:line="440" w:lineRule="exact"/>
              <w:jc w:val="left"/>
              <w:rPr>
                <w:sz w:val="24"/>
              </w:rPr>
            </w:pPr>
            <w:r>
              <w:rPr>
                <w:sz w:val="24"/>
              </w:rPr>
              <w:t>2022年底前，结合市局相关评价规则，开展一次全区电梯维保单位星级评定活动。</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2</w:t>
            </w:r>
          </w:p>
        </w:tc>
        <w:tc>
          <w:tcPr>
            <w:tcW w:w="4418" w:type="dxa"/>
            <w:noWrap w:val="0"/>
            <w:vAlign w:val="center"/>
          </w:tcPr>
          <w:p>
            <w:pPr>
              <w:spacing w:line="440" w:lineRule="exact"/>
              <w:jc w:val="left"/>
              <w:rPr>
                <w:sz w:val="24"/>
              </w:rPr>
            </w:pPr>
            <w:r>
              <w:rPr>
                <w:sz w:val="24"/>
              </w:rPr>
              <w:t>积极宣传《重庆市老旧住宅加装电梯管理暂行办法》。</w:t>
            </w:r>
          </w:p>
        </w:tc>
        <w:tc>
          <w:tcPr>
            <w:tcW w:w="4665" w:type="dxa"/>
            <w:noWrap w:val="0"/>
            <w:vAlign w:val="center"/>
          </w:tcPr>
          <w:p>
            <w:pPr>
              <w:spacing w:line="440" w:lineRule="exact"/>
              <w:jc w:val="left"/>
              <w:rPr>
                <w:sz w:val="24"/>
              </w:rPr>
            </w:pPr>
            <w:r>
              <w:rPr>
                <w:sz w:val="24"/>
              </w:rPr>
              <w:t>2022年底前，开展一次学习和宣贯活动。</w:t>
            </w:r>
          </w:p>
        </w:tc>
        <w:tc>
          <w:tcPr>
            <w:tcW w:w="1395" w:type="dxa"/>
            <w:noWrap w:val="0"/>
            <w:vAlign w:val="center"/>
          </w:tcPr>
          <w:p>
            <w:pPr>
              <w:spacing w:line="440" w:lineRule="exact"/>
              <w:jc w:val="center"/>
              <w:rPr>
                <w:sz w:val="24"/>
              </w:rPr>
            </w:pPr>
            <w:r>
              <w:rPr>
                <w:sz w:val="24"/>
              </w:rPr>
              <w:t>区自然资源局</w:t>
            </w:r>
          </w:p>
        </w:tc>
        <w:tc>
          <w:tcPr>
            <w:tcW w:w="1333" w:type="dxa"/>
            <w:noWrap w:val="0"/>
            <w:vAlign w:val="center"/>
          </w:tcPr>
          <w:p>
            <w:pPr>
              <w:spacing w:line="440" w:lineRule="exact"/>
              <w:jc w:val="center"/>
              <w:rPr>
                <w:sz w:val="24"/>
              </w:rPr>
            </w:pPr>
            <w:r>
              <w:rPr>
                <w:sz w:val="24"/>
              </w:rPr>
              <w:t>区市场监管局</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3</w:t>
            </w:r>
          </w:p>
        </w:tc>
        <w:tc>
          <w:tcPr>
            <w:tcW w:w="4418" w:type="dxa"/>
            <w:noWrap w:val="0"/>
            <w:vAlign w:val="center"/>
          </w:tcPr>
          <w:p>
            <w:pPr>
              <w:spacing w:line="440" w:lineRule="exact"/>
              <w:jc w:val="left"/>
              <w:rPr>
                <w:sz w:val="24"/>
              </w:rPr>
            </w:pPr>
            <w:r>
              <w:rPr>
                <w:sz w:val="24"/>
              </w:rPr>
              <w:t>大力推广《既有建设加装电梯钢结构井道》标准。</w:t>
            </w:r>
          </w:p>
        </w:tc>
        <w:tc>
          <w:tcPr>
            <w:tcW w:w="4665" w:type="dxa"/>
            <w:noWrap w:val="0"/>
            <w:vAlign w:val="center"/>
          </w:tcPr>
          <w:p>
            <w:pPr>
              <w:spacing w:line="440" w:lineRule="exact"/>
              <w:jc w:val="left"/>
              <w:rPr>
                <w:sz w:val="24"/>
              </w:rPr>
            </w:pPr>
            <w:r>
              <w:rPr>
                <w:sz w:val="24"/>
              </w:rPr>
              <w:t>2022年底前，开展一次学习和宣贯活动。</w:t>
            </w:r>
          </w:p>
        </w:tc>
        <w:tc>
          <w:tcPr>
            <w:tcW w:w="1395" w:type="dxa"/>
            <w:noWrap w:val="0"/>
            <w:vAlign w:val="center"/>
          </w:tcPr>
          <w:p>
            <w:pPr>
              <w:spacing w:line="440" w:lineRule="exact"/>
              <w:jc w:val="center"/>
              <w:rPr>
                <w:sz w:val="24"/>
              </w:rPr>
            </w:pPr>
            <w:r>
              <w:rPr>
                <w:sz w:val="24"/>
              </w:rPr>
              <w:t>区住房城乡建委</w:t>
            </w:r>
          </w:p>
        </w:tc>
        <w:tc>
          <w:tcPr>
            <w:tcW w:w="1333" w:type="dxa"/>
            <w:noWrap w:val="0"/>
            <w:vAlign w:val="center"/>
          </w:tcPr>
          <w:p>
            <w:pPr>
              <w:spacing w:line="440" w:lineRule="exact"/>
              <w:jc w:val="center"/>
              <w:rPr>
                <w:sz w:val="24"/>
              </w:rPr>
            </w:pPr>
            <w:r>
              <w:rPr>
                <w:sz w:val="24"/>
              </w:rPr>
              <w:t>区市场监管局</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4</w:t>
            </w:r>
          </w:p>
        </w:tc>
        <w:tc>
          <w:tcPr>
            <w:tcW w:w="4418" w:type="dxa"/>
            <w:noWrap w:val="0"/>
            <w:vAlign w:val="center"/>
          </w:tcPr>
          <w:p>
            <w:pPr>
              <w:spacing w:line="440" w:lineRule="exact"/>
              <w:jc w:val="left"/>
              <w:rPr>
                <w:sz w:val="24"/>
              </w:rPr>
            </w:pPr>
            <w:r>
              <w:rPr>
                <w:sz w:val="24"/>
              </w:rPr>
              <w:t>进一步畅通老旧住宅增设电梯审批渠道，加大支持力度。</w:t>
            </w:r>
          </w:p>
        </w:tc>
        <w:tc>
          <w:tcPr>
            <w:tcW w:w="4665" w:type="dxa"/>
            <w:noWrap w:val="0"/>
            <w:vAlign w:val="center"/>
          </w:tcPr>
          <w:p>
            <w:pPr>
              <w:spacing w:line="440" w:lineRule="exact"/>
              <w:jc w:val="left"/>
              <w:rPr>
                <w:sz w:val="24"/>
              </w:rPr>
            </w:pPr>
            <w:r>
              <w:rPr>
                <w:sz w:val="24"/>
              </w:rPr>
              <w:t>1.2021年底前，完成审批5台以上老旧住宅增设电梯。</w:t>
            </w:r>
          </w:p>
          <w:p>
            <w:pPr>
              <w:spacing w:line="440" w:lineRule="exact"/>
              <w:jc w:val="left"/>
              <w:rPr>
                <w:sz w:val="24"/>
              </w:rPr>
            </w:pPr>
            <w:r>
              <w:rPr>
                <w:sz w:val="24"/>
              </w:rPr>
              <w:t>2.2022年底前，累计完成审批10台以上老旧住宅增设电梯。</w:t>
            </w:r>
          </w:p>
          <w:p>
            <w:pPr>
              <w:spacing w:line="440" w:lineRule="exact"/>
              <w:jc w:val="left"/>
              <w:rPr>
                <w:sz w:val="24"/>
              </w:rPr>
            </w:pPr>
            <w:r>
              <w:rPr>
                <w:sz w:val="24"/>
              </w:rPr>
              <w:t>3.2023年底前，累计完成审批15台以上老旧住宅增设电梯。</w:t>
            </w:r>
          </w:p>
        </w:tc>
        <w:tc>
          <w:tcPr>
            <w:tcW w:w="1395" w:type="dxa"/>
            <w:noWrap w:val="0"/>
            <w:vAlign w:val="center"/>
          </w:tcPr>
          <w:p>
            <w:pPr>
              <w:spacing w:line="440" w:lineRule="exact"/>
              <w:jc w:val="center"/>
              <w:rPr>
                <w:sz w:val="24"/>
              </w:rPr>
            </w:pPr>
            <w:r>
              <w:rPr>
                <w:sz w:val="24"/>
              </w:rPr>
              <w:t>区规划自然资源局</w:t>
            </w:r>
          </w:p>
        </w:tc>
        <w:tc>
          <w:tcPr>
            <w:tcW w:w="1333" w:type="dxa"/>
            <w:noWrap w:val="0"/>
            <w:vAlign w:val="center"/>
          </w:tcPr>
          <w:p>
            <w:pPr>
              <w:spacing w:line="440" w:lineRule="exact"/>
              <w:jc w:val="center"/>
              <w:rPr>
                <w:sz w:val="24"/>
              </w:rPr>
            </w:pPr>
            <w:r>
              <w:rPr>
                <w:sz w:val="24"/>
              </w:rPr>
              <w:t>区住房城乡建委、区市场监管局、各乡镇（街道）</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5</w:t>
            </w:r>
          </w:p>
        </w:tc>
        <w:tc>
          <w:tcPr>
            <w:tcW w:w="4418" w:type="dxa"/>
            <w:noWrap w:val="0"/>
            <w:vAlign w:val="center"/>
          </w:tcPr>
          <w:p>
            <w:pPr>
              <w:spacing w:line="440" w:lineRule="exact"/>
              <w:jc w:val="left"/>
              <w:rPr>
                <w:sz w:val="24"/>
              </w:rPr>
            </w:pPr>
            <w:r>
              <w:rPr>
                <w:sz w:val="24"/>
              </w:rPr>
              <w:t>进一步畅通大修基金使用渠道，鼓励居民使用大修基金加装电梯。</w:t>
            </w:r>
          </w:p>
        </w:tc>
        <w:tc>
          <w:tcPr>
            <w:tcW w:w="4665" w:type="dxa"/>
            <w:noWrap w:val="0"/>
            <w:vAlign w:val="center"/>
          </w:tcPr>
          <w:p>
            <w:pPr>
              <w:spacing w:line="440" w:lineRule="exact"/>
              <w:jc w:val="left"/>
              <w:rPr>
                <w:sz w:val="24"/>
              </w:rPr>
            </w:pPr>
            <w:r>
              <w:rPr>
                <w:sz w:val="24"/>
              </w:rPr>
              <w:t>1.2022年6月底前，制定居民使用大修基金加装电梯的规范性文件。</w:t>
            </w:r>
          </w:p>
          <w:p>
            <w:pPr>
              <w:spacing w:line="440" w:lineRule="exact"/>
              <w:jc w:val="left"/>
              <w:rPr>
                <w:sz w:val="24"/>
              </w:rPr>
            </w:pPr>
            <w:r>
              <w:rPr>
                <w:sz w:val="24"/>
              </w:rPr>
              <w:t>2.2023年底前，完成5台启动大修基金安装电梯。</w:t>
            </w:r>
          </w:p>
        </w:tc>
        <w:tc>
          <w:tcPr>
            <w:tcW w:w="1395" w:type="dxa"/>
            <w:noWrap w:val="0"/>
            <w:vAlign w:val="center"/>
          </w:tcPr>
          <w:p>
            <w:pPr>
              <w:spacing w:line="440" w:lineRule="exact"/>
              <w:jc w:val="center"/>
              <w:rPr>
                <w:sz w:val="24"/>
              </w:rPr>
            </w:pPr>
            <w:r>
              <w:rPr>
                <w:sz w:val="24"/>
              </w:rPr>
              <w:t>区住房城乡建委</w:t>
            </w:r>
          </w:p>
        </w:tc>
        <w:tc>
          <w:tcPr>
            <w:tcW w:w="1333" w:type="dxa"/>
            <w:noWrap w:val="0"/>
            <w:vAlign w:val="center"/>
          </w:tcPr>
          <w:p>
            <w:pPr>
              <w:spacing w:line="440" w:lineRule="exact"/>
              <w:jc w:val="center"/>
              <w:rPr>
                <w:sz w:val="24"/>
              </w:rPr>
            </w:pPr>
            <w:r>
              <w:rPr>
                <w:sz w:val="24"/>
              </w:rPr>
              <w:t>、区规划自然资源局、区市场监管局、各乡镇（街道）</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6</w:t>
            </w:r>
          </w:p>
        </w:tc>
        <w:tc>
          <w:tcPr>
            <w:tcW w:w="4418" w:type="dxa"/>
            <w:noWrap w:val="0"/>
            <w:vAlign w:val="center"/>
          </w:tcPr>
          <w:p>
            <w:pPr>
              <w:spacing w:line="440" w:lineRule="exact"/>
              <w:jc w:val="left"/>
              <w:rPr>
                <w:sz w:val="24"/>
              </w:rPr>
            </w:pPr>
            <w:r>
              <w:rPr>
                <w:sz w:val="24"/>
              </w:rPr>
              <w:t>建立健全区安委会特种设备安全办公室工作机制，明确成员单位工作职责，定期召开联席会议。</w:t>
            </w:r>
          </w:p>
        </w:tc>
        <w:tc>
          <w:tcPr>
            <w:tcW w:w="4665" w:type="dxa"/>
            <w:noWrap w:val="0"/>
            <w:vAlign w:val="center"/>
          </w:tcPr>
          <w:p>
            <w:pPr>
              <w:spacing w:line="440" w:lineRule="exact"/>
              <w:jc w:val="left"/>
              <w:rPr>
                <w:sz w:val="24"/>
              </w:rPr>
            </w:pPr>
            <w:r>
              <w:rPr>
                <w:sz w:val="24"/>
              </w:rPr>
              <w:t>每年度召开一次联席会议。</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各有关成员单位、正阳工业公园区管委会、各有关乡镇（街道）</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7</w:t>
            </w:r>
          </w:p>
        </w:tc>
        <w:tc>
          <w:tcPr>
            <w:tcW w:w="4418" w:type="dxa"/>
            <w:noWrap w:val="0"/>
            <w:vAlign w:val="center"/>
          </w:tcPr>
          <w:p>
            <w:pPr>
              <w:spacing w:line="440" w:lineRule="exact"/>
              <w:jc w:val="left"/>
              <w:rPr>
                <w:sz w:val="24"/>
              </w:rPr>
            </w:pPr>
            <w:r>
              <w:rPr>
                <w:sz w:val="24"/>
              </w:rPr>
              <w:t>大力支持老旧电梯更新改造，加大15年以上老旧电梯更新改造支持力度。</w:t>
            </w:r>
          </w:p>
        </w:tc>
        <w:tc>
          <w:tcPr>
            <w:tcW w:w="4665" w:type="dxa"/>
            <w:noWrap w:val="0"/>
            <w:vAlign w:val="center"/>
          </w:tcPr>
          <w:p>
            <w:pPr>
              <w:spacing w:line="440" w:lineRule="exact"/>
              <w:jc w:val="left"/>
              <w:rPr>
                <w:sz w:val="24"/>
              </w:rPr>
            </w:pPr>
            <w:r>
              <w:rPr>
                <w:sz w:val="24"/>
              </w:rPr>
              <w:t>1.2021年底完成5台老旧电梯更新改造。</w:t>
            </w:r>
          </w:p>
          <w:p>
            <w:pPr>
              <w:spacing w:line="440" w:lineRule="exact"/>
              <w:jc w:val="left"/>
              <w:rPr>
                <w:sz w:val="24"/>
              </w:rPr>
            </w:pPr>
            <w:r>
              <w:rPr>
                <w:sz w:val="24"/>
              </w:rPr>
              <w:t>2.2022年底累计完成10台。</w:t>
            </w:r>
          </w:p>
          <w:p>
            <w:pPr>
              <w:spacing w:line="440" w:lineRule="exact"/>
              <w:jc w:val="left"/>
              <w:rPr>
                <w:sz w:val="24"/>
              </w:rPr>
            </w:pPr>
            <w:r>
              <w:rPr>
                <w:sz w:val="24"/>
              </w:rPr>
              <w:t>3.2023年底累计完成15台。</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区住房城乡建委、各乡镇（街道）</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8</w:t>
            </w:r>
          </w:p>
        </w:tc>
        <w:tc>
          <w:tcPr>
            <w:tcW w:w="4418" w:type="dxa"/>
            <w:noWrap w:val="0"/>
            <w:vAlign w:val="center"/>
          </w:tcPr>
          <w:p>
            <w:pPr>
              <w:spacing w:line="440" w:lineRule="exact"/>
              <w:jc w:val="left"/>
              <w:rPr>
                <w:sz w:val="24"/>
              </w:rPr>
            </w:pPr>
            <w:r>
              <w:rPr>
                <w:sz w:val="24"/>
              </w:rPr>
              <w:t>制定黔江区按需维保工作实施方案，督促辖区内电梯维保单位积极参与按需维保试点工作，推动维保方式转变。</w:t>
            </w:r>
          </w:p>
        </w:tc>
        <w:tc>
          <w:tcPr>
            <w:tcW w:w="4665" w:type="dxa"/>
            <w:noWrap w:val="0"/>
            <w:vAlign w:val="center"/>
          </w:tcPr>
          <w:p>
            <w:pPr>
              <w:spacing w:line="440" w:lineRule="exact"/>
              <w:jc w:val="left"/>
              <w:rPr>
                <w:sz w:val="24"/>
              </w:rPr>
            </w:pPr>
            <w:r>
              <w:rPr>
                <w:sz w:val="24"/>
              </w:rPr>
              <w:t>1.2022年6月底前，结合市局相关方案规则，出台黔江电梯按需维保方案。</w:t>
            </w:r>
          </w:p>
          <w:p>
            <w:pPr>
              <w:spacing w:line="440" w:lineRule="exact"/>
              <w:jc w:val="left"/>
              <w:rPr>
                <w:sz w:val="24"/>
              </w:rPr>
            </w:pPr>
            <w:r>
              <w:rPr>
                <w:sz w:val="24"/>
              </w:rPr>
              <w:t>2.2023年底前实现全区电梯按需维保全覆盖。</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9</w:t>
            </w:r>
          </w:p>
        </w:tc>
        <w:tc>
          <w:tcPr>
            <w:tcW w:w="4418" w:type="dxa"/>
            <w:noWrap w:val="0"/>
            <w:vAlign w:val="center"/>
          </w:tcPr>
          <w:p>
            <w:pPr>
              <w:spacing w:line="440" w:lineRule="exact"/>
              <w:jc w:val="left"/>
              <w:rPr>
                <w:sz w:val="24"/>
              </w:rPr>
            </w:pPr>
            <w:r>
              <w:rPr>
                <w:sz w:val="24"/>
              </w:rPr>
              <w:t>在区内学校、医院、机场、保障性住房逐步推行电梯维保大包或全包模式。</w:t>
            </w:r>
          </w:p>
        </w:tc>
        <w:tc>
          <w:tcPr>
            <w:tcW w:w="4665" w:type="dxa"/>
            <w:noWrap w:val="0"/>
            <w:vAlign w:val="center"/>
          </w:tcPr>
          <w:p>
            <w:pPr>
              <w:spacing w:line="440" w:lineRule="exact"/>
              <w:jc w:val="left"/>
              <w:rPr>
                <w:sz w:val="24"/>
              </w:rPr>
            </w:pPr>
            <w:r>
              <w:rPr>
                <w:sz w:val="24"/>
              </w:rPr>
              <w:t>2023年12月底前，全区所有学校、医院、机场、保障性住房在用电梯实行维护保养大包或全包。</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区教委、区交通局、区卫生健康委、区国资委、各乡镇（街道）</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10</w:t>
            </w:r>
          </w:p>
        </w:tc>
        <w:tc>
          <w:tcPr>
            <w:tcW w:w="4418" w:type="dxa"/>
            <w:noWrap w:val="0"/>
            <w:vAlign w:val="center"/>
          </w:tcPr>
          <w:p>
            <w:pPr>
              <w:spacing w:line="440" w:lineRule="exact"/>
              <w:jc w:val="left"/>
              <w:rPr>
                <w:sz w:val="24"/>
              </w:rPr>
            </w:pPr>
            <w:r>
              <w:rPr>
                <w:sz w:val="24"/>
              </w:rPr>
              <w:t>全面推行无纸化维保，不再保留纸质维保记录，提高电梯维保信息化程度。</w:t>
            </w:r>
          </w:p>
        </w:tc>
        <w:tc>
          <w:tcPr>
            <w:tcW w:w="4665" w:type="dxa"/>
            <w:noWrap w:val="0"/>
            <w:vAlign w:val="center"/>
          </w:tcPr>
          <w:p>
            <w:pPr>
              <w:spacing w:line="440" w:lineRule="exact"/>
              <w:jc w:val="left"/>
              <w:rPr>
                <w:sz w:val="24"/>
              </w:rPr>
            </w:pPr>
            <w:r>
              <w:rPr>
                <w:sz w:val="24"/>
              </w:rPr>
              <w:t>1.2021年底前，启动无纸化维保平台运用。</w:t>
            </w:r>
          </w:p>
          <w:p>
            <w:pPr>
              <w:spacing w:line="440" w:lineRule="exact"/>
              <w:jc w:val="left"/>
              <w:rPr>
                <w:sz w:val="24"/>
              </w:rPr>
            </w:pPr>
            <w:r>
              <w:rPr>
                <w:sz w:val="24"/>
              </w:rPr>
              <w:t>2.2022年底前，实现无纸化维保全覆盖。</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11</w:t>
            </w:r>
          </w:p>
        </w:tc>
        <w:tc>
          <w:tcPr>
            <w:tcW w:w="4418" w:type="dxa"/>
            <w:noWrap w:val="0"/>
            <w:vAlign w:val="center"/>
          </w:tcPr>
          <w:p>
            <w:pPr>
              <w:spacing w:line="440" w:lineRule="exact"/>
              <w:jc w:val="left"/>
              <w:rPr>
                <w:sz w:val="24"/>
              </w:rPr>
            </w:pPr>
            <w:r>
              <w:rPr>
                <w:sz w:val="24"/>
              </w:rPr>
              <w:t>积极推进电梯调整检验检测方式试点。</w:t>
            </w:r>
          </w:p>
        </w:tc>
        <w:tc>
          <w:tcPr>
            <w:tcW w:w="4665" w:type="dxa"/>
            <w:noWrap w:val="0"/>
            <w:vAlign w:val="center"/>
          </w:tcPr>
          <w:p>
            <w:pPr>
              <w:spacing w:line="440" w:lineRule="exact"/>
              <w:jc w:val="left"/>
              <w:rPr>
                <w:sz w:val="24"/>
              </w:rPr>
            </w:pPr>
            <w:r>
              <w:rPr>
                <w:sz w:val="24"/>
              </w:rPr>
              <w:t>1.2022年底前，完成公众聚集场所电梯检验检测试点工作。</w:t>
            </w:r>
          </w:p>
          <w:p>
            <w:pPr>
              <w:spacing w:line="440" w:lineRule="exact"/>
              <w:jc w:val="left"/>
              <w:rPr>
                <w:sz w:val="24"/>
              </w:rPr>
            </w:pPr>
            <w:r>
              <w:rPr>
                <w:sz w:val="24"/>
              </w:rPr>
              <w:t>2.2023年底前，全区实现调整电梯检验检测方式全覆盖。</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12</w:t>
            </w:r>
          </w:p>
        </w:tc>
        <w:tc>
          <w:tcPr>
            <w:tcW w:w="4418" w:type="dxa"/>
            <w:noWrap w:val="0"/>
            <w:vAlign w:val="center"/>
          </w:tcPr>
          <w:p>
            <w:pPr>
              <w:spacing w:line="440" w:lineRule="exact"/>
              <w:jc w:val="left"/>
              <w:rPr>
                <w:sz w:val="24"/>
              </w:rPr>
            </w:pPr>
            <w:r>
              <w:rPr>
                <w:sz w:val="24"/>
              </w:rPr>
              <w:t>加大电梯“96333”应急处置服务平台推广和宣传力度，鼓励广大乘梯群众在紧急情况下手机拨打号码96333进行呼救，充分发挥其应急救援作用，最大限度减少伤亡。</w:t>
            </w:r>
          </w:p>
        </w:tc>
        <w:tc>
          <w:tcPr>
            <w:tcW w:w="4665" w:type="dxa"/>
            <w:noWrap w:val="0"/>
            <w:vAlign w:val="center"/>
          </w:tcPr>
          <w:p>
            <w:pPr>
              <w:spacing w:line="440" w:lineRule="exact"/>
              <w:jc w:val="left"/>
              <w:rPr>
                <w:sz w:val="24"/>
              </w:rPr>
            </w:pPr>
            <w:r>
              <w:rPr>
                <w:sz w:val="24"/>
              </w:rPr>
              <w:t>每年度开展电梯安全知识进社区、进企业、进学校宣传活动，在电梯内张贴电梯识别二维码和96333宣传画。</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区应急局</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13</w:t>
            </w:r>
          </w:p>
        </w:tc>
        <w:tc>
          <w:tcPr>
            <w:tcW w:w="4418" w:type="dxa"/>
            <w:noWrap w:val="0"/>
            <w:vAlign w:val="center"/>
          </w:tcPr>
          <w:p>
            <w:pPr>
              <w:spacing w:line="440" w:lineRule="exact"/>
              <w:jc w:val="left"/>
              <w:rPr>
                <w:sz w:val="24"/>
              </w:rPr>
            </w:pPr>
            <w:r>
              <w:rPr>
                <w:sz w:val="24"/>
              </w:rPr>
              <w:t>各基础电信营运企业要加强电梯轿厢内和井道移动通信信号覆盖，推进智能电梯信息安全工作。</w:t>
            </w:r>
          </w:p>
        </w:tc>
        <w:tc>
          <w:tcPr>
            <w:tcW w:w="4665" w:type="dxa"/>
            <w:noWrap w:val="0"/>
            <w:vAlign w:val="center"/>
          </w:tcPr>
          <w:p>
            <w:pPr>
              <w:spacing w:line="440" w:lineRule="exact"/>
              <w:jc w:val="left"/>
              <w:rPr>
                <w:sz w:val="24"/>
              </w:rPr>
            </w:pPr>
            <w:r>
              <w:rPr>
                <w:sz w:val="24"/>
              </w:rPr>
              <w:t>2021年12月底前，实现全覆盖。</w:t>
            </w:r>
          </w:p>
        </w:tc>
        <w:tc>
          <w:tcPr>
            <w:tcW w:w="1395" w:type="dxa"/>
            <w:noWrap w:val="0"/>
            <w:vAlign w:val="center"/>
          </w:tcPr>
          <w:p>
            <w:pPr>
              <w:spacing w:line="440" w:lineRule="exact"/>
              <w:jc w:val="center"/>
              <w:rPr>
                <w:sz w:val="24"/>
              </w:rPr>
            </w:pPr>
            <w:r>
              <w:rPr>
                <w:sz w:val="24"/>
              </w:rPr>
              <w:t>区经济信息委</w:t>
            </w:r>
          </w:p>
        </w:tc>
        <w:tc>
          <w:tcPr>
            <w:tcW w:w="1333" w:type="dxa"/>
            <w:noWrap w:val="0"/>
            <w:vAlign w:val="center"/>
          </w:tcPr>
          <w:p>
            <w:pPr>
              <w:spacing w:line="440" w:lineRule="exact"/>
              <w:jc w:val="center"/>
              <w:rPr>
                <w:sz w:val="24"/>
              </w:rPr>
            </w:pPr>
            <w:r>
              <w:rPr>
                <w:sz w:val="24"/>
              </w:rPr>
              <w:t>区市场监管局</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14</w:t>
            </w:r>
          </w:p>
        </w:tc>
        <w:tc>
          <w:tcPr>
            <w:tcW w:w="4418" w:type="dxa"/>
            <w:noWrap w:val="0"/>
            <w:vAlign w:val="center"/>
          </w:tcPr>
          <w:p>
            <w:pPr>
              <w:spacing w:line="440" w:lineRule="exact"/>
              <w:jc w:val="left"/>
              <w:rPr>
                <w:sz w:val="24"/>
              </w:rPr>
            </w:pPr>
            <w:r>
              <w:rPr>
                <w:sz w:val="24"/>
              </w:rPr>
              <w:t>将电梯质量安全工作纳入区政府质量安全责任考核体系</w:t>
            </w:r>
          </w:p>
        </w:tc>
        <w:tc>
          <w:tcPr>
            <w:tcW w:w="4665" w:type="dxa"/>
            <w:noWrap w:val="0"/>
            <w:vAlign w:val="center"/>
          </w:tcPr>
          <w:p>
            <w:pPr>
              <w:spacing w:line="440" w:lineRule="exact"/>
              <w:jc w:val="left"/>
              <w:rPr>
                <w:sz w:val="24"/>
              </w:rPr>
            </w:pPr>
            <w:r>
              <w:rPr>
                <w:sz w:val="24"/>
              </w:rPr>
              <w:t>1.2021年底前，完成和区考核办前期对接工作。</w:t>
            </w:r>
          </w:p>
          <w:p>
            <w:pPr>
              <w:spacing w:line="440" w:lineRule="exact"/>
              <w:jc w:val="left"/>
              <w:rPr>
                <w:sz w:val="24"/>
              </w:rPr>
            </w:pPr>
            <w:r>
              <w:rPr>
                <w:sz w:val="24"/>
              </w:rPr>
              <w:t>2.2022年6月底前，纳入政府考核体系。</w:t>
            </w:r>
          </w:p>
        </w:tc>
        <w:tc>
          <w:tcPr>
            <w:tcW w:w="1395" w:type="dxa"/>
            <w:noWrap w:val="0"/>
            <w:vAlign w:val="center"/>
          </w:tcPr>
          <w:p>
            <w:pPr>
              <w:spacing w:line="440" w:lineRule="exact"/>
              <w:jc w:val="center"/>
              <w:rPr>
                <w:sz w:val="24"/>
              </w:rPr>
            </w:pPr>
            <w:r>
              <w:rPr>
                <w:sz w:val="24"/>
              </w:rPr>
              <w:t>区市场监管局</w:t>
            </w:r>
          </w:p>
        </w:tc>
        <w:tc>
          <w:tcPr>
            <w:tcW w:w="1333" w:type="dxa"/>
            <w:noWrap w:val="0"/>
            <w:vAlign w:val="center"/>
          </w:tcPr>
          <w:p>
            <w:pPr>
              <w:spacing w:line="440" w:lineRule="exact"/>
              <w:jc w:val="center"/>
              <w:rPr>
                <w:sz w:val="24"/>
              </w:rPr>
            </w:pPr>
            <w:r>
              <w:rPr>
                <w:sz w:val="24"/>
              </w:rPr>
              <w:t>/</w:t>
            </w:r>
          </w:p>
        </w:tc>
        <w:tc>
          <w:tcPr>
            <w:tcW w:w="725" w:type="dxa"/>
            <w:noWrap w:val="0"/>
            <w:vAlign w:val="center"/>
          </w:tcPr>
          <w:p>
            <w:pPr>
              <w:spacing w:line="4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3" w:type="dxa"/>
            <w:noWrap w:val="0"/>
            <w:vAlign w:val="center"/>
          </w:tcPr>
          <w:p>
            <w:pPr>
              <w:spacing w:line="440" w:lineRule="exact"/>
              <w:jc w:val="center"/>
              <w:rPr>
                <w:sz w:val="24"/>
              </w:rPr>
            </w:pPr>
            <w:r>
              <w:rPr>
                <w:sz w:val="24"/>
              </w:rPr>
              <w:t>15</w:t>
            </w:r>
          </w:p>
        </w:tc>
        <w:tc>
          <w:tcPr>
            <w:tcW w:w="4418" w:type="dxa"/>
            <w:noWrap w:val="0"/>
            <w:vAlign w:val="center"/>
          </w:tcPr>
          <w:p>
            <w:pPr>
              <w:spacing w:line="440" w:lineRule="exact"/>
              <w:jc w:val="left"/>
              <w:rPr>
                <w:sz w:val="24"/>
              </w:rPr>
            </w:pPr>
            <w:r>
              <w:rPr>
                <w:sz w:val="24"/>
              </w:rPr>
              <w:t>要将电梯应急救援纳入本区应急救援体系，统一协调指挥电梯应急救援工作。</w:t>
            </w:r>
          </w:p>
        </w:tc>
        <w:tc>
          <w:tcPr>
            <w:tcW w:w="4665" w:type="dxa"/>
            <w:noWrap w:val="0"/>
            <w:vAlign w:val="center"/>
          </w:tcPr>
          <w:p>
            <w:pPr>
              <w:spacing w:line="440" w:lineRule="exact"/>
              <w:jc w:val="left"/>
              <w:rPr>
                <w:sz w:val="24"/>
              </w:rPr>
            </w:pPr>
            <w:r>
              <w:rPr>
                <w:sz w:val="24"/>
              </w:rPr>
              <w:t>2021年底前完成相关工作。</w:t>
            </w:r>
          </w:p>
        </w:tc>
        <w:tc>
          <w:tcPr>
            <w:tcW w:w="1395" w:type="dxa"/>
            <w:noWrap w:val="0"/>
            <w:vAlign w:val="center"/>
          </w:tcPr>
          <w:p>
            <w:pPr>
              <w:spacing w:line="440" w:lineRule="exact"/>
              <w:jc w:val="center"/>
              <w:rPr>
                <w:sz w:val="24"/>
              </w:rPr>
            </w:pPr>
            <w:r>
              <w:rPr>
                <w:sz w:val="24"/>
              </w:rPr>
              <w:t>区应急局</w:t>
            </w:r>
          </w:p>
        </w:tc>
        <w:tc>
          <w:tcPr>
            <w:tcW w:w="1333" w:type="dxa"/>
            <w:noWrap w:val="0"/>
            <w:vAlign w:val="center"/>
          </w:tcPr>
          <w:p>
            <w:pPr>
              <w:spacing w:line="440" w:lineRule="exact"/>
              <w:jc w:val="center"/>
              <w:rPr>
                <w:sz w:val="24"/>
              </w:rPr>
            </w:pPr>
            <w:r>
              <w:rPr>
                <w:sz w:val="24"/>
              </w:rPr>
              <w:t>区市场监管局</w:t>
            </w:r>
          </w:p>
        </w:tc>
        <w:tc>
          <w:tcPr>
            <w:tcW w:w="725" w:type="dxa"/>
            <w:noWrap w:val="0"/>
            <w:vAlign w:val="center"/>
          </w:tcPr>
          <w:p>
            <w:pPr>
              <w:spacing w:line="440" w:lineRule="exact"/>
              <w:jc w:val="center"/>
              <w:rPr>
                <w:sz w:val="24"/>
              </w:rPr>
            </w:pPr>
          </w:p>
        </w:tc>
      </w:tr>
    </w:tbl>
    <w:p>
      <w:pPr>
        <w:spacing w:line="579" w:lineRule="exact"/>
        <w:jc w:val="center"/>
        <w:rPr>
          <w:sz w:val="18"/>
          <w:szCs w:val="18"/>
        </w:rPr>
        <w:sectPr>
          <w:pgSz w:w="16838" w:h="11906" w:orient="landscape"/>
          <w:pgMar w:top="1587" w:right="2098" w:bottom="1474" w:left="1985" w:header="851" w:footer="992" w:gutter="0"/>
          <w:cols w:space="720" w:num="1"/>
          <w:docGrid w:type="linesAndChars" w:linePitch="589" w:charSpace="-849"/>
        </w:sectPr>
      </w:pPr>
    </w:p>
    <w:p>
      <w:pPr>
        <w:spacing w:line="579" w:lineRule="exact"/>
        <w:jc w:val="center"/>
        <w:rPr>
          <w:sz w:val="18"/>
          <w:szCs w:val="18"/>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spacing w:line="440" w:lineRule="exact"/>
        <w:ind w:firstLine="276" w:firstLineChars="100"/>
        <w:rPr>
          <w:sz w:val="28"/>
          <w:szCs w:val="28"/>
        </w:rPr>
      </w:pPr>
    </w:p>
    <w:p>
      <w:pPr>
        <w:spacing w:line="440" w:lineRule="exact"/>
        <w:ind w:firstLine="276" w:firstLineChars="100"/>
        <w:rPr>
          <w:rFonts w:eastAsia="方正小标宋_GBK"/>
          <w:sz w:val="44"/>
          <w:szCs w:val="44"/>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314325</wp:posOffset>
                </wp:positionV>
                <wp:extent cx="5615940" cy="0"/>
                <wp:effectExtent l="0" t="0" r="0" b="0"/>
                <wp:wrapNone/>
                <wp:docPr id="2" name="直线 2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28" o:spid="_x0000_s1026" o:spt="20" style="position:absolute;left:0pt;margin-left:2.5pt;margin-top:24.75pt;height:0pt;width:442.2pt;z-index:251659264;mso-width-relative:page;mso-height-relative:page;" filled="f" stroked="t" coordsize="21600,21600" o:gfxdata="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A8Mcp1wAA&#10;AAcBAAAPAAAAAAAAAAEAIAAAADgAAABkcnMvZG93bnJldi54bWxQSwECFAAUAAAACACHTuJAVN/q&#10;m9ABAACSAwAADgAAAAAAAAABACAAAAA8AQAAZHJzL2Uyb0RvYy54bWxQSwUGAAAAAAYABgBZAQAA&#10;fgUAAAAA&#10;">
                <v:fill on="f" focussize="0,0"/>
                <v:stroke weight="1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19050</wp:posOffset>
                </wp:positionV>
                <wp:extent cx="5615940" cy="0"/>
                <wp:effectExtent l="0" t="0" r="0" b="0"/>
                <wp:wrapNone/>
                <wp:docPr id="1" name="直线 29"/>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29" o:spid="_x0000_s1026" o:spt="20" style="position:absolute;left:0pt;margin-left:1.75pt;margin-top:1.5pt;height:0pt;width:442.2pt;z-index:251658240;mso-width-relative:page;mso-height-relative:page;" filled="f" stroked="t" coordsize="21600,21600" o:gfxdata="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JVfhA9MAAAAFAQAA&#10;DwAAAAAAAAABACAAAAA4AAAAZHJzL2Rvd25yZXYueG1sUEsBAhQAFAAAAAgAh07iQI1ajmzPAQAA&#10;kQMAAA4AAAAAAAAAAQAgAAAAOAEAAGRycy9lMm9Eb2MueG1sUEsFBgAAAAAGAAYAWQEAAHkFAAAA&#10;AA==&#10;">
                <v:fill on="f" focussize="0,0"/>
                <v:stroke color="#000000" joinstyle="round"/>
                <v:imagedata o:title=""/>
                <o:lock v:ext="edit" aspectratio="f"/>
              </v:line>
            </w:pict>
          </mc:Fallback>
        </mc:AlternateContent>
      </w:r>
      <w:r>
        <w:rPr>
          <w:sz w:val="28"/>
          <w:szCs w:val="28"/>
        </w:rPr>
        <w:t>重庆市黔江区人民政府办公室                2021年11月</w:t>
      </w:r>
      <w:r>
        <w:rPr>
          <w:rFonts w:hint="eastAsia"/>
          <w:sz w:val="28"/>
          <w:szCs w:val="28"/>
        </w:rPr>
        <w:t>19</w:t>
      </w:r>
      <w:r>
        <w:rPr>
          <w:sz w:val="28"/>
          <w:szCs w:val="28"/>
        </w:rPr>
        <w:t>日印发</w:t>
      </w:r>
    </w:p>
    <w:sectPr>
      <w:pgSz w:w="11906" w:h="16838"/>
      <w:pgMar w:top="2098" w:right="1474" w:bottom="1985" w:left="1587" w:header="851" w:footer="992" w:gutter="0"/>
      <w:cols w:space="72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Tahoma">
    <w:altName w:val="Droid Sans"/>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-204470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ind w:left="320" w:leftChars="100" w:right="320" w:rightChars="100"/>
                            <w:rPr>
                              <w:rStyle w:val="11"/>
                              <w:rFonts w:ascii="宋体" w:cs="Times New Roman"/>
                              <w:sz w:val="28"/>
                              <w:szCs w:val="28"/>
                            </w:rPr>
                          </w:pPr>
                          <w:r>
                            <w:rPr>
                              <w:rStyle w:val="11"/>
                              <w:rFonts w:ascii="宋体" w:hAnsi="宋体" w:cs="宋体"/>
                              <w:sz w:val="28"/>
                              <w:szCs w:val="28"/>
                            </w:rPr>
                            <w:t xml:space="preserve">— </w:t>
                          </w:r>
                          <w:r>
                            <w:rPr>
                              <w:rFonts w:ascii="宋体" w:hAnsi="宋体" w:cs="宋体"/>
                              <w:sz w:val="28"/>
                              <w:szCs w:val="28"/>
                            </w:rPr>
                            <w:fldChar w:fldCharType="begin"/>
                          </w:r>
                          <w:r>
                            <w:rPr>
                              <w:rStyle w:val="11"/>
                              <w:rFonts w:ascii="宋体" w:hAnsi="宋体" w:cs="宋体"/>
                              <w:sz w:val="28"/>
                              <w:szCs w:val="28"/>
                            </w:rPr>
                            <w:instrText xml:space="preserve">PAGE  </w:instrText>
                          </w:r>
                          <w:r>
                            <w:rPr>
                              <w:rFonts w:ascii="宋体" w:hAnsi="宋体" w:cs="宋体"/>
                              <w:sz w:val="28"/>
                              <w:szCs w:val="28"/>
                            </w:rPr>
                            <w:fldChar w:fldCharType="separate"/>
                          </w:r>
                          <w:r>
                            <w:rPr>
                              <w:rStyle w:val="11"/>
                              <w:rFonts w:ascii="宋体" w:hAnsi="宋体" w:cs="宋体"/>
                              <w:sz w:val="28"/>
                              <w:szCs w:val="28"/>
                              <w:lang/>
                            </w:rPr>
                            <w:t>18</w:t>
                          </w:r>
                          <w:r>
                            <w:rPr>
                              <w:rFonts w:ascii="宋体" w:hAnsi="宋体" w:cs="宋体"/>
                              <w:sz w:val="28"/>
                              <w:szCs w:val="28"/>
                            </w:rPr>
                            <w:fldChar w:fldCharType="end"/>
                          </w:r>
                          <w:r>
                            <w:rPr>
                              <w:rStyle w:val="11"/>
                              <w:rFonts w:ascii="宋体" w:hAnsi="宋体" w:cs="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16.1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iTixf1QAAAAgBAAAPAAAAAAAAAAEAIAAAADgAAABkcnMvZG93&#10;bnJldi54bWxQSwECFAAUAAAACACHTuJAcuUwfbQBAABSAwAADgAAAAAAAAABACAAAAA6AQAAZHJz&#10;L2Uyb0RvYy54bWxQSwUGAAAAAAYABgBZAQAAYAUAAAAA&#10;">
              <v:fill on="f" focussize="0,0"/>
              <v:stroke on="f"/>
              <v:imagedata o:title=""/>
              <o:lock v:ext="edit" aspectratio="f"/>
              <v:textbox inset="0mm,0mm,0mm,0mm" style="mso-fit-shape-to-text:t;">
                <w:txbxContent>
                  <w:p>
                    <w:pPr>
                      <w:pStyle w:val="4"/>
                      <w:ind w:left="320" w:leftChars="100" w:right="320" w:rightChars="100"/>
                      <w:rPr>
                        <w:rStyle w:val="11"/>
                        <w:rFonts w:ascii="宋体" w:cs="Times New Roman"/>
                        <w:sz w:val="28"/>
                        <w:szCs w:val="28"/>
                      </w:rPr>
                    </w:pPr>
                    <w:r>
                      <w:rPr>
                        <w:rStyle w:val="11"/>
                        <w:rFonts w:ascii="宋体" w:hAnsi="宋体" w:cs="宋体"/>
                        <w:sz w:val="28"/>
                        <w:szCs w:val="28"/>
                      </w:rPr>
                      <w:t xml:space="preserve">— </w:t>
                    </w:r>
                    <w:r>
                      <w:rPr>
                        <w:rFonts w:ascii="宋体" w:hAnsi="宋体" w:cs="宋体"/>
                        <w:sz w:val="28"/>
                        <w:szCs w:val="28"/>
                      </w:rPr>
                      <w:fldChar w:fldCharType="begin"/>
                    </w:r>
                    <w:r>
                      <w:rPr>
                        <w:rStyle w:val="11"/>
                        <w:rFonts w:ascii="宋体" w:hAnsi="宋体" w:cs="宋体"/>
                        <w:sz w:val="28"/>
                        <w:szCs w:val="28"/>
                      </w:rPr>
                      <w:instrText xml:space="preserve">PAGE  </w:instrText>
                    </w:r>
                    <w:r>
                      <w:rPr>
                        <w:rFonts w:ascii="宋体" w:hAnsi="宋体" w:cs="宋体"/>
                        <w:sz w:val="28"/>
                        <w:szCs w:val="28"/>
                      </w:rPr>
                      <w:fldChar w:fldCharType="separate"/>
                    </w:r>
                    <w:r>
                      <w:rPr>
                        <w:rStyle w:val="11"/>
                        <w:rFonts w:ascii="宋体" w:hAnsi="宋体" w:cs="宋体"/>
                        <w:sz w:val="28"/>
                        <w:szCs w:val="28"/>
                        <w:lang/>
                      </w:rPr>
                      <w:t>18</w:t>
                    </w:r>
                    <w:r>
                      <w:rPr>
                        <w:rFonts w:ascii="宋体" w:hAnsi="宋体" w:cs="宋体"/>
                        <w:sz w:val="28"/>
                        <w:szCs w:val="28"/>
                      </w:rPr>
                      <w:fldChar w:fldCharType="end"/>
                    </w:r>
                    <w:r>
                      <w:rPr>
                        <w:rStyle w:val="11"/>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89"/>
  <w:displayHorizontalDrawingGridEvery w:val="0"/>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AE"/>
    <w:rsid w:val="002D42D2"/>
    <w:rsid w:val="00821E39"/>
    <w:rsid w:val="008A6EBF"/>
    <w:rsid w:val="008B2076"/>
    <w:rsid w:val="009150AE"/>
    <w:rsid w:val="009C0896"/>
    <w:rsid w:val="00AB76C3"/>
    <w:rsid w:val="00B578A8"/>
    <w:rsid w:val="00C264E6"/>
    <w:rsid w:val="00CC3D00"/>
    <w:rsid w:val="00DE7DC4"/>
    <w:rsid w:val="00E7692D"/>
    <w:rsid w:val="00F50111"/>
    <w:rsid w:val="00F63788"/>
    <w:rsid w:val="01A41C04"/>
    <w:rsid w:val="071D2E27"/>
    <w:rsid w:val="0AEF37D3"/>
    <w:rsid w:val="0BC4244A"/>
    <w:rsid w:val="0DBE3303"/>
    <w:rsid w:val="1089374B"/>
    <w:rsid w:val="10A57AB8"/>
    <w:rsid w:val="13680345"/>
    <w:rsid w:val="144300C0"/>
    <w:rsid w:val="177F7A16"/>
    <w:rsid w:val="1DD923CF"/>
    <w:rsid w:val="1E902BBE"/>
    <w:rsid w:val="21A86728"/>
    <w:rsid w:val="21E57F7E"/>
    <w:rsid w:val="238937D3"/>
    <w:rsid w:val="25013BA8"/>
    <w:rsid w:val="25B70075"/>
    <w:rsid w:val="28B51DA4"/>
    <w:rsid w:val="2AD23502"/>
    <w:rsid w:val="2F624158"/>
    <w:rsid w:val="2FDE3858"/>
    <w:rsid w:val="323C0727"/>
    <w:rsid w:val="344D3B65"/>
    <w:rsid w:val="35173E5B"/>
    <w:rsid w:val="37537EF9"/>
    <w:rsid w:val="39634096"/>
    <w:rsid w:val="40104112"/>
    <w:rsid w:val="41D27C3E"/>
    <w:rsid w:val="43C47535"/>
    <w:rsid w:val="440709A4"/>
    <w:rsid w:val="48195B48"/>
    <w:rsid w:val="4C6E65FC"/>
    <w:rsid w:val="4F0A0AA6"/>
    <w:rsid w:val="561615A2"/>
    <w:rsid w:val="566D227D"/>
    <w:rsid w:val="59B24DC3"/>
    <w:rsid w:val="5C2359B1"/>
    <w:rsid w:val="5CFD4E59"/>
    <w:rsid w:val="640072C3"/>
    <w:rsid w:val="6A220BCA"/>
    <w:rsid w:val="6BCB6202"/>
    <w:rsid w:val="6E4D37BC"/>
    <w:rsid w:val="6EAB281A"/>
    <w:rsid w:val="6EDC302F"/>
    <w:rsid w:val="71E35AA0"/>
    <w:rsid w:val="74A702EE"/>
    <w:rsid w:val="75D2473A"/>
    <w:rsid w:val="7B6A04A6"/>
    <w:rsid w:val="F9A39C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Balloon Text"/>
    <w:basedOn w:val="1"/>
    <w:link w:val="14"/>
    <w:uiPriority w:val="0"/>
    <w:rPr>
      <w:sz w:val="18"/>
      <w:szCs w:val="18"/>
    </w:rPr>
  </w:style>
  <w:style w:type="paragraph" w:styleId="4">
    <w:name w:val="footer"/>
    <w:basedOn w:val="1"/>
    <w:link w:val="13"/>
    <w:uiPriority w:val="0"/>
    <w:pPr>
      <w:tabs>
        <w:tab w:val="center" w:pos="4153"/>
        <w:tab w:val="right" w:pos="8306"/>
      </w:tabs>
      <w:snapToGrid w:val="0"/>
      <w:jc w:val="left"/>
    </w:pPr>
    <w:rPr>
      <w:rFonts w:ascii="Calibri" w:hAnsi="Calibri" w:cs="Calibri"/>
      <w:sz w:val="18"/>
      <w:szCs w:val="18"/>
    </w:rPr>
  </w:style>
  <w:style w:type="paragraph" w:styleId="5">
    <w:name w:val="header"/>
    <w:basedOn w:val="1"/>
    <w:link w:val="12"/>
    <w:semiHidden/>
    <w:uiPriority w:val="0"/>
    <w:pPr>
      <w:pBdr>
        <w:bottom w:val="single" w:color="auto" w:sz="6" w:space="1"/>
      </w:pBdr>
      <w:tabs>
        <w:tab w:val="center" w:pos="4153"/>
        <w:tab w:val="right" w:pos="8306"/>
      </w:tabs>
      <w:snapToGrid w:val="0"/>
      <w:jc w:val="center"/>
    </w:pPr>
    <w:rPr>
      <w:rFonts w:ascii="Calibri" w:hAnsi="Calibri" w:cs="Calibri"/>
      <w:sz w:val="18"/>
      <w:szCs w:val="18"/>
    </w:rPr>
  </w:style>
  <w:style w:type="paragraph" w:styleId="6">
    <w:name w:val="Body Text 2"/>
    <w:basedOn w:val="1"/>
    <w:qFormat/>
    <w:uiPriority w:val="0"/>
    <w:pPr>
      <w:spacing w:after="120" w:line="480" w:lineRule="auto"/>
    </w:pPr>
    <w:rPr>
      <w:rFonts w:ascii="Tahoma" w:hAnsi="Tahoma" w:eastAsia="宋体"/>
      <w:sz w:val="21"/>
      <w:szCs w:val="24"/>
    </w:rPr>
  </w:style>
  <w:style w:type="paragraph" w:styleId="7">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9">
    <w:name w:val="Table Grid"/>
    <w:basedOn w:val="8"/>
    <w:qFormat/>
    <w:uiPriority w:val="59"/>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uiPriority w:val="0"/>
  </w:style>
  <w:style w:type="character" w:customStyle="1" w:styleId="12">
    <w:name w:val="页眉 Char"/>
    <w:link w:val="5"/>
    <w:semiHidden/>
    <w:locked/>
    <w:uiPriority w:val="0"/>
    <w:rPr>
      <w:rFonts w:ascii="Calibri" w:hAnsi="Calibri" w:eastAsia="宋体" w:cs="Calibri"/>
      <w:kern w:val="2"/>
      <w:sz w:val="18"/>
      <w:szCs w:val="18"/>
      <w:lang w:val="en-US" w:eastAsia="zh-CN" w:bidi="ar-SA"/>
    </w:rPr>
  </w:style>
  <w:style w:type="character" w:customStyle="1" w:styleId="13">
    <w:name w:val="页脚 Char"/>
    <w:link w:val="4"/>
    <w:locked/>
    <w:uiPriority w:val="0"/>
    <w:rPr>
      <w:rFonts w:ascii="Calibri" w:hAnsi="Calibri" w:eastAsia="宋体" w:cs="Calibri"/>
      <w:kern w:val="2"/>
      <w:sz w:val="18"/>
      <w:szCs w:val="18"/>
      <w:lang w:val="en-US" w:eastAsia="zh-CN" w:bidi="ar-SA"/>
    </w:rPr>
  </w:style>
  <w:style w:type="character" w:customStyle="1" w:styleId="14">
    <w:name w:val="批注框文本 Char"/>
    <w:link w:val="3"/>
    <w:uiPriority w:val="0"/>
    <w:rPr>
      <w:rFonts w:eastAsia="方正仿宋_GBK"/>
      <w:kern w:val="2"/>
      <w:sz w:val="18"/>
      <w:szCs w:val="18"/>
    </w:rPr>
  </w:style>
  <w:style w:type="paragraph" w:customStyle="1" w:styleId="15">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1140</Words>
  <Characters>6500</Characters>
  <Lines>54</Lines>
  <Paragraphs>15</Paragraphs>
  <TotalTime>0</TotalTime>
  <ScaleCrop>false</ScaleCrop>
  <LinksUpToDate>false</LinksUpToDate>
  <CharactersWithSpaces>7625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2021-11-17T16:59:00Z</dcterms:created>
  <dc:creator>李晖</dc:creator>
  <cp:lastModifiedBy> </cp:lastModifiedBy>
  <cp:lastPrinted>2021-11-18T14:50:00Z</cp:lastPrinted>
  <dcterms:modified xsi:type="dcterms:W3CDTF">2022-11-21T15:08:12Z</dcterms:modified>
  <dc:title>重庆市黔江区市场监督管理局文件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308E1D7953B344A99072F4AA83607E0F</vt:lpwstr>
  </property>
</Properties>
</file>