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autoSpaceDN/>
        <w:bidi w:val="0"/>
        <w:snapToGrid/>
        <w:spacing w:line="595" w:lineRule="exact"/>
        <w:rPr>
          <w:rFonts w:hint="default"/>
        </w:rPr>
      </w:pP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关于废止部分行政规范性文件的决定</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ascii="Times New Roman" w:hAnsi="Times New Roman" w:cs="Times New Roman"/>
          <w:szCs w:val="32"/>
          <w:highlight w:val="none"/>
        </w:rPr>
      </w:pPr>
      <w:r>
        <w:rPr>
          <w:rFonts w:hint="default" w:ascii="Times New Roman" w:hAnsi="Times New Roman" w:eastAsia="方正仿宋_GBK" w:cs="Times New Roman"/>
          <w:sz w:val="32"/>
          <w:szCs w:val="32"/>
          <w:lang w:eastAsia="zh-CN"/>
        </w:rPr>
        <w:t>黔江府发〔20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eastAsia="zh-CN"/>
        </w:rPr>
        <w:t>号</w:t>
      </w:r>
    </w:p>
    <w:p>
      <w:pPr>
        <w:pStyle w:val="2"/>
        <w:keepNext w:val="0"/>
        <w:keepLines w:val="0"/>
        <w:pageBreakBefore w:val="0"/>
        <w:widowControl w:val="0"/>
        <w:kinsoku/>
        <w:wordWrap/>
        <w:overflowPunct/>
        <w:topLinePunct w:val="0"/>
        <w:autoSpaceDN/>
        <w:bidi w:val="0"/>
        <w:snapToGrid/>
        <w:spacing w:line="595"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根据《重庆市行政规范性文件管理办法》（重庆市人民政府令第329号）相关</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经五届区政府第</w:t>
      </w:r>
      <w:r>
        <w:rPr>
          <w:rFonts w:hint="eastAsia" w:ascii="Times New Roman" w:hAnsi="Times New Roman" w:eastAsia="方正仿宋_GBK" w:cs="Times New Roman"/>
          <w:sz w:val="32"/>
          <w:szCs w:val="32"/>
          <w:lang w:val="en-US" w:eastAsia="zh-CN"/>
        </w:rPr>
        <w:t>41</w:t>
      </w:r>
      <w:r>
        <w:rPr>
          <w:rFonts w:hint="eastAsia" w:ascii="Times New Roman" w:hAnsi="Times New Roman" w:eastAsia="方正仿宋_GBK" w:cs="Times New Roman"/>
          <w:sz w:val="32"/>
          <w:szCs w:val="32"/>
          <w:lang w:eastAsia="zh-CN"/>
        </w:rPr>
        <w:t>次常务会议审议，</w:t>
      </w:r>
      <w:r>
        <w:rPr>
          <w:rFonts w:hint="default" w:ascii="Times New Roman" w:hAnsi="Times New Roman" w:eastAsia="方正仿宋_GBK" w:cs="Times New Roman"/>
          <w:sz w:val="32"/>
          <w:szCs w:val="32"/>
          <w:lang w:eastAsia="zh-CN"/>
        </w:rPr>
        <w:t>决定对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重庆市黔江区人民政府办公室关于印发落实支持鲁渝扶贫协作政策的若干细则的通知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黔江府办〔2019〕5号</w:t>
      </w:r>
      <w:r>
        <w:rPr>
          <w:rFonts w:hint="default" w:ascii="Times New Roman" w:hAnsi="Times New Roman" w:eastAsia="方正仿宋_GBK" w:cs="Times New Roman"/>
          <w:sz w:val="32"/>
          <w:szCs w:val="32"/>
          <w:lang w:eastAsia="zh-CN"/>
        </w:rPr>
        <w:t>）等</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件行政规范性文件予以废止。</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16"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附件：重庆市黔江区人民政府决定废止的部分规范性文件目录</w:t>
      </w:r>
    </w:p>
    <w:p>
      <w:pPr>
        <w:keepNext w:val="0"/>
        <w:keepLines w:val="0"/>
        <w:pageBreakBefore w:val="0"/>
        <w:widowControl w:val="0"/>
        <w:kinsoku/>
        <w:wordWrap/>
        <w:overflowPunct/>
        <w:topLinePunct w:val="0"/>
        <w:autoSpaceDE/>
        <w:autoSpaceDN/>
        <w:bidi w:val="0"/>
        <w:adjustRightInd/>
        <w:snapToGrid/>
        <w:spacing w:line="595" w:lineRule="exact"/>
        <w:ind w:firstLine="616" w:firstLineChars="200"/>
        <w:textAlignment w:val="auto"/>
        <w:rPr>
          <w:rFonts w:hint="default" w:ascii="Times New Roman" w:hAnsi="Times New Roman" w:eastAsia="方正仿宋_GBK" w:cs="Times New Roman"/>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5120" w:firstLineChars="1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重庆市黔江区人民政府</w:t>
      </w:r>
    </w:p>
    <w:p>
      <w:pPr>
        <w:keepNext w:val="0"/>
        <w:keepLines w:val="0"/>
        <w:pageBreakBefore w:val="0"/>
        <w:widowControl w:val="0"/>
        <w:kinsoku/>
        <w:wordWrap/>
        <w:overflowPunct/>
        <w:topLinePunct w:val="0"/>
        <w:autoSpaceDE/>
        <w:autoSpaceDN/>
        <w:bidi w:val="0"/>
        <w:adjustRightInd/>
        <w:snapToGrid/>
        <w:spacing w:line="595" w:lineRule="exact"/>
        <w:ind w:firstLine="5440" w:firstLineChars="1700"/>
        <w:textAlignment w:val="auto"/>
        <w:rPr>
          <w:rFonts w:ascii="Times New Roman" w:hAnsi="Times New Roman" w:eastAsia="方正仿宋_GBK"/>
          <w:spacing w:val="-11"/>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val="0"/>
        <w:autoSpaceDN/>
        <w:bidi w:val="0"/>
        <w:adjustRightInd/>
        <w:snapToGrid/>
        <w:spacing w:line="595" w:lineRule="exact"/>
        <w:ind w:firstLine="640" w:firstLineChars="200"/>
        <w:textAlignment w:val="auto"/>
        <w:rPr>
          <w:rFonts w:hint="eastAsia" w:ascii="方正黑体_GBK" w:hAnsi="方正黑体_GBK" w:eastAsia="方正黑体_GBK" w:cs="方正黑体_GBK"/>
          <w:sz w:val="32"/>
          <w:szCs w:val="32"/>
        </w:rPr>
      </w:pP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此件公开发布</w:t>
      </w:r>
      <w:r>
        <w:rPr>
          <w:rFonts w:hint="eastAsia" w:ascii="Times New Roman" w:hAnsi="Times New Roman" w:eastAsia="方正仿宋_GBK"/>
          <w:spacing w:val="0"/>
          <w:sz w:val="32"/>
          <w:szCs w:val="32"/>
          <w:lang w:eastAsia="zh-CN"/>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95" w:lineRule="exact"/>
        <w:textAlignment w:val="auto"/>
      </w:pPr>
      <w:r>
        <w:rPr>
          <w:rFonts w:hint="eastAsia" w:ascii="方正黑体_GBK" w:hAnsi="方正黑体_GBK" w:eastAsia="方正黑体_GBK" w:cs="方正黑体_GBK"/>
          <w:sz w:val="32"/>
          <w:szCs w:val="32"/>
        </w:rPr>
        <w:t>附 件</w:t>
      </w:r>
    </w:p>
    <w:p>
      <w:pPr>
        <w:pStyle w:val="2"/>
        <w:keepNext w:val="0"/>
        <w:keepLines w:val="0"/>
        <w:pageBreakBefore w:val="0"/>
        <w:widowControl w:val="0"/>
        <w:kinsoku/>
        <w:wordWrap/>
        <w:overflowPunct/>
        <w:topLinePunct w:val="0"/>
        <w:autoSpaceDE/>
        <w:autoSpaceDN/>
        <w:bidi w:val="0"/>
        <w:adjustRightInd/>
        <w:snapToGrid/>
        <w:spacing w:after="0" w:line="595" w:lineRule="exact"/>
        <w:jc w:val="center"/>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after="0" w:line="595"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pStyle w:val="2"/>
        <w:keepNext w:val="0"/>
        <w:keepLines w:val="0"/>
        <w:pageBreakBefore w:val="0"/>
        <w:widowControl w:val="0"/>
        <w:kinsoku/>
        <w:wordWrap/>
        <w:overflowPunct/>
        <w:topLinePunct w:val="0"/>
        <w:autoSpaceDE/>
        <w:autoSpaceDN/>
        <w:bidi w:val="0"/>
        <w:adjustRightInd/>
        <w:snapToGrid/>
        <w:spacing w:after="0" w:line="595"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决定</w:t>
      </w:r>
      <w:r>
        <w:rPr>
          <w:rFonts w:ascii="方正小标宋_GBK" w:hAnsi="方正小标宋_GBK" w:eastAsia="方正小标宋_GBK" w:cs="方正小标宋_GBK"/>
          <w:sz w:val="44"/>
          <w:szCs w:val="44"/>
        </w:rPr>
        <w:t>废止的</w:t>
      </w:r>
      <w:r>
        <w:rPr>
          <w:rFonts w:hint="eastAsia" w:ascii="方正小标宋_GBK" w:hAnsi="方正小标宋_GBK" w:eastAsia="方正小标宋_GBK" w:cs="方正小标宋_GBK"/>
          <w:sz w:val="44"/>
          <w:szCs w:val="44"/>
        </w:rPr>
        <w:t>部分规范性</w:t>
      </w:r>
      <w:r>
        <w:rPr>
          <w:rFonts w:ascii="方正小标宋_GBK" w:hAnsi="方正小标宋_GBK" w:eastAsia="方正小标宋_GBK" w:cs="方正小标宋_GBK"/>
          <w:sz w:val="44"/>
          <w:szCs w:val="44"/>
        </w:rPr>
        <w:t>文件目录</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default" w:ascii="Times New Roman" w:hAnsi="Times New Roman" w:eastAsia="方正仿宋_GBK" w:cs="Times New Roman"/>
          <w:spacing w:val="-6"/>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default"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1.</w:t>
      </w:r>
      <w:r>
        <w:rPr>
          <w:rFonts w:hint="eastAsia" w:ascii="Times New Roman" w:hAnsi="Times New Roman" w:eastAsia="方正仿宋_GBK" w:cs="Times New Roman"/>
          <w:spacing w:val="-6"/>
          <w:kern w:val="2"/>
          <w:sz w:val="32"/>
          <w:szCs w:val="32"/>
          <w:lang w:val="en-US" w:eastAsia="zh-CN" w:bidi="ar-SA"/>
        </w:rPr>
        <w:t>《重庆市黔江区人民政府办公室关于印发落实支持鲁渝扶贫协作政策的若干细则的通知》（黔江府办〔2019〕5号）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2.</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《重庆市黔江区人民政府办公室关于印发黔江区生活垃圾分类制度实施方案的通知》（黔江府办发〔2018〕21号）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3.</w:t>
      </w:r>
      <w:r>
        <w:rPr>
          <w:rFonts w:hint="eastAsia" w:ascii="Times New Roman" w:hAnsi="Times New Roman" w:eastAsia="方正仿宋_GBK" w:cs="Times New Roman"/>
          <w:spacing w:val="-6"/>
          <w:kern w:val="2"/>
          <w:sz w:val="32"/>
          <w:szCs w:val="32"/>
          <w:lang w:val="en-US" w:eastAsia="zh-CN" w:bidi="ar-SA"/>
        </w:rPr>
        <w:t>《重庆市黔江区人民政府关于调整取消一批行政许可事项的决定》（黔江府发〔2018〕6号）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4.</w:t>
      </w:r>
      <w:r>
        <w:rPr>
          <w:rFonts w:hint="eastAsia" w:ascii="Times New Roman" w:hAnsi="Times New Roman" w:eastAsia="方正仿宋_GBK" w:cs="Times New Roman"/>
          <w:spacing w:val="-6"/>
          <w:kern w:val="2"/>
          <w:sz w:val="32"/>
          <w:szCs w:val="32"/>
          <w:lang w:val="en-US" w:eastAsia="zh-CN" w:bidi="ar-SA"/>
        </w:rPr>
        <w:t>《重庆市黔江区人民政府办公室关于印发重庆市黔江区自然灾害救助应急预案的通知》（黔江府办发〔2017〕54号）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5.</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《重庆市黔江区人民政府办公室关于印发黔江区基本药物制度实施细则的通知》（黔江府办发〔2013〕102号）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6.</w:t>
      </w:r>
      <w:r>
        <w:rPr>
          <w:rFonts w:hint="eastAsia" w:ascii="Times New Roman" w:hAnsi="Times New Roman" w:eastAsia="方正仿宋_GBK" w:cs="Times New Roman"/>
          <w:spacing w:val="-6"/>
          <w:kern w:val="2"/>
          <w:sz w:val="32"/>
          <w:szCs w:val="32"/>
          <w:lang w:val="en-US" w:eastAsia="zh-CN" w:bidi="ar-SA"/>
        </w:rPr>
        <w:t>《重庆市黔江区人民政府办公室关于进一步加强建筑节能工作的通知》（黔江府办发〔2010〕243号）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 xml:space="preserve">7. </w:t>
      </w:r>
      <w:r>
        <w:rPr>
          <w:rFonts w:hint="eastAsia" w:ascii="Times New Roman" w:hAnsi="Times New Roman" w:eastAsia="方正仿宋_GBK" w:cs="Times New Roman"/>
          <w:spacing w:val="-6"/>
          <w:kern w:val="2"/>
          <w:sz w:val="32"/>
          <w:szCs w:val="32"/>
          <w:lang w:val="en-US" w:eastAsia="zh-CN" w:bidi="ar-SA"/>
        </w:rPr>
        <w:t>《重庆市黔江区人民政府办公室关于批转黔江区转户居民子女入学暂行办法的通知》（黔江府办发〔2011〕88号）</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8.</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《重庆市黔江区人民政府办公室关于印发黔江区重庆籍建档立卡贫困家庭大学生学费资助政策实施方案的通知》（黔江府办发〔2018〕47号）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lang w:val="en-US" w:eastAsia="zh-CN"/>
        </w:rPr>
      </w:pPr>
    </w:p>
    <w:p>
      <w:pPr>
        <w:pStyle w:val="2"/>
        <w:rPr>
          <w:rFonts w:hint="default"/>
          <w:lang w:val="en-US" w:eastAsia="zh-CN"/>
        </w:rPr>
      </w:pPr>
    </w:p>
    <w:p>
      <w:pPr>
        <w:pStyle w:val="15"/>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4DBCF986-D78D-44A1-9E6B-0B22D3C4FCC5}"/>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880CF6DF-12A2-48DC-BE8F-5534170F86EE}"/>
  </w:font>
  <w:font w:name="方正黑体_GBK">
    <w:panose1 w:val="03000509000000000000"/>
    <w:charset w:val="86"/>
    <w:family w:val="script"/>
    <w:pitch w:val="default"/>
    <w:sig w:usb0="00000001" w:usb1="080E0000" w:usb2="00000000" w:usb3="00000000" w:csb0="00040000" w:csb1="00000000"/>
    <w:embedRegular r:id="rId3" w:fontKey="{6F94AB7E-888F-4161-90F9-28184C9B35A6}"/>
  </w:font>
  <w:font w:name="仿宋">
    <w:panose1 w:val="02010609060101010101"/>
    <w:charset w:val="86"/>
    <w:family w:val="auto"/>
    <w:pitch w:val="default"/>
    <w:sig w:usb0="800002BF" w:usb1="38CF7CFA" w:usb2="00000016" w:usb3="00000000" w:csb0="00040001" w:csb1="00000000"/>
    <w:embedRegular r:id="rId4" w:fontKey="{1D733867-DF28-4373-B2A6-DF8E80899929}"/>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1A3073B"/>
    <w:rsid w:val="03304250"/>
    <w:rsid w:val="039B4201"/>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A2955B0"/>
    <w:rsid w:val="2AC0755D"/>
    <w:rsid w:val="2CBC252D"/>
    <w:rsid w:val="2F4F1437"/>
    <w:rsid w:val="2F8D01B1"/>
    <w:rsid w:val="2FAF27B9"/>
    <w:rsid w:val="31EC5658"/>
    <w:rsid w:val="32204B21"/>
    <w:rsid w:val="32A22BF5"/>
    <w:rsid w:val="355F3D52"/>
    <w:rsid w:val="364C66D0"/>
    <w:rsid w:val="369E2CA4"/>
    <w:rsid w:val="36B1489A"/>
    <w:rsid w:val="387168C2"/>
    <w:rsid w:val="38E452E6"/>
    <w:rsid w:val="3A573DDF"/>
    <w:rsid w:val="3BC92571"/>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BCE3398"/>
    <w:rsid w:val="6C757CDC"/>
    <w:rsid w:val="6E3851B0"/>
    <w:rsid w:val="6FA93114"/>
    <w:rsid w:val="70730722"/>
    <w:rsid w:val="71275556"/>
    <w:rsid w:val="71C54FAD"/>
    <w:rsid w:val="721379BE"/>
    <w:rsid w:val="730E31CE"/>
    <w:rsid w:val="74791404"/>
    <w:rsid w:val="777D2475"/>
    <w:rsid w:val="7AFE508C"/>
    <w:rsid w:val="7E794E62"/>
    <w:rsid w:val="7F9D4E73"/>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qFormat/>
    <w:uiPriority w:val="99"/>
    <w:pPr>
      <w:ind w:left="1680"/>
    </w:p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qFormat/>
    <w:uiPriority w:val="0"/>
    <w:pPr>
      <w:widowControl/>
    </w:pPr>
    <w:rPr>
      <w:kern w:val="0"/>
    </w:rPr>
  </w:style>
  <w:style w:type="paragraph" w:customStyle="1" w:styleId="23">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1174</Characters>
  <Lines>4</Lines>
  <Paragraphs>10</Paragraphs>
  <TotalTime>0</TotalTime>
  <ScaleCrop>false</ScaleCrop>
  <LinksUpToDate>false</LinksUpToDate>
  <CharactersWithSpaces>1212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2023-11-27T01:42:47Z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10156C0163C84E5086A7C9ADBFCB4739_13</vt:lpwstr>
  </property>
</Properties>
</file>