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95"/>
        <w:gridCol w:w="884"/>
        <w:gridCol w:w="1762"/>
        <w:gridCol w:w="1015"/>
        <w:gridCol w:w="1417"/>
        <w:gridCol w:w="2283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>附件：</w:t>
            </w:r>
          </w:p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>黔江区2020年叉车培训项目资金绩效目标自评表</w:t>
            </w:r>
            <w:bookmarkEnd w:id="0"/>
            <w:r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5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专项（项目）名称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叉车培训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联系人及电话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田瑶，79245935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黔江区扶贫开发办公室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重庆旅游职业学院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项目资金（万元）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全年预算数（A）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全年执行数（B）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预算执行率（B/A,%)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其中：上级资金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 xml:space="preserve"> 本级资金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/>
                <w:lang w:bidi="ar"/>
              </w:rPr>
              <w:t xml:space="preserve"> 其他资金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4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年初设定目标</w:t>
            </w:r>
          </w:p>
        </w:tc>
        <w:tc>
          <w:tcPr>
            <w:tcW w:w="4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150名建卡贫困户或有劳动能力的残疾人参加叉车培训，让建卡贫困户学习技能，培训后促进贫困户就业。</w:t>
            </w:r>
          </w:p>
        </w:tc>
        <w:tc>
          <w:tcPr>
            <w:tcW w:w="4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组织150名建卡贫困户或有劳动能力的残疾人参加叉车培训，让贫困户或有劳动能力的残疾人学习技能，培训后促进参训对象就业。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一级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全年完成值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产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出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指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★其中：建档立卡贫困劳动力享受职业培训补贴人次数（≥**人次）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150人次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150人次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★补贴发放准确率（≥**%）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&gt;=100%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时间发放指标准确率（≥**%）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&gt;=100%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★补贴人均标准（**元）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3600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66万元，培训费按每人3600元的标准，共计540000元,其余资金补助参训学员的务工费。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益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指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经济效益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★★★发放补贴金额（≥**万元）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社会效益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★建档立卡贫困劳动力就业人数（≥**人）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服务对象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★受益人口满意度（≥**%）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8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455C"/>
    <w:rsid w:val="4F3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2021-08-26T03:42:00Z</dcterms:created>
  <dc:creator>hp</dc:creator>
  <cp:lastModifiedBy>hp</cp:lastModifiedBy>
  <dcterms:modified xsi:type="dcterms:W3CDTF">2021-08-26T03:43:23Z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85F0AC6E16964A3FAAD8519074F372DB</vt:lpwstr>
  </property>
</Properties>
</file>