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B0" w:rsidRDefault="00D96CB0">
      <w:pPr>
        <w:rPr>
          <w:rFonts w:cs="宋体" w:hint="default"/>
          <w:sz w:val="21"/>
          <w:szCs w:val="21"/>
        </w:rPr>
      </w:pPr>
      <w:bookmarkStart w:id="0" w:name="_GoBack"/>
      <w:bookmarkEnd w:id="0"/>
    </w:p>
    <w:tbl>
      <w:tblPr>
        <w:tblW w:w="20569" w:type="dxa"/>
        <w:tblLayout w:type="fixed"/>
        <w:tblCellMar>
          <w:left w:w="0" w:type="dxa"/>
          <w:right w:w="0" w:type="dxa"/>
        </w:tblCellMar>
        <w:tblLook w:val="04A0" w:firstRow="1" w:lastRow="0" w:firstColumn="1" w:lastColumn="0" w:noHBand="0" w:noVBand="1"/>
      </w:tblPr>
      <w:tblGrid>
        <w:gridCol w:w="6581"/>
        <w:gridCol w:w="3357"/>
        <w:gridCol w:w="6520"/>
        <w:gridCol w:w="2017"/>
        <w:gridCol w:w="2094"/>
      </w:tblGrid>
      <w:tr w:rsidR="00D96CB0">
        <w:trPr>
          <w:trHeight w:val="565"/>
        </w:trPr>
        <w:tc>
          <w:tcPr>
            <w:tcW w:w="20569" w:type="dxa"/>
            <w:gridSpan w:val="5"/>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t>收入支出决算总表</w:t>
            </w:r>
          </w:p>
        </w:tc>
      </w:tr>
      <w:tr w:rsidR="00D96CB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357" w:type="dxa"/>
            <w:tcBorders>
              <w:top w:val="nil"/>
              <w:left w:val="nil"/>
              <w:bottom w:val="nil"/>
              <w:right w:val="nil"/>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0"/>
                <w:szCs w:val="20"/>
              </w:rPr>
            </w:pPr>
          </w:p>
        </w:tc>
        <w:tc>
          <w:tcPr>
            <w:tcW w:w="853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094"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D96CB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96CB0" w:rsidRDefault="00065FDF">
            <w:pPr>
              <w:textAlignment w:val="bottom"/>
              <w:rPr>
                <w:rFonts w:cs="宋体" w:hint="default"/>
                <w:color w:val="000000"/>
              </w:rPr>
            </w:pPr>
            <w:r>
              <w:rPr>
                <w:rFonts w:cs="宋体"/>
              </w:rPr>
              <w:t>公开部门：重庆市黔江区人大常委会办公室</w:t>
            </w:r>
          </w:p>
        </w:tc>
        <w:tc>
          <w:tcPr>
            <w:tcW w:w="3357" w:type="dxa"/>
            <w:tcBorders>
              <w:top w:val="nil"/>
              <w:left w:val="nil"/>
              <w:bottom w:val="nil"/>
              <w:right w:val="nil"/>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2"/>
                <w:szCs w:val="22"/>
              </w:rPr>
            </w:pPr>
          </w:p>
        </w:tc>
        <w:tc>
          <w:tcPr>
            <w:tcW w:w="853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094"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298"/>
        </w:trPr>
        <w:tc>
          <w:tcPr>
            <w:tcW w:w="993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收入</w:t>
            </w:r>
          </w:p>
        </w:tc>
        <w:tc>
          <w:tcPr>
            <w:tcW w:w="10631" w:type="dxa"/>
            <w:gridSpan w:val="3"/>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支出</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w:t>
            </w:r>
          </w:p>
        </w:tc>
        <w:tc>
          <w:tcPr>
            <w:tcW w:w="335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决算数</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w:t>
            </w:r>
          </w:p>
        </w:tc>
        <w:tc>
          <w:tcPr>
            <w:tcW w:w="4111" w:type="dxa"/>
            <w:gridSpan w:val="2"/>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决算数</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一、一般公共预算财政拨款收入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一、一般公共服务支出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1,933.36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二、政府性基金预算财政拨款收入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二、外交支出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三、国有资本经营预算财政拨款收入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三、国防支出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四、上级补助收入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四、公共安全支出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五、事业收入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五、教育支出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六、经营收入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六、科学技术支出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七、附属单位上缴收入</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七、文化旅游体育与传媒支出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八、其他收入</w:t>
            </w:r>
          </w:p>
        </w:tc>
        <w:tc>
          <w:tcPr>
            <w:tcW w:w="3357" w:type="dxa"/>
            <w:tcBorders>
              <w:top w:val="nil"/>
              <w:left w:val="nil"/>
              <w:bottom w:val="nil"/>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八、社会保障和就业支出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504.26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0"/>
                <w:szCs w:val="20"/>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九、卫生健康支出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145.46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0"/>
                <w:szCs w:val="20"/>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十、节能环保支出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0"/>
                <w:szCs w:val="20"/>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十一、城乡社区支出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jc w:val="right"/>
              <w:rPr>
                <w:rFonts w:ascii="Arial" w:hAnsi="Arial" w:cs="Arial" w:hint="default"/>
                <w:color w:val="000000"/>
                <w:sz w:val="20"/>
                <w:szCs w:val="20"/>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十二、农林水支出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十三、交通运输支出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十四、资源勘探工业信息等支出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十五、商业服务业等支出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十六、金融支出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十七、援助其他地区支出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十八、自然资源海洋气象等支出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十九、住房保障支出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124.77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二十、粮油物资储备支出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二十一、国有资本经营预算支出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二十二、灾害防治及应急管理支出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二十三、其他支出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二十四、债务还本支出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二十五、债务付息支出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二十六、抗疫特别国债安排的支出</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本年收入合计</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本年支出合计</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使用非财政拨款结余和专用结余</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结余分配</w:t>
            </w:r>
          </w:p>
        </w:tc>
        <w:tc>
          <w:tcPr>
            <w:tcW w:w="411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年初结转和结余</w:t>
            </w:r>
          </w:p>
        </w:tc>
        <w:tc>
          <w:tcPr>
            <w:tcW w:w="33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65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年末结转和结余</w:t>
            </w:r>
          </w:p>
        </w:tc>
        <w:tc>
          <w:tcPr>
            <w:tcW w:w="4111"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总计</w:t>
            </w:r>
          </w:p>
        </w:tc>
        <w:tc>
          <w:tcPr>
            <w:tcW w:w="33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6520"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总计</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0"/>
                <w:szCs w:val="20"/>
              </w:rPr>
            </w:pPr>
            <w:r>
              <w:rPr>
                <w:rFonts w:cs="宋体"/>
                <w:color w:val="000000"/>
                <w:sz w:val="21"/>
                <w:szCs w:val="21"/>
              </w:rPr>
              <w:t xml:space="preserve">2,707.85 </w:t>
            </w:r>
          </w:p>
        </w:tc>
      </w:tr>
    </w:tbl>
    <w:p w:rsidR="00D96CB0" w:rsidRDefault="00065FD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p w:rsidR="00D96CB0" w:rsidRDefault="00D96CB0">
      <w:pPr>
        <w:rPr>
          <w:rFonts w:cs="宋体" w:hint="default"/>
          <w:sz w:val="21"/>
          <w:szCs w:val="21"/>
        </w:rPr>
      </w:pPr>
    </w:p>
    <w:tbl>
      <w:tblPr>
        <w:tblW w:w="21278" w:type="dxa"/>
        <w:tblLayout w:type="fixed"/>
        <w:tblCellMar>
          <w:left w:w="0" w:type="dxa"/>
          <w:right w:w="0" w:type="dxa"/>
        </w:tblCellMar>
        <w:tblLook w:val="04A0" w:firstRow="1" w:lastRow="0" w:firstColumn="1" w:lastColumn="0" w:noHBand="0" w:noVBand="1"/>
      </w:tblPr>
      <w:tblGrid>
        <w:gridCol w:w="1941"/>
        <w:gridCol w:w="3317"/>
        <w:gridCol w:w="2412"/>
        <w:gridCol w:w="2399"/>
        <w:gridCol w:w="1570"/>
        <w:gridCol w:w="1843"/>
        <w:gridCol w:w="513"/>
        <w:gridCol w:w="1471"/>
        <w:gridCol w:w="1843"/>
        <w:gridCol w:w="2126"/>
        <w:gridCol w:w="1843"/>
      </w:tblGrid>
      <w:tr w:rsidR="00D96CB0">
        <w:trPr>
          <w:trHeight w:val="641"/>
        </w:trPr>
        <w:tc>
          <w:tcPr>
            <w:tcW w:w="21278" w:type="dxa"/>
            <w:gridSpan w:val="11"/>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t>收入决算表</w:t>
            </w:r>
          </w:p>
        </w:tc>
      </w:tr>
      <w:tr w:rsidR="00D96CB0">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2"/>
                <w:szCs w:val="22"/>
              </w:rPr>
            </w:pPr>
            <w:r>
              <w:rPr>
                <w:rFonts w:cs="宋体"/>
              </w:rPr>
              <w:t>公开部门：重庆市黔江区人大常委会办公室</w:t>
            </w:r>
          </w:p>
        </w:tc>
        <w:tc>
          <w:tcPr>
            <w:tcW w:w="2412"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57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356"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471"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126"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D96CB0">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57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356"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471"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126"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843"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D96CB0" w:rsidRDefault="00065FDF">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财政拨款收入</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上级补助收入</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065FDF">
            <w:pPr>
              <w:jc w:val="center"/>
              <w:textAlignment w:val="bottom"/>
              <w:rPr>
                <w:rFonts w:cs="宋体" w:hint="default"/>
                <w:b/>
                <w:color w:val="000000"/>
                <w:sz w:val="22"/>
                <w:szCs w:val="22"/>
              </w:rPr>
            </w:pPr>
            <w:r>
              <w:rPr>
                <w:rFonts w:cs="宋体"/>
                <w:b/>
                <w:color w:val="000000"/>
                <w:sz w:val="22"/>
                <w:szCs w:val="22"/>
              </w:rPr>
              <w:t>事业收入</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经营收入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附属单位上缴收入</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其他收入</w:t>
            </w:r>
          </w:p>
        </w:tc>
      </w:tr>
      <w:tr w:rsidR="00D96CB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小计</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其中：教育收费</w:t>
            </w: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2,707.85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2,707.85 </w:t>
            </w:r>
          </w:p>
        </w:tc>
        <w:tc>
          <w:tcPr>
            <w:tcW w:w="15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1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1,559.58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1,559.58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151.50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151.50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40.00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40.00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人大代表履职能力提升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63.00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63.00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119.28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119.28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198.07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198.07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129.36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129.36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176.83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176.83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110.36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110.36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11.20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11.20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23.90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23.90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124.77 </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bl>
    <w:p w:rsidR="00D96CB0" w:rsidRDefault="00065FDF">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p w:rsidR="00D96CB0" w:rsidRDefault="00D96CB0">
      <w:pPr>
        <w:ind w:left="630" w:hangingChars="300" w:hanging="630"/>
        <w:rPr>
          <w:rFonts w:cs="宋体" w:hint="default"/>
          <w:sz w:val="21"/>
          <w:szCs w:val="21"/>
        </w:rPr>
      </w:pPr>
    </w:p>
    <w:tbl>
      <w:tblPr>
        <w:tblW w:w="21136"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1726"/>
      </w:tblGrid>
      <w:tr w:rsidR="00D96CB0">
        <w:trPr>
          <w:trHeight w:val="654"/>
        </w:trPr>
        <w:tc>
          <w:tcPr>
            <w:tcW w:w="21136" w:type="dxa"/>
            <w:gridSpan w:val="8"/>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t>支出决算表</w:t>
            </w:r>
          </w:p>
        </w:tc>
      </w:tr>
      <w:tr w:rsidR="00D96CB0">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726"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D96CB0">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726"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065FDF">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经营支出</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对附属单位补助支出</w:t>
            </w:r>
          </w:p>
        </w:tc>
      </w:tr>
      <w:tr w:rsidR="00D96CB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7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7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7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7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2,707.85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2,453.34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254.50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7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1,678.85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254.50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1,933.36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1,678.85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254.50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1,559.58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1,559.58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151.50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151.50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40.00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人大代表履职能力提升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63.00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63.00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119.28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119.28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504.26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198.07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198.07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176.83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176.83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145.46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110.36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110.36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11.20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23.90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23.90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b/>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r w:rsidR="00D96CB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124.77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18"/>
                <w:szCs w:val="18"/>
              </w:rPr>
            </w:pPr>
            <w:r>
              <w:rPr>
                <w:rFonts w:cs="宋体"/>
                <w:color w:val="000000"/>
                <w:sz w:val="21"/>
                <w:szCs w:val="21"/>
              </w:rPr>
              <w:t xml:space="preserve"> </w:t>
            </w:r>
          </w:p>
        </w:tc>
      </w:tr>
    </w:tbl>
    <w:p w:rsidR="00D96CB0" w:rsidRDefault="00065FD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本表反映部门本年度取得的各项收入情况。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p w:rsidR="00D96CB0" w:rsidRDefault="00D96CB0">
      <w:pPr>
        <w:rPr>
          <w:rFonts w:cs="宋体" w:hint="default"/>
          <w:sz w:val="21"/>
          <w:szCs w:val="21"/>
        </w:rPr>
      </w:pPr>
    </w:p>
    <w:tbl>
      <w:tblPr>
        <w:tblW w:w="21278" w:type="dxa"/>
        <w:tblLayout w:type="fixed"/>
        <w:tblCellMar>
          <w:left w:w="0" w:type="dxa"/>
          <w:right w:w="0" w:type="dxa"/>
        </w:tblCellMar>
        <w:tblLook w:val="04A0" w:firstRow="1" w:lastRow="0" w:firstColumn="1" w:lastColumn="0" w:noHBand="0" w:noVBand="1"/>
      </w:tblPr>
      <w:tblGrid>
        <w:gridCol w:w="3843"/>
        <w:gridCol w:w="2693"/>
        <w:gridCol w:w="3827"/>
        <w:gridCol w:w="131"/>
        <w:gridCol w:w="2279"/>
        <w:gridCol w:w="673"/>
        <w:gridCol w:w="2162"/>
        <w:gridCol w:w="790"/>
        <w:gridCol w:w="2187"/>
        <w:gridCol w:w="765"/>
        <w:gridCol w:w="1928"/>
      </w:tblGrid>
      <w:tr w:rsidR="00D96CB0">
        <w:trPr>
          <w:trHeight w:val="90"/>
        </w:trPr>
        <w:tc>
          <w:tcPr>
            <w:tcW w:w="21278" w:type="dxa"/>
            <w:gridSpan w:val="11"/>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D96CB0">
        <w:trPr>
          <w:trHeight w:val="90"/>
        </w:trPr>
        <w:tc>
          <w:tcPr>
            <w:tcW w:w="6536"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p>
        </w:tc>
        <w:tc>
          <w:tcPr>
            <w:tcW w:w="3958"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928"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D96CB0">
        <w:trPr>
          <w:trHeight w:val="90"/>
        </w:trPr>
        <w:tc>
          <w:tcPr>
            <w:tcW w:w="6536"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3958"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928"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90"/>
        </w:trPr>
        <w:tc>
          <w:tcPr>
            <w:tcW w:w="6536"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14742" w:type="dxa"/>
            <w:gridSpan w:val="9"/>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D96CB0">
        <w:trPr>
          <w:trHeight w:val="90"/>
        </w:trPr>
        <w:tc>
          <w:tcPr>
            <w:tcW w:w="38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决算数</w:t>
            </w:r>
          </w:p>
        </w:tc>
        <w:tc>
          <w:tcPr>
            <w:tcW w:w="38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w:t>
            </w:r>
          </w:p>
        </w:tc>
        <w:tc>
          <w:tcPr>
            <w:tcW w:w="10915" w:type="dxa"/>
            <w:gridSpan w:val="8"/>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决算数</w:t>
            </w:r>
          </w:p>
        </w:tc>
      </w:tr>
      <w:tr w:rsidR="00D96CB0">
        <w:trPr>
          <w:trHeight w:val="90"/>
        </w:trPr>
        <w:tc>
          <w:tcPr>
            <w:tcW w:w="38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69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8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小计</w:t>
            </w:r>
          </w:p>
        </w:tc>
        <w:tc>
          <w:tcPr>
            <w:tcW w:w="283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一般公共预算财政拨款</w:t>
            </w:r>
          </w:p>
        </w:tc>
        <w:tc>
          <w:tcPr>
            <w:tcW w:w="2977"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政府性基金预算财政拨款</w:t>
            </w:r>
          </w:p>
        </w:tc>
        <w:tc>
          <w:tcPr>
            <w:tcW w:w="269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一、一般公共预算财政拨款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一、一般公共服务支出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1,933.36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1,933.36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二、政府性基金预算财政拨款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二、外交支出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三、国有资本经营预算财政拨款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三、国防支出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四、公共安全支出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五、教育支出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六、科学技术支出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七、文化旅游体育与传媒支出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八、社会保障和就业支出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504.26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504.26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九、卫生健康支出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145.46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145.46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十、节能环保支出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十一、城乡社区支出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十二、农林水支出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十三、交通运输支出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十四、资源勘探工业信息等支出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十五、商业服务业等支出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十六、金融支出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十七、援助其他地区支出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十八、自然资源海洋气象等支出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十九、住房保障支出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124.77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124.77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二十、粮油物资储备支出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二十一、国有资本经营预算支出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二十二、灾害防治及应急管理支出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二十三、其他支出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二十四、债务还本支出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二十五、债务付息支出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ascii="Arial" w:hAnsi="Arial" w:cs="Arial" w:hint="default"/>
                <w:color w:val="00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二十六、抗疫特别国债安排的支出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本年收入合计</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本年支出合计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年初财政拨款结转和结余</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年末财政拨款结转和结余</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jc w:val="center"/>
              <w:rPr>
                <w:rFonts w:cs="宋体" w:hint="default"/>
                <w:b/>
                <w:color w:val="000000"/>
                <w:sz w:val="22"/>
                <w:szCs w:val="22"/>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90"/>
        </w:trPr>
        <w:tc>
          <w:tcPr>
            <w:tcW w:w="384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总计</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2,707.85 </w:t>
            </w:r>
          </w:p>
        </w:tc>
        <w:tc>
          <w:tcPr>
            <w:tcW w:w="38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总计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0"/>
                <w:szCs w:val="20"/>
              </w:rPr>
            </w:pPr>
            <w:r>
              <w:rPr>
                <w:rFonts w:cs="宋体"/>
                <w:color w:val="000000"/>
                <w:sz w:val="21"/>
                <w:szCs w:val="21"/>
              </w:rPr>
              <w:t xml:space="preserve">2,707.85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0"/>
                <w:szCs w:val="20"/>
              </w:rPr>
            </w:pPr>
            <w:r>
              <w:rPr>
                <w:rFonts w:cs="宋体"/>
                <w:color w:val="000000"/>
                <w:sz w:val="21"/>
                <w:szCs w:val="21"/>
              </w:rPr>
              <w:t xml:space="preserve">2,707.85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0"/>
                <w:szCs w:val="20"/>
              </w:rPr>
            </w:pPr>
            <w:r>
              <w:rPr>
                <w:rFonts w:cs="宋体"/>
                <w:color w:val="000000"/>
                <w:sz w:val="21"/>
                <w:szCs w:val="21"/>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bl>
    <w:p w:rsidR="00D96CB0" w:rsidRDefault="00065FD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tbl>
      <w:tblPr>
        <w:tblW w:w="20853" w:type="dxa"/>
        <w:tblLayout w:type="fixed"/>
        <w:tblCellMar>
          <w:left w:w="0" w:type="dxa"/>
          <w:right w:w="0" w:type="dxa"/>
        </w:tblCellMar>
        <w:tblLook w:val="04A0" w:firstRow="1" w:lastRow="0" w:firstColumn="1" w:lastColumn="0" w:noHBand="0" w:noVBand="1"/>
      </w:tblPr>
      <w:tblGrid>
        <w:gridCol w:w="2694"/>
        <w:gridCol w:w="5151"/>
        <w:gridCol w:w="4219"/>
        <w:gridCol w:w="598"/>
        <w:gridCol w:w="4222"/>
        <w:gridCol w:w="595"/>
        <w:gridCol w:w="3374"/>
      </w:tblGrid>
      <w:tr w:rsidR="00D96CB0" w:rsidTr="000B1000">
        <w:trPr>
          <w:trHeight w:val="510"/>
        </w:trPr>
        <w:tc>
          <w:tcPr>
            <w:tcW w:w="20853" w:type="dxa"/>
            <w:gridSpan w:val="7"/>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D96CB0" w:rsidTr="000B1000">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374"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D96CB0" w:rsidTr="000B1000">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3374"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rsidTr="000B100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w:t>
            </w:r>
          </w:p>
        </w:tc>
        <w:tc>
          <w:tcPr>
            <w:tcW w:w="13008" w:type="dxa"/>
            <w:gridSpan w:val="5"/>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本年支出</w:t>
            </w:r>
          </w:p>
        </w:tc>
      </w:tr>
      <w:tr w:rsidR="00D96CB0" w:rsidTr="000B100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2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4820"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基本支出</w:t>
            </w:r>
          </w:p>
        </w:tc>
        <w:tc>
          <w:tcPr>
            <w:tcW w:w="3969"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项目支出</w:t>
            </w:r>
          </w:p>
        </w:tc>
      </w:tr>
      <w:tr w:rsidR="00D96CB0" w:rsidTr="000B100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2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820"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969"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rsidTr="000B100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2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820"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969"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rsidTr="000B100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2,707.85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2,453.34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254.50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一般公共服务支出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1,933.36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1,678.85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254.50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人大事务</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1,933.36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1,678.85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254.50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行政运行</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1,559.58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1,559.58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一般行政管理事务</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151.50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151.50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人大会议</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40.00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40.00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人大代表履职能力提升</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63.00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63.00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2010150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事业运行</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119.28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119.28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社会保障和就业支出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504.26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504.26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行政事业单位养老支出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504.26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504.26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机关事业单位基本养老保险缴费支出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198.07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198.07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机关事业单位职业年金缴费支出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129.36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129.36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其他行政事业单位养老支出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176.83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176.83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卫生健康支出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145.46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145.46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行政事业单位医疗</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145.46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145.46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行政单位医疗</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110.36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110.36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公务员医疗补助</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11.20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11.20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其他行政事业单位医疗支出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23.90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23.90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住房保障支出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124.77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124.77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b/>
                <w:color w:val="000000"/>
                <w:sz w:val="21"/>
                <w:szCs w:val="21"/>
              </w:rPr>
              <w:t>住房改革支出</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124.77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color w:val="000000"/>
                <w:sz w:val="21"/>
                <w:szCs w:val="21"/>
              </w:rPr>
              <w:t xml:space="preserve">124.77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r w:rsidR="00D96CB0" w:rsidTr="000B100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1"/>
                <w:szCs w:val="21"/>
              </w:rPr>
              <w:t>住房公积金</w:t>
            </w:r>
          </w:p>
        </w:tc>
        <w:tc>
          <w:tcPr>
            <w:tcW w:w="42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124.77 </w:t>
            </w:r>
          </w:p>
        </w:tc>
        <w:tc>
          <w:tcPr>
            <w:tcW w:w="48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124.77 </w:t>
            </w:r>
          </w:p>
        </w:tc>
        <w:tc>
          <w:tcPr>
            <w:tcW w:w="396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bl>
    <w:p w:rsidR="00D96CB0" w:rsidRDefault="00065FD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D96CB0" w:rsidRDefault="00065FDF">
      <w:pPr>
        <w:ind w:firstLineChars="300" w:firstLine="630"/>
        <w:rPr>
          <w:rFonts w:cs="宋体" w:hint="default"/>
          <w:sz w:val="21"/>
          <w:szCs w:val="21"/>
        </w:rPr>
      </w:pPr>
      <w:r>
        <w:rPr>
          <w:rFonts w:cs="宋体"/>
          <w:sz w:val="21"/>
          <w:szCs w:val="21"/>
        </w:rPr>
        <w:br w:type="page"/>
      </w:r>
    </w:p>
    <w:tbl>
      <w:tblPr>
        <w:tblW w:w="20979" w:type="dxa"/>
        <w:tblInd w:w="157" w:type="dxa"/>
        <w:tblLayout w:type="fixed"/>
        <w:tblCellMar>
          <w:left w:w="0" w:type="dxa"/>
          <w:right w:w="0" w:type="dxa"/>
        </w:tblCellMar>
        <w:tblLook w:val="04A0" w:firstRow="1" w:lastRow="0" w:firstColumn="1" w:lastColumn="0" w:noHBand="0" w:noVBand="1"/>
      </w:tblPr>
      <w:tblGrid>
        <w:gridCol w:w="1132"/>
        <w:gridCol w:w="3495"/>
        <w:gridCol w:w="2319"/>
        <w:gridCol w:w="1632"/>
        <w:gridCol w:w="2330"/>
        <w:gridCol w:w="2417"/>
        <w:gridCol w:w="330"/>
        <w:gridCol w:w="1509"/>
        <w:gridCol w:w="3689"/>
        <w:gridCol w:w="776"/>
        <w:gridCol w:w="1350"/>
      </w:tblGrid>
      <w:tr w:rsidR="00D96CB0">
        <w:trPr>
          <w:trHeight w:val="590"/>
        </w:trPr>
        <w:tc>
          <w:tcPr>
            <w:tcW w:w="20979" w:type="dxa"/>
            <w:gridSpan w:val="11"/>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D96CB0">
        <w:trPr>
          <w:trHeight w:val="302"/>
        </w:trPr>
        <w:tc>
          <w:tcPr>
            <w:tcW w:w="4627"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p>
        </w:tc>
        <w:tc>
          <w:tcPr>
            <w:tcW w:w="231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74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4465"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D96CB0">
        <w:trPr>
          <w:trHeight w:val="302"/>
        </w:trPr>
        <w:tc>
          <w:tcPr>
            <w:tcW w:w="4627"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31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632"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747"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4465" w:type="dxa"/>
            <w:gridSpan w:val="2"/>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311"/>
        </w:trPr>
        <w:tc>
          <w:tcPr>
            <w:tcW w:w="6946"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人员经费</w:t>
            </w:r>
          </w:p>
        </w:tc>
        <w:tc>
          <w:tcPr>
            <w:tcW w:w="14033" w:type="dxa"/>
            <w:gridSpan w:val="8"/>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公用经费</w:t>
            </w:r>
          </w:p>
        </w:tc>
      </w:tr>
      <w:tr w:rsidR="00D96CB0">
        <w:trPr>
          <w:trHeight w:val="312"/>
        </w:trPr>
        <w:tc>
          <w:tcPr>
            <w:tcW w:w="113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金额</w:t>
            </w:r>
          </w:p>
        </w:tc>
        <w:tc>
          <w:tcPr>
            <w:tcW w:w="163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金额</w:t>
            </w:r>
          </w:p>
        </w:tc>
        <w:tc>
          <w:tcPr>
            <w:tcW w:w="1839"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经济分类科目编码</w:t>
            </w:r>
          </w:p>
        </w:tc>
        <w:tc>
          <w:tcPr>
            <w:tcW w:w="36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126"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金额</w:t>
            </w:r>
          </w:p>
        </w:tc>
      </w:tr>
      <w:tr w:rsidR="00D96CB0">
        <w:trPr>
          <w:trHeight w:val="799"/>
        </w:trPr>
        <w:tc>
          <w:tcPr>
            <w:tcW w:w="113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63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839"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6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126"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工资福利支出</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1,948.80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商品和服务支出</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309.86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资本性支出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0.36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469.59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46.76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31001</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276.11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7.00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31002</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0.36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510.40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2.00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31003</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46.24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31005</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62.95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2.00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31006</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33"/>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198.07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2.62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31007</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129.36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33.77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31008</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64"/>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110.36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31009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31010</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33"/>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3.34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30.64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31011</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124.77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31012</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17.60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3.91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31013</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31019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对个人和家庭的补助</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194.33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0.10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31021</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11.77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31022</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0.73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31099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对企业补助</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31201</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159.76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31203</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3.47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31204</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17.50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31205</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37.49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31299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17.06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16.00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其他支出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11.19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39907</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82.55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39908</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39909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17.88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39910</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债务利息及费用支出</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39999</w:t>
            </w: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311"/>
        </w:trPr>
        <w:tc>
          <w:tcPr>
            <w:tcW w:w="11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63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 </w:t>
            </w:r>
          </w:p>
        </w:tc>
        <w:tc>
          <w:tcPr>
            <w:tcW w:w="18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36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D96CB0">
            <w:pPr>
              <w:rPr>
                <w:rFonts w:cs="宋体" w:hint="default"/>
                <w:color w:val="000000"/>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color w:val="000000"/>
                <w:sz w:val="22"/>
                <w:szCs w:val="22"/>
              </w:rPr>
            </w:pPr>
          </w:p>
        </w:tc>
      </w:tr>
      <w:tr w:rsidR="00D96CB0">
        <w:trPr>
          <w:trHeight w:val="321"/>
        </w:trPr>
        <w:tc>
          <w:tcPr>
            <w:tcW w:w="4627"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人员经费合计</w:t>
            </w:r>
          </w:p>
        </w:tc>
        <w:tc>
          <w:tcPr>
            <w:tcW w:w="231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96CB0" w:rsidRDefault="00065FDF">
            <w:pPr>
              <w:wordWrap w:val="0"/>
              <w:jc w:val="right"/>
              <w:textAlignment w:val="bottom"/>
              <w:rPr>
                <w:rFonts w:ascii="Arial" w:hAnsi="Arial" w:cs="Arial" w:hint="default"/>
                <w:color w:val="000000"/>
                <w:sz w:val="20"/>
                <w:szCs w:val="20"/>
              </w:rPr>
            </w:pPr>
            <w:r>
              <w:rPr>
                <w:rFonts w:cs="宋体"/>
                <w:color w:val="000000"/>
                <w:sz w:val="21"/>
                <w:szCs w:val="21"/>
              </w:rPr>
              <w:t xml:space="preserve">2,143.13 </w:t>
            </w:r>
          </w:p>
        </w:tc>
        <w:tc>
          <w:tcPr>
            <w:tcW w:w="11907" w:type="dxa"/>
            <w:gridSpan w:val="6"/>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公用经费合计</w:t>
            </w:r>
          </w:p>
        </w:tc>
        <w:tc>
          <w:tcPr>
            <w:tcW w:w="212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color w:val="000000"/>
                <w:sz w:val="22"/>
                <w:szCs w:val="22"/>
              </w:rPr>
            </w:pPr>
            <w:r>
              <w:rPr>
                <w:rFonts w:cs="宋体"/>
                <w:color w:val="000000"/>
                <w:sz w:val="21"/>
                <w:szCs w:val="21"/>
              </w:rPr>
              <w:t xml:space="preserve">310.22 </w:t>
            </w:r>
          </w:p>
        </w:tc>
      </w:tr>
    </w:tbl>
    <w:p w:rsidR="00D96CB0" w:rsidRDefault="00065FDF">
      <w:pPr>
        <w:rPr>
          <w:rFonts w:cs="宋体" w:hint="default"/>
          <w:sz w:val="21"/>
          <w:szCs w:val="21"/>
        </w:rPr>
      </w:pPr>
      <w:r>
        <w:rPr>
          <w:rFonts w:cs="宋体"/>
          <w:sz w:val="21"/>
          <w:szCs w:val="21"/>
        </w:rPr>
        <w:t>备注：</w:t>
      </w:r>
      <w:r>
        <w:rPr>
          <w:rFonts w:cs="宋体"/>
          <w:sz w:val="21"/>
          <w:szCs w:val="21"/>
        </w:rPr>
        <w:t>1.</w:t>
      </w:r>
      <w:r>
        <w:rPr>
          <w:rFonts w:cs="宋体"/>
          <w:sz w:val="21"/>
          <w:szCs w:val="21"/>
        </w:rPr>
        <w:t>本表反映部门本年度一般公共预算财政拨款基本支出明细情况。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lastRenderedPageBreak/>
        <w:br/>
      </w:r>
    </w:p>
    <w:p w:rsidR="00D96CB0" w:rsidRDefault="00D96CB0">
      <w:pPr>
        <w:rPr>
          <w:rFonts w:cs="宋体" w:hint="default"/>
          <w:sz w:val="21"/>
          <w:szCs w:val="21"/>
        </w:rPr>
      </w:pPr>
    </w:p>
    <w:tbl>
      <w:tblPr>
        <w:tblW w:w="20695" w:type="dxa"/>
        <w:tblInd w:w="441" w:type="dxa"/>
        <w:tblLayout w:type="fixed"/>
        <w:tblCellMar>
          <w:left w:w="0" w:type="dxa"/>
          <w:right w:w="0" w:type="dxa"/>
        </w:tblCellMar>
        <w:tblLook w:val="04A0" w:firstRow="1" w:lastRow="0" w:firstColumn="1" w:lastColumn="0" w:noHBand="0" w:noVBand="1"/>
      </w:tblPr>
      <w:tblGrid>
        <w:gridCol w:w="2245"/>
        <w:gridCol w:w="4465"/>
        <w:gridCol w:w="2473"/>
        <w:gridCol w:w="2473"/>
        <w:gridCol w:w="2473"/>
        <w:gridCol w:w="2473"/>
        <w:gridCol w:w="2558"/>
        <w:gridCol w:w="1535"/>
      </w:tblGrid>
      <w:tr w:rsidR="00D96CB0">
        <w:trPr>
          <w:trHeight w:val="644"/>
        </w:trPr>
        <w:tc>
          <w:tcPr>
            <w:tcW w:w="20695" w:type="dxa"/>
            <w:gridSpan w:val="8"/>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t>政府性基金预算财政拨款收入支出决算表</w:t>
            </w:r>
          </w:p>
        </w:tc>
      </w:tr>
      <w:tr w:rsidR="00D96CB0">
        <w:trPr>
          <w:trHeight w:val="329"/>
        </w:trPr>
        <w:tc>
          <w:tcPr>
            <w:tcW w:w="6710"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1535"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D96CB0">
        <w:trPr>
          <w:trHeight w:val="329"/>
        </w:trPr>
        <w:tc>
          <w:tcPr>
            <w:tcW w:w="6710"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1535"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339"/>
        </w:trPr>
        <w:tc>
          <w:tcPr>
            <w:tcW w:w="67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本年支出</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年末结转和结余</w:t>
            </w:r>
          </w:p>
        </w:tc>
      </w:tr>
      <w:tr w:rsidR="00D96CB0">
        <w:trPr>
          <w:trHeight w:val="335"/>
        </w:trPr>
        <w:tc>
          <w:tcPr>
            <w:tcW w:w="224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项目支出</w:t>
            </w:r>
          </w:p>
        </w:tc>
        <w:tc>
          <w:tcPr>
            <w:tcW w:w="153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5"/>
        </w:trPr>
        <w:tc>
          <w:tcPr>
            <w:tcW w:w="22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3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645"/>
        </w:trPr>
        <w:tc>
          <w:tcPr>
            <w:tcW w:w="224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153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630"/>
        </w:trPr>
        <w:tc>
          <w:tcPr>
            <w:tcW w:w="6710"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D96CB0">
        <w:trPr>
          <w:trHeight w:val="682"/>
        </w:trPr>
        <w:tc>
          <w:tcPr>
            <w:tcW w:w="224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15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bl>
    <w:p w:rsidR="00D96CB0" w:rsidRDefault="00065FDF">
      <w:pPr>
        <w:rPr>
          <w:rFonts w:cs="宋体" w:hint="default"/>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tbl>
      <w:tblPr>
        <w:tblW w:w="20695" w:type="dxa"/>
        <w:tblInd w:w="441" w:type="dxa"/>
        <w:tblLayout w:type="fixed"/>
        <w:tblCellMar>
          <w:left w:w="0" w:type="dxa"/>
          <w:right w:w="0" w:type="dxa"/>
        </w:tblCellMar>
        <w:tblLook w:val="04A0" w:firstRow="1" w:lastRow="0" w:firstColumn="1" w:lastColumn="0" w:noHBand="0" w:noVBand="1"/>
      </w:tblPr>
      <w:tblGrid>
        <w:gridCol w:w="2288"/>
        <w:gridCol w:w="4420"/>
        <w:gridCol w:w="4736"/>
        <w:gridCol w:w="5423"/>
        <w:gridCol w:w="3828"/>
      </w:tblGrid>
      <w:tr w:rsidR="00D96CB0">
        <w:trPr>
          <w:trHeight w:val="650"/>
        </w:trPr>
        <w:tc>
          <w:tcPr>
            <w:tcW w:w="20695" w:type="dxa"/>
            <w:gridSpan w:val="5"/>
            <w:tcBorders>
              <w:top w:val="nil"/>
              <w:left w:val="nil"/>
              <w:bottom w:val="nil"/>
              <w:right w:val="nil"/>
            </w:tcBorders>
            <w:shd w:val="clear" w:color="auto" w:fill="auto"/>
            <w:noWrap/>
            <w:tcMar>
              <w:top w:w="15" w:type="dxa"/>
              <w:left w:w="15" w:type="dxa"/>
              <w:right w:w="15" w:type="dxa"/>
            </w:tcMar>
            <w:vAlign w:val="bottom"/>
          </w:tcPr>
          <w:p w:rsidR="00D96CB0" w:rsidRDefault="00065FDF">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D96CB0">
        <w:trPr>
          <w:trHeight w:val="332"/>
        </w:trPr>
        <w:tc>
          <w:tcPr>
            <w:tcW w:w="6708" w:type="dxa"/>
            <w:gridSpan w:val="2"/>
            <w:vMerge w:val="restart"/>
            <w:tcBorders>
              <w:top w:val="nil"/>
              <w:left w:val="nil"/>
              <w:right w:val="nil"/>
            </w:tcBorders>
            <w:shd w:val="clear" w:color="auto" w:fill="auto"/>
            <w:noWrap/>
            <w:tcMar>
              <w:top w:w="15" w:type="dxa"/>
              <w:left w:w="15" w:type="dxa"/>
              <w:right w:w="15" w:type="dxa"/>
            </w:tcMar>
            <w:vAlign w:val="bottom"/>
          </w:tcPr>
          <w:p w:rsidR="00D96CB0" w:rsidRDefault="00065FD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重庆市黔江区人大常委会办公室</w:t>
            </w:r>
          </w:p>
        </w:tc>
        <w:tc>
          <w:tcPr>
            <w:tcW w:w="4736"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0"/>
                <w:szCs w:val="20"/>
              </w:rPr>
            </w:pPr>
          </w:p>
        </w:tc>
        <w:tc>
          <w:tcPr>
            <w:tcW w:w="3828"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D96CB0">
        <w:trPr>
          <w:trHeight w:val="332"/>
        </w:trPr>
        <w:tc>
          <w:tcPr>
            <w:tcW w:w="6708" w:type="dxa"/>
            <w:gridSpan w:val="2"/>
            <w:vMerge/>
            <w:tcBorders>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96CB0" w:rsidRDefault="00D96CB0">
            <w:pPr>
              <w:rPr>
                <w:rFonts w:ascii="Arial" w:hAnsi="Arial" w:cs="Arial" w:hint="default"/>
                <w:color w:val="000000"/>
                <w:sz w:val="22"/>
                <w:szCs w:val="22"/>
              </w:rPr>
            </w:pPr>
          </w:p>
        </w:tc>
        <w:tc>
          <w:tcPr>
            <w:tcW w:w="3828" w:type="dxa"/>
            <w:tcBorders>
              <w:top w:val="nil"/>
              <w:left w:val="nil"/>
              <w:bottom w:val="nil"/>
              <w:right w:val="nil"/>
            </w:tcBorders>
            <w:shd w:val="clear" w:color="auto" w:fill="auto"/>
            <w:noWrap/>
            <w:tcMar>
              <w:top w:w="15" w:type="dxa"/>
              <w:left w:w="15" w:type="dxa"/>
              <w:right w:w="15" w:type="dxa"/>
            </w:tcMar>
            <w:vAlign w:val="bottom"/>
          </w:tcPr>
          <w:p w:rsidR="00D96CB0" w:rsidRDefault="00065FDF">
            <w:pPr>
              <w:jc w:val="right"/>
              <w:textAlignment w:val="bottom"/>
              <w:rPr>
                <w:rFonts w:cs="宋体" w:hint="default"/>
                <w:color w:val="000000"/>
              </w:rPr>
            </w:pPr>
            <w:r>
              <w:rPr>
                <w:rFonts w:cs="宋体"/>
                <w:color w:val="000000"/>
              </w:rPr>
              <w:t>单位：</w:t>
            </w:r>
            <w:r>
              <w:rPr>
                <w:rFonts w:cs="宋体"/>
              </w:rPr>
              <w:t>万元</w:t>
            </w:r>
          </w:p>
        </w:tc>
      </w:tr>
      <w:tr w:rsidR="00D96CB0">
        <w:trPr>
          <w:trHeight w:val="422"/>
        </w:trPr>
        <w:tc>
          <w:tcPr>
            <w:tcW w:w="670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065FDF">
            <w:pPr>
              <w:jc w:val="center"/>
              <w:textAlignment w:val="bottom"/>
              <w:rPr>
                <w:rFonts w:cs="宋体" w:hint="default"/>
                <w:b/>
                <w:color w:val="000000"/>
                <w:sz w:val="22"/>
                <w:szCs w:val="22"/>
              </w:rPr>
            </w:pPr>
            <w:r>
              <w:rPr>
                <w:rFonts w:cs="宋体"/>
                <w:b/>
                <w:color w:val="000000"/>
                <w:sz w:val="22"/>
                <w:szCs w:val="22"/>
              </w:rPr>
              <w:t>项目</w:t>
            </w:r>
          </w:p>
        </w:tc>
        <w:tc>
          <w:tcPr>
            <w:tcW w:w="13987"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96CB0" w:rsidRDefault="00065FDF">
            <w:pPr>
              <w:jc w:val="center"/>
              <w:textAlignment w:val="bottom"/>
              <w:rPr>
                <w:rFonts w:cs="宋体" w:hint="default"/>
                <w:b/>
                <w:color w:val="000000"/>
                <w:sz w:val="22"/>
                <w:szCs w:val="22"/>
              </w:rPr>
            </w:pPr>
            <w:r>
              <w:rPr>
                <w:rFonts w:cs="宋体"/>
                <w:b/>
                <w:color w:val="000000"/>
                <w:sz w:val="22"/>
                <w:szCs w:val="22"/>
              </w:rPr>
              <w:t>本年支出</w:t>
            </w:r>
          </w:p>
        </w:tc>
      </w:tr>
      <w:tr w:rsidR="00D96CB0">
        <w:trPr>
          <w:trHeight w:val="339"/>
        </w:trPr>
        <w:tc>
          <w:tcPr>
            <w:tcW w:w="228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基本支出</w:t>
            </w:r>
          </w:p>
        </w:tc>
        <w:tc>
          <w:tcPr>
            <w:tcW w:w="382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项目支出</w:t>
            </w:r>
          </w:p>
        </w:tc>
      </w:tr>
      <w:tr w:rsidR="00D96CB0">
        <w:trPr>
          <w:trHeight w:val="339"/>
        </w:trPr>
        <w:tc>
          <w:tcPr>
            <w:tcW w:w="228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8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39"/>
        </w:trPr>
        <w:tc>
          <w:tcPr>
            <w:tcW w:w="228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8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312"/>
        </w:trPr>
        <w:tc>
          <w:tcPr>
            <w:tcW w:w="228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c>
          <w:tcPr>
            <w:tcW w:w="382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96CB0" w:rsidRDefault="00D96CB0">
            <w:pPr>
              <w:jc w:val="center"/>
              <w:rPr>
                <w:rFonts w:cs="宋体" w:hint="default"/>
                <w:b/>
                <w:color w:val="000000"/>
                <w:sz w:val="22"/>
                <w:szCs w:val="22"/>
              </w:rPr>
            </w:pPr>
          </w:p>
        </w:tc>
      </w:tr>
      <w:tr w:rsidR="00D96CB0">
        <w:trPr>
          <w:trHeight w:val="611"/>
        </w:trPr>
        <w:tc>
          <w:tcPr>
            <w:tcW w:w="670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96CB0" w:rsidRDefault="00065FDF">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b/>
                <w:color w:val="000000"/>
                <w:sz w:val="22"/>
                <w:szCs w:val="22"/>
              </w:rPr>
            </w:pPr>
          </w:p>
        </w:tc>
        <w:tc>
          <w:tcPr>
            <w:tcW w:w="3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D96CB0">
        <w:trPr>
          <w:trHeight w:val="488"/>
        </w:trPr>
        <w:tc>
          <w:tcPr>
            <w:tcW w:w="228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D96CB0">
            <w:pPr>
              <w:jc w:val="right"/>
              <w:rPr>
                <w:rFonts w:cs="宋体" w:hint="default"/>
                <w:b/>
                <w:color w:val="000000"/>
                <w:sz w:val="22"/>
                <w:szCs w:val="22"/>
              </w:rPr>
            </w:pPr>
          </w:p>
        </w:tc>
        <w:tc>
          <w:tcPr>
            <w:tcW w:w="3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96CB0" w:rsidRDefault="00065FDF">
            <w:pPr>
              <w:wordWrap w:val="0"/>
              <w:jc w:val="right"/>
              <w:textAlignment w:val="center"/>
              <w:rPr>
                <w:rFonts w:cs="宋体" w:hint="default"/>
                <w:b/>
                <w:color w:val="000000"/>
                <w:sz w:val="22"/>
                <w:szCs w:val="22"/>
              </w:rPr>
            </w:pPr>
            <w:r>
              <w:rPr>
                <w:rFonts w:cs="宋体"/>
                <w:color w:val="000000"/>
                <w:sz w:val="21"/>
                <w:szCs w:val="21"/>
              </w:rPr>
              <w:t xml:space="preserve"> </w:t>
            </w:r>
          </w:p>
        </w:tc>
      </w:tr>
    </w:tbl>
    <w:p w:rsidR="00D96CB0" w:rsidRDefault="00065FDF">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D96CB0" w:rsidRDefault="00065FDF">
      <w:pPr>
        <w:rPr>
          <w:rFonts w:cs="宋体" w:hint="default"/>
          <w:sz w:val="21"/>
          <w:szCs w:val="21"/>
        </w:rPr>
      </w:pPr>
      <w:r>
        <w:rPr>
          <w:rFonts w:cs="宋体"/>
          <w:sz w:val="21"/>
          <w:szCs w:val="21"/>
        </w:rPr>
        <w:br w:type="page"/>
      </w:r>
    </w:p>
    <w:tbl>
      <w:tblPr>
        <w:tblW w:w="20920" w:type="dxa"/>
        <w:jc w:val="center"/>
        <w:tblLook w:val="04A0" w:firstRow="1" w:lastRow="0" w:firstColumn="1" w:lastColumn="0" w:noHBand="0" w:noVBand="1"/>
      </w:tblPr>
      <w:tblGrid>
        <w:gridCol w:w="7542"/>
        <w:gridCol w:w="1388"/>
        <w:gridCol w:w="1388"/>
        <w:gridCol w:w="8366"/>
        <w:gridCol w:w="2236"/>
      </w:tblGrid>
      <w:tr w:rsidR="00D96CB0">
        <w:trPr>
          <w:trHeight w:val="629"/>
          <w:jc w:val="center"/>
        </w:trPr>
        <w:tc>
          <w:tcPr>
            <w:tcW w:w="20920" w:type="dxa"/>
            <w:gridSpan w:val="5"/>
            <w:tcBorders>
              <w:top w:val="nil"/>
              <w:left w:val="nil"/>
              <w:bottom w:val="nil"/>
              <w:right w:val="nil"/>
            </w:tcBorders>
            <w:shd w:val="clear" w:color="auto" w:fill="auto"/>
            <w:noWrap/>
            <w:vAlign w:val="bottom"/>
          </w:tcPr>
          <w:p w:rsidR="00D96CB0" w:rsidRDefault="00065FDF">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D96CB0">
        <w:trPr>
          <w:trHeight w:val="314"/>
          <w:jc w:val="center"/>
        </w:trPr>
        <w:tc>
          <w:tcPr>
            <w:tcW w:w="0" w:type="auto"/>
            <w:tcBorders>
              <w:top w:val="nil"/>
              <w:left w:val="nil"/>
              <w:bottom w:val="nil"/>
              <w:right w:val="nil"/>
            </w:tcBorders>
            <w:shd w:val="clear" w:color="auto" w:fill="auto"/>
            <w:noWrap/>
            <w:vAlign w:val="bottom"/>
          </w:tcPr>
          <w:p w:rsidR="00D96CB0" w:rsidRDefault="00D96CB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D96CB0" w:rsidRDefault="00D96CB0">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D96CB0" w:rsidRDefault="00D96CB0">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D96CB0" w:rsidRDefault="00D96CB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D96CB0" w:rsidRDefault="00065FDF">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D96CB0">
        <w:trPr>
          <w:trHeight w:val="314"/>
          <w:jc w:val="center"/>
        </w:trPr>
        <w:tc>
          <w:tcPr>
            <w:tcW w:w="0" w:type="auto"/>
            <w:tcBorders>
              <w:top w:val="nil"/>
              <w:left w:val="nil"/>
              <w:bottom w:val="nil"/>
              <w:right w:val="nil"/>
            </w:tcBorders>
            <w:shd w:val="clear" w:color="auto" w:fill="auto"/>
            <w:noWrap/>
            <w:vAlign w:val="bottom"/>
          </w:tcPr>
          <w:p w:rsidR="00D96CB0" w:rsidRDefault="00065FDF">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部门：重庆市黔江区人大常委会办公室</w:t>
            </w:r>
          </w:p>
        </w:tc>
        <w:tc>
          <w:tcPr>
            <w:tcW w:w="0" w:type="auto"/>
            <w:tcBorders>
              <w:top w:val="nil"/>
              <w:left w:val="nil"/>
              <w:bottom w:val="nil"/>
              <w:right w:val="nil"/>
            </w:tcBorders>
            <w:shd w:val="clear" w:color="auto" w:fill="auto"/>
            <w:noWrap/>
            <w:vAlign w:val="bottom"/>
          </w:tcPr>
          <w:p w:rsidR="00D96CB0" w:rsidRDefault="00D96CB0">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D96CB0" w:rsidRDefault="00D96CB0">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D96CB0" w:rsidRDefault="00D96CB0">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D96CB0" w:rsidRDefault="00065FDF">
            <w:pPr>
              <w:jc w:val="right"/>
              <w:textAlignment w:val="bottom"/>
              <w:rPr>
                <w:rFonts w:cs="宋体" w:hint="default"/>
                <w:color w:val="000000"/>
              </w:rPr>
            </w:pPr>
            <w:r>
              <w:rPr>
                <w:rFonts w:cs="宋体"/>
                <w:color w:val="000000"/>
                <w:lang w:bidi="ar"/>
              </w:rPr>
              <w:t>单位：万元</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b/>
                <w:bCs/>
                <w:color w:val="000000"/>
                <w:sz w:val="22"/>
                <w:szCs w:val="22"/>
              </w:rPr>
            </w:pPr>
            <w:r>
              <w:rPr>
                <w:rFonts w:cs="宋体"/>
                <w:b/>
                <w:bCs/>
                <w:color w:val="000000"/>
                <w:sz w:val="22"/>
                <w:szCs w:val="22"/>
                <w:lang w:bidi="ar"/>
              </w:rPr>
              <w:t>决算数</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291.78</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291.78</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7.13</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7.13</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7.03</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7.03</w:t>
            </w: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D96CB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D96CB0">
            <w:pPr>
              <w:jc w:val="right"/>
              <w:rPr>
                <w:rFonts w:ascii="Arial" w:hAnsi="Arial" w:cs="Arial" w:hint="default"/>
                <w:color w:val="000000"/>
                <w:sz w:val="20"/>
                <w:szCs w:val="20"/>
              </w:rPr>
            </w:pP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74.77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D96CB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D96CB0">
            <w:pPr>
              <w:jc w:val="right"/>
              <w:rPr>
                <w:rFonts w:ascii="Arial" w:hAnsi="Arial" w:cs="Arial" w:hint="default"/>
                <w:color w:val="000000"/>
                <w:sz w:val="20"/>
                <w:szCs w:val="20"/>
              </w:rPr>
            </w:pPr>
          </w:p>
        </w:tc>
      </w:tr>
      <w:tr w:rsidR="00D96CB0">
        <w:trPr>
          <w:trHeight w:val="3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065FDF">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065FDF">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96CB0" w:rsidRDefault="00D96CB0">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D96CB0" w:rsidRDefault="00D96CB0">
            <w:pPr>
              <w:jc w:val="right"/>
              <w:rPr>
                <w:rFonts w:ascii="Arial" w:hAnsi="Arial" w:cs="Arial" w:hint="default"/>
                <w:color w:val="000000"/>
                <w:sz w:val="20"/>
                <w:szCs w:val="20"/>
              </w:rPr>
            </w:pPr>
          </w:p>
        </w:tc>
      </w:tr>
      <w:tr w:rsidR="00D96CB0">
        <w:trPr>
          <w:trHeight w:val="953"/>
          <w:jc w:val="center"/>
        </w:trPr>
        <w:tc>
          <w:tcPr>
            <w:tcW w:w="20920" w:type="dxa"/>
            <w:gridSpan w:val="5"/>
            <w:tcBorders>
              <w:top w:val="nil"/>
              <w:left w:val="nil"/>
              <w:bottom w:val="nil"/>
              <w:right w:val="nil"/>
            </w:tcBorders>
            <w:shd w:val="clear" w:color="auto" w:fill="auto"/>
            <w:vAlign w:val="center"/>
          </w:tcPr>
          <w:p w:rsidR="00D96CB0" w:rsidRDefault="00065FDF">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D96CB0" w:rsidRDefault="00D96CB0">
      <w:pPr>
        <w:rPr>
          <w:rFonts w:cs="宋体" w:hint="default"/>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rPr>
          <w:rFonts w:cs="宋体" w:hint="default"/>
          <w:color w:val="000000"/>
          <w:sz w:val="21"/>
          <w:szCs w:val="21"/>
        </w:rPr>
      </w:pPr>
    </w:p>
    <w:p w:rsidR="00D96CB0" w:rsidRDefault="00D96CB0">
      <w:pPr>
        <w:pStyle w:val="1"/>
        <w:autoSpaceDE w:val="0"/>
        <w:ind w:firstLineChars="0" w:firstLine="0"/>
        <w:rPr>
          <w:rFonts w:cs="宋体"/>
          <w:sz w:val="21"/>
          <w:szCs w:val="21"/>
        </w:rPr>
      </w:pPr>
    </w:p>
    <w:sectPr w:rsidR="00D96CB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DF" w:rsidRDefault="00065FDF">
      <w:pPr>
        <w:rPr>
          <w:rFonts w:hint="default"/>
        </w:rPr>
      </w:pPr>
      <w:r>
        <w:separator/>
      </w:r>
    </w:p>
  </w:endnote>
  <w:endnote w:type="continuationSeparator" w:id="0">
    <w:p w:rsidR="00065FDF" w:rsidRDefault="00065FD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B0" w:rsidRDefault="00065FDF">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D96CB0" w:rsidRDefault="00065FDF">
                <w:pPr>
                  <w:pStyle w:val="a4"/>
                  <w:rPr>
                    <w:rFonts w:hint="default"/>
                  </w:rPr>
                </w:pPr>
                <w:r>
                  <w:t xml:space="preserve"> </w:t>
                </w:r>
                <w:r>
                  <w:rPr>
                    <w:rFonts w:hint="default"/>
                  </w:rPr>
                  <w:fldChar w:fldCharType="begin"/>
                </w:r>
                <w:r>
                  <w:instrText>PAGE   \* MERGEFORMAT</w:instrText>
                </w:r>
                <w:r>
                  <w:rPr>
                    <w:rFonts w:hint="default"/>
                  </w:rPr>
                  <w:fldChar w:fldCharType="separate"/>
                </w:r>
                <w:r w:rsidR="000B1000" w:rsidRPr="000B1000">
                  <w:rPr>
                    <w:rFonts w:hint="default"/>
                    <w:noProof/>
                    <w:lang w:val="zh-CN"/>
                  </w:rPr>
                  <w:t>-</w:t>
                </w:r>
                <w:r w:rsidR="000B1000">
                  <w:rPr>
                    <w:rFonts w:hint="default"/>
                    <w:noProof/>
                  </w:rPr>
                  <w:t xml:space="preserve"> 1 -</w:t>
                </w:r>
                <w:r>
                  <w:rPr>
                    <w:rFonts w:hint="default"/>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D96CB0" w:rsidRDefault="00065FDF">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DF" w:rsidRDefault="00065FDF">
      <w:pPr>
        <w:rPr>
          <w:rFonts w:hint="default"/>
        </w:rPr>
      </w:pPr>
      <w:r>
        <w:separator/>
      </w:r>
    </w:p>
  </w:footnote>
  <w:footnote w:type="continuationSeparator" w:id="0">
    <w:p w:rsidR="00065FDF" w:rsidRDefault="00065FD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B0" w:rsidRDefault="00D96CB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D3BFA"/>
    <w:multiLevelType w:val="multilevel"/>
    <w:tmpl w:val="729D3BFA"/>
    <w:lvl w:ilvl="0">
      <w:start w:val="4"/>
      <w:numFmt w:val="japaneseCounting"/>
      <w:lvlText w:val="（%1）"/>
      <w:lvlJc w:val="left"/>
      <w:pPr>
        <w:ind w:left="1723" w:hanging="108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65FDF"/>
    <w:rsid w:val="000B1000"/>
    <w:rsid w:val="000F4131"/>
    <w:rsid w:val="0011436B"/>
    <w:rsid w:val="00160A5B"/>
    <w:rsid w:val="001829DE"/>
    <w:rsid w:val="00237C0C"/>
    <w:rsid w:val="0027792C"/>
    <w:rsid w:val="002E5443"/>
    <w:rsid w:val="002F1E3C"/>
    <w:rsid w:val="002F319B"/>
    <w:rsid w:val="0032197D"/>
    <w:rsid w:val="003A418A"/>
    <w:rsid w:val="003F4C55"/>
    <w:rsid w:val="00410492"/>
    <w:rsid w:val="00453788"/>
    <w:rsid w:val="004E26F0"/>
    <w:rsid w:val="00550ABE"/>
    <w:rsid w:val="005620ED"/>
    <w:rsid w:val="005941EE"/>
    <w:rsid w:val="005B501B"/>
    <w:rsid w:val="005E731B"/>
    <w:rsid w:val="0061630E"/>
    <w:rsid w:val="00624007"/>
    <w:rsid w:val="00653CEE"/>
    <w:rsid w:val="00654C8E"/>
    <w:rsid w:val="0067796B"/>
    <w:rsid w:val="00686392"/>
    <w:rsid w:val="006B1D12"/>
    <w:rsid w:val="006E19A2"/>
    <w:rsid w:val="007427F9"/>
    <w:rsid w:val="007B419D"/>
    <w:rsid w:val="008174B4"/>
    <w:rsid w:val="008228C0"/>
    <w:rsid w:val="00823F91"/>
    <w:rsid w:val="00834559"/>
    <w:rsid w:val="00846114"/>
    <w:rsid w:val="0085567F"/>
    <w:rsid w:val="00874B00"/>
    <w:rsid w:val="0087658D"/>
    <w:rsid w:val="008A634A"/>
    <w:rsid w:val="008B7274"/>
    <w:rsid w:val="008C4C24"/>
    <w:rsid w:val="00914BC5"/>
    <w:rsid w:val="0097751B"/>
    <w:rsid w:val="009B34D8"/>
    <w:rsid w:val="009B67B8"/>
    <w:rsid w:val="009F078B"/>
    <w:rsid w:val="009F1836"/>
    <w:rsid w:val="00A6298A"/>
    <w:rsid w:val="00A971F2"/>
    <w:rsid w:val="00AA25A1"/>
    <w:rsid w:val="00AB6070"/>
    <w:rsid w:val="00AD209D"/>
    <w:rsid w:val="00B03CCD"/>
    <w:rsid w:val="00B13DAB"/>
    <w:rsid w:val="00B60009"/>
    <w:rsid w:val="00B810C5"/>
    <w:rsid w:val="00BD6611"/>
    <w:rsid w:val="00C12D9E"/>
    <w:rsid w:val="00C34B7D"/>
    <w:rsid w:val="00D00586"/>
    <w:rsid w:val="00D37190"/>
    <w:rsid w:val="00D61027"/>
    <w:rsid w:val="00D72426"/>
    <w:rsid w:val="00D82630"/>
    <w:rsid w:val="00D96CB0"/>
    <w:rsid w:val="00DD6064"/>
    <w:rsid w:val="00E73311"/>
    <w:rsid w:val="00E97557"/>
    <w:rsid w:val="00EC0DAD"/>
    <w:rsid w:val="00EC74F7"/>
    <w:rsid w:val="00F072B3"/>
    <w:rsid w:val="00F17BCB"/>
    <w:rsid w:val="00F41166"/>
    <w:rsid w:val="00F73F90"/>
    <w:rsid w:val="00F8575F"/>
    <w:rsid w:val="00FA48E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E16DB5"/>
    <w:rsid w:val="56530F5D"/>
    <w:rsid w:val="567700D3"/>
    <w:rsid w:val="56FF7E9E"/>
    <w:rsid w:val="578867FC"/>
    <w:rsid w:val="57927D63"/>
    <w:rsid w:val="5842572D"/>
    <w:rsid w:val="5A3B59D6"/>
    <w:rsid w:val="5A5F4930"/>
    <w:rsid w:val="5AD134D8"/>
    <w:rsid w:val="5C263CE4"/>
    <w:rsid w:val="5C5D2777"/>
    <w:rsid w:val="5CF66BF3"/>
    <w:rsid w:val="5D290C69"/>
    <w:rsid w:val="5F2D4A41"/>
    <w:rsid w:val="5FE8645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F8794E"/>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1292</Words>
  <Characters>7369</Characters>
  <Application>Microsoft Office Word</Application>
  <DocSecurity>0</DocSecurity>
  <Lines>61</Lines>
  <Paragraphs>17</Paragraphs>
  <ScaleCrop>false</ScaleCrop>
  <Company>http:/sdwm.org</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44</cp:revision>
  <dcterms:created xsi:type="dcterms:W3CDTF">2024-07-11T02:00:00Z</dcterms:created>
  <dcterms:modified xsi:type="dcterms:W3CDTF">2025-09-02T06:27:00Z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