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重庆市黔江区大数</w:t>
      </w:r>
      <w:bookmarkStart w:id="0" w:name="_GoBack"/>
      <w:bookmarkEnd w:id="0"/>
      <w:r>
        <w:rPr>
          <w:rFonts w:hint="default" w:ascii="Times New Roman" w:hAnsi="Times New Roman" w:eastAsia="方正小标宋_GBK" w:cs="Times New Roman"/>
          <w:sz w:val="44"/>
          <w:szCs w:val="44"/>
        </w:rPr>
        <w:t>据应用发展中心</w:t>
      </w:r>
    </w:p>
    <w:p>
      <w:pPr>
        <w:pStyle w:val="5"/>
        <w:keepNext w:val="0"/>
        <w:keepLines w:val="0"/>
        <w:pageBreakBefore w:val="0"/>
        <w:widowControl/>
        <w:kinsoku/>
        <w:wordWrap/>
        <w:overflowPunct/>
        <w:topLinePunct w:val="0"/>
        <w:autoSpaceDN/>
        <w:bidi w:val="0"/>
        <w:adjustRightInd/>
        <w:spacing w:before="0" w:before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w:t>
      </w:r>
      <w:r>
        <w:rPr>
          <w:rFonts w:hint="default" w:ascii="Times New Roman" w:hAnsi="Times New Roman" w:eastAsia="方正小标宋_GBK" w:cs="Times New Roman"/>
          <w:sz w:val="44"/>
          <w:szCs w:val="44"/>
          <w:shd w:val="clear" w:color="auto" w:fill="FFFFFF"/>
          <w:lang w:eastAsia="zh-CN"/>
        </w:rPr>
        <w:t>公开</w:t>
      </w:r>
      <w:r>
        <w:rPr>
          <w:rFonts w:hint="default" w:ascii="Times New Roman" w:hAnsi="Times New Roman" w:eastAsia="方正小标宋_GBK" w:cs="Times New Roman"/>
          <w:sz w:val="44"/>
          <w:szCs w:val="44"/>
          <w:shd w:val="clear" w:color="auto" w:fill="FFFFFF"/>
        </w:rPr>
        <w:t>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黑体_GBK" w:cs="Times New Roman"/>
          <w:b w:val="0"/>
          <w:bCs/>
          <w:sz w:val="32"/>
          <w:szCs w:val="32"/>
        </w:rPr>
      </w:pPr>
      <w:r>
        <w:rPr>
          <w:rStyle w:val="9"/>
          <w:rFonts w:hint="default" w:ascii="Times New Roman" w:hAnsi="Times New Roman" w:eastAsia="方正黑体_GBK" w:cs="Times New Roman"/>
          <w:b w:val="0"/>
          <w:bCs/>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420"/>
        <w:textAlignment w:val="auto"/>
        <w:rPr>
          <w:rFonts w:hint="default" w:ascii="Times New Roman" w:hAnsi="Times New Roman" w:eastAsia="方正楷体_GBK" w:cs="Times New Roman"/>
          <w:b w:val="0"/>
          <w:bCs/>
          <w:sz w:val="32"/>
          <w:szCs w:val="32"/>
        </w:rPr>
      </w:pPr>
      <w:r>
        <w:rPr>
          <w:rStyle w:val="9"/>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一是</w:t>
      </w:r>
      <w:r>
        <w:rPr>
          <w:rFonts w:hint="default" w:ascii="Times New Roman" w:hAnsi="Times New Roman" w:eastAsia="方正仿宋_GBK" w:cs="Times New Roman"/>
          <w:sz w:val="32"/>
          <w:szCs w:val="32"/>
          <w:highlight w:val="none"/>
        </w:rPr>
        <w:t>研究拟订全区大数据、人工智能、信息化发展战略编制全区大数据、人工智能、信息化发展规划和年度计划，拟订相关政策措施和评价体系并组织实施。</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二是</w:t>
      </w:r>
      <w:r>
        <w:rPr>
          <w:rFonts w:hint="default" w:ascii="Times New Roman" w:hAnsi="Times New Roman" w:eastAsia="方正仿宋_GBK" w:cs="Times New Roman"/>
          <w:sz w:val="32"/>
          <w:szCs w:val="32"/>
          <w:highlight w:val="none"/>
        </w:rPr>
        <w:t>负责数据资源建设、管理，促进大数据政用、民用、商用。负责推进全区政府数据采集汇聚、登记管理、共享开放。负责推动社会数据汇聚融合、互联互通、资源共享。负责研究推进数据资源的流通交易。负责推进社会公共信息资源整合和应用。</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三是</w:t>
      </w:r>
      <w:r>
        <w:rPr>
          <w:rFonts w:hint="default" w:ascii="Times New Roman" w:hAnsi="Times New Roman" w:eastAsia="方正仿宋_GBK" w:cs="Times New Roman"/>
          <w:sz w:val="32"/>
          <w:szCs w:val="32"/>
          <w:highlight w:val="none"/>
        </w:rPr>
        <w:t>负责全区大数据应用发展管理。统筹推进大数据、人工智能等新一代信息技术和国民经济各领域融合应用。推动大数据、人工智能等产学研用结合，推动大数据、人工智能等新兴领域发展。</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四是</w:t>
      </w:r>
      <w:r>
        <w:rPr>
          <w:rFonts w:hint="default" w:ascii="Times New Roman" w:hAnsi="Times New Roman" w:eastAsia="方正仿宋_GBK" w:cs="Times New Roman"/>
          <w:sz w:val="32"/>
          <w:szCs w:val="32"/>
          <w:highlight w:val="none"/>
        </w:rPr>
        <w:t>负责推进全区信息化应用工作。统筹推进全区智慧城市建设。负责组织协调跨部门、跨行业、跨领域的信息化应用，协调解决信息化建设中的重大问题。</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五是</w:t>
      </w:r>
      <w:r>
        <w:rPr>
          <w:rFonts w:hint="default" w:ascii="Times New Roman" w:hAnsi="Times New Roman" w:eastAsia="方正仿宋_GBK" w:cs="Times New Roman"/>
          <w:sz w:val="32"/>
          <w:szCs w:val="32"/>
          <w:highlight w:val="none"/>
        </w:rPr>
        <w:t>负责协调全区信息基础设施建设。协调推动下一代网络部署和规模化商用。</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六是</w:t>
      </w:r>
      <w:r>
        <w:rPr>
          <w:rFonts w:hint="default" w:ascii="Times New Roman" w:hAnsi="Times New Roman" w:eastAsia="方正仿宋_GBK" w:cs="Times New Roman"/>
          <w:sz w:val="32"/>
          <w:szCs w:val="32"/>
          <w:highlight w:val="none"/>
        </w:rPr>
        <w:t>负责推动大数据、人工智能、信息化领域对外交流合作。参与国际国内重大交流合作活动，指导开展区域化合作，承办相关活动。指导大数据、人工智能、信息化人才队伍建设工作。指导相关行业协会、学会、联盟机构工作。</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七是</w:t>
      </w:r>
      <w:r>
        <w:rPr>
          <w:rFonts w:hint="default" w:ascii="Times New Roman" w:hAnsi="Times New Roman" w:eastAsia="方正仿宋_GBK" w:cs="Times New Roman"/>
          <w:sz w:val="32"/>
          <w:szCs w:val="32"/>
          <w:highlight w:val="none"/>
        </w:rPr>
        <w:t xml:space="preserve">负责协调推进数据基础制度建设，统筹数据资源整合共享和开发利用，推进数字重庆、数字社会规划和建设等。       </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八是</w:t>
      </w:r>
      <w:r>
        <w:rPr>
          <w:rFonts w:hint="default" w:ascii="Times New Roman" w:hAnsi="Times New Roman" w:eastAsia="方正仿宋_GBK" w:cs="Times New Roman"/>
          <w:sz w:val="32"/>
          <w:szCs w:val="32"/>
          <w:highlight w:val="none"/>
        </w:rPr>
        <w:t>完成区委、区政府交办的其他任务。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420"/>
        <w:textAlignment w:val="auto"/>
        <w:rPr>
          <w:rFonts w:hint="default" w:ascii="Times New Roman" w:hAnsi="Times New Roman" w:eastAsia="方正楷体_GBK" w:cs="Times New Roman"/>
          <w:b w:val="0"/>
          <w:bCs/>
          <w:sz w:val="32"/>
          <w:szCs w:val="32"/>
        </w:rPr>
      </w:pPr>
      <w:r>
        <w:rPr>
          <w:rStyle w:val="9"/>
          <w:rFonts w:hint="default" w:ascii="Times New Roman" w:hAnsi="Times New Roman" w:eastAsia="方正楷体_GBK"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本年度大数据发展中心作为二级事业单位转入区大数据发展管理局。</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二、部门决算情况说明</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度收入总计120.12万元，支出总计</w:t>
      </w:r>
      <w:r>
        <w:rPr>
          <w:rFonts w:hint="default" w:ascii="Times New Roman" w:hAnsi="Times New Roman" w:eastAsia="方正仿宋_GBK" w:cs="Times New Roman"/>
          <w:sz w:val="32"/>
          <w:szCs w:val="32"/>
        </w:rPr>
        <w:t>120.12</w:t>
      </w:r>
      <w:r>
        <w:rPr>
          <w:rFonts w:hint="default" w:ascii="Times New Roman" w:hAnsi="Times New Roman" w:eastAsia="方正仿宋_GBK" w:cs="Times New Roman"/>
          <w:sz w:val="32"/>
          <w:szCs w:val="32"/>
          <w:shd w:val="clear" w:color="auto" w:fill="FFFFFF"/>
        </w:rPr>
        <w:t>万元。收、支与2023年度相比，增加120.12万元，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度收入合计120.12万元，与2023年度相比，增加120.12万元，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120.12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120.12</w:t>
      </w:r>
      <w:r>
        <w:rPr>
          <w:rFonts w:hint="default" w:ascii="Times New Roman" w:hAnsi="Times New Roman" w:eastAsia="方正仿宋_GBK" w:cs="Times New Roman"/>
          <w:sz w:val="32"/>
          <w:szCs w:val="32"/>
          <w:shd w:val="clear" w:color="auto" w:fill="FFFFFF"/>
        </w:rPr>
        <w:t>万元，与2023年度相比，增加120.12万元，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108.02</w:t>
      </w:r>
      <w:r>
        <w:rPr>
          <w:rFonts w:hint="default" w:ascii="Times New Roman" w:hAnsi="Times New Roman" w:eastAsia="方正仿宋_GBK" w:cs="Times New Roman"/>
          <w:sz w:val="32"/>
          <w:szCs w:val="32"/>
          <w:shd w:val="clear" w:color="auto" w:fill="FFFFFF"/>
        </w:rPr>
        <w:t>万元，占89.93%；项目支出</w:t>
      </w:r>
      <w:r>
        <w:rPr>
          <w:rFonts w:hint="default" w:ascii="Times New Roman" w:hAnsi="Times New Roman" w:eastAsia="方正仿宋_GBK" w:cs="Times New Roman"/>
          <w:sz w:val="32"/>
          <w:szCs w:val="32"/>
        </w:rPr>
        <w:t>12.10</w:t>
      </w:r>
      <w:r>
        <w:rPr>
          <w:rFonts w:hint="default" w:ascii="Times New Roman" w:hAnsi="Times New Roman" w:eastAsia="方正仿宋_GBK" w:cs="Times New Roman"/>
          <w:sz w:val="32"/>
          <w:szCs w:val="32"/>
          <w:shd w:val="clear" w:color="auto" w:fill="FFFFFF"/>
        </w:rPr>
        <w:t>万元，占10.07%；经营支出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度财政拨款收、支总计120.12万元。与</w:t>
      </w:r>
      <w:r>
        <w:rPr>
          <w:rFonts w:hint="default" w:ascii="Times New Roman" w:hAnsi="Times New Roman" w:eastAsia="方正仿宋_GBK" w:cs="Times New Roman"/>
          <w:sz w:val="32"/>
          <w:szCs w:val="32"/>
          <w:shd w:val="clear" w:color="auto" w:fill="FFFFFF"/>
          <w:lang w:eastAsia="zh-CN"/>
        </w:rPr>
        <w:t>2023年</w:t>
      </w:r>
      <w:r>
        <w:rPr>
          <w:rFonts w:hint="default" w:ascii="Times New Roman" w:hAnsi="Times New Roman" w:eastAsia="方正仿宋_GBK" w:cs="Times New Roman"/>
          <w:sz w:val="32"/>
          <w:szCs w:val="32"/>
          <w:shd w:val="clear" w:color="auto" w:fill="FFFFFF"/>
        </w:rPr>
        <w:t>相比，财政拨款收、支总计各增加120.12万元。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120.12</w:t>
      </w:r>
      <w:r>
        <w:rPr>
          <w:rFonts w:hint="default" w:ascii="Times New Roman" w:hAnsi="Times New Roman" w:eastAsia="方正仿宋_GBK" w:cs="Times New Roman"/>
          <w:sz w:val="32"/>
          <w:szCs w:val="32"/>
          <w:shd w:val="clear" w:color="auto" w:fill="FFFFFF"/>
        </w:rPr>
        <w:t>万元，与2023年度相比，增加120.12万元。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较年初预算数增加120.12万元。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120.12</w:t>
      </w:r>
      <w:r>
        <w:rPr>
          <w:rFonts w:hint="default" w:ascii="Times New Roman" w:hAnsi="Times New Roman" w:eastAsia="方正仿宋_GBK" w:cs="Times New Roman"/>
          <w:sz w:val="32"/>
          <w:szCs w:val="32"/>
          <w:shd w:val="clear" w:color="auto" w:fill="FFFFFF"/>
        </w:rPr>
        <w:t>万元，与2023年度相比，增加120.12万元。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较年初预算数增加120.12万元。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11.33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9.44</w:t>
      </w:r>
      <w:r>
        <w:rPr>
          <w:rFonts w:hint="default" w:ascii="Times New Roman" w:hAnsi="Times New Roman" w:eastAsia="方正仿宋_GBK" w:cs="Times New Roman"/>
          <w:sz w:val="32"/>
          <w:szCs w:val="32"/>
          <w:shd w:val="clear" w:color="auto" w:fill="FFFFFF"/>
        </w:rPr>
        <w:t>%，较年初预算数增加11.33万元，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4.61</w:t>
      </w:r>
      <w:r>
        <w:rPr>
          <w:rFonts w:hint="default" w:ascii="Times New Roman" w:hAnsi="Times New Roman" w:eastAsia="方正仿宋_GBK" w:cs="Times New Roman"/>
          <w:sz w:val="32"/>
          <w:szCs w:val="32"/>
          <w:shd w:val="clear" w:color="auto" w:fill="FFFFFF"/>
        </w:rPr>
        <w:t>%，较年初预算数增加5.54万元，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97.21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80.93</w:t>
      </w:r>
      <w:r>
        <w:rPr>
          <w:rFonts w:hint="default" w:ascii="Times New Roman" w:hAnsi="Times New Roman" w:eastAsia="方正仿宋_GBK" w:cs="Times New Roman"/>
          <w:sz w:val="32"/>
          <w:szCs w:val="32"/>
          <w:shd w:val="clear" w:color="auto" w:fill="FFFFFF"/>
        </w:rPr>
        <w:t>%，较年初预算数增加97.21万元，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5.03</w:t>
      </w:r>
      <w:r>
        <w:rPr>
          <w:rFonts w:hint="default" w:ascii="Times New Roman" w:hAnsi="Times New Roman" w:eastAsia="方正仿宋_GBK" w:cs="Times New Roman"/>
          <w:sz w:val="32"/>
          <w:szCs w:val="32"/>
          <w:shd w:val="clear" w:color="auto" w:fill="FFFFFF"/>
        </w:rPr>
        <w:t>%，较年初预算数增加6.04万元，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108.02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96.16</w:t>
      </w:r>
      <w:r>
        <w:rPr>
          <w:rFonts w:hint="default" w:ascii="Times New Roman" w:hAnsi="Times New Roman" w:eastAsia="方正仿宋_GBK" w:cs="Times New Roman"/>
          <w:sz w:val="32"/>
          <w:szCs w:val="32"/>
          <w:shd w:val="clear" w:color="auto" w:fill="FFFFFF"/>
        </w:rPr>
        <w:t>万元，与2023年度相比，增加96.16万元，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基本工资、公积金、社保等员工基本支出</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11.86</w:t>
      </w:r>
      <w:r>
        <w:rPr>
          <w:rFonts w:hint="default" w:ascii="Times New Roman" w:hAnsi="Times New Roman" w:eastAsia="方正仿宋_GBK" w:cs="Times New Roman"/>
          <w:sz w:val="32"/>
          <w:szCs w:val="32"/>
          <w:shd w:val="clear" w:color="auto" w:fill="FFFFFF"/>
        </w:rPr>
        <w:t>万元，与2023年度相比，增加11.86万元，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rPr>
        <w:t>公用经费用途</w:t>
      </w:r>
      <w:r>
        <w:rPr>
          <w:rFonts w:hint="default" w:ascii="Times New Roman" w:hAnsi="Times New Roman" w:eastAsia="方正仿宋_GBK" w:cs="Times New Roman"/>
          <w:sz w:val="32"/>
          <w:szCs w:val="32"/>
          <w:highlight w:val="none"/>
          <w:lang w:val="en-US" w:eastAsia="zh-CN"/>
        </w:rPr>
        <w:t>主要包括</w:t>
      </w:r>
      <w:r>
        <w:rPr>
          <w:rFonts w:hint="eastAsia" w:ascii="Times New Roman" w:hAnsi="Times New Roman" w:eastAsia="方正仿宋_GBK" w:cs="Times New Roman"/>
          <w:sz w:val="32"/>
          <w:szCs w:val="32"/>
          <w:highlight w:val="none"/>
          <w:lang w:val="en-US" w:eastAsia="zh-CN"/>
        </w:rPr>
        <w:t>办公费、伙食费、</w:t>
      </w:r>
      <w:r>
        <w:rPr>
          <w:rFonts w:hint="default" w:ascii="Times New Roman" w:hAnsi="Times New Roman" w:eastAsia="方正仿宋_GBK" w:cs="Times New Roman"/>
          <w:sz w:val="32"/>
          <w:szCs w:val="32"/>
          <w:highlight w:val="none"/>
          <w:lang w:val="en-US" w:eastAsia="zh-CN"/>
        </w:rPr>
        <w:t>差旅费、水电费等单位日常运转支出。</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本部门2024年度无国有资本经营预算财政拨款支出</w:t>
      </w:r>
      <w:r>
        <w:rPr>
          <w:rFonts w:hint="default" w:ascii="Times New Roman" w:hAnsi="Times New Roman" w:eastAsia="方正仿宋_GBK" w:cs="Times New Roman"/>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三、“三公”经费情况说明</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w:t>
      </w:r>
      <w:r>
        <w:rPr>
          <w:rFonts w:hint="default" w:ascii="Times New Roman" w:hAnsi="Times New Roman" w:eastAsia="楷体" w:cs="Times New Roman"/>
          <w:b w:val="0"/>
          <w:bCs w:val="0"/>
          <w:sz w:val="32"/>
          <w:szCs w:val="32"/>
          <w:shd w:val="clear" w:color="auto" w:fill="FFFFFF"/>
          <w:lang w:bidi="ar"/>
        </w:rPr>
        <w:t>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万元，较年初预算数增加0.23万元，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r>
        <w:rPr>
          <w:rFonts w:hint="default" w:ascii="Times New Roman" w:hAnsi="Times New Roman" w:eastAsia="方正仿宋_GBK" w:cs="Times New Roman"/>
          <w:sz w:val="32"/>
          <w:szCs w:val="32"/>
          <w:shd w:val="clear" w:color="auto" w:fill="FFFFFF"/>
        </w:rPr>
        <w:t>较上年支出数增加0.23万元，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其他单位来黔江与本单位开展公务活动</w:t>
      </w:r>
      <w:r>
        <w:rPr>
          <w:rFonts w:hint="default" w:ascii="Times New Roman" w:hAnsi="Times New Roman" w:eastAsia="方正仿宋_GBK" w:cs="Times New Roman"/>
          <w:sz w:val="32"/>
          <w:szCs w:val="32"/>
          <w:shd w:val="clear" w:color="auto" w:fill="FFFFFF"/>
        </w:rPr>
        <w:t>。费用支出较年初预算数增加0.23万元，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w:t>
      </w:r>
      <w:r>
        <w:rPr>
          <w:rFonts w:hint="eastAsia" w:ascii="Times New Roman" w:hAnsi="Times New Roman" w:eastAsia="方正仿宋_GBK" w:cs="Times New Roman"/>
          <w:sz w:val="32"/>
          <w:szCs w:val="32"/>
          <w:highlight w:val="none"/>
          <w:lang w:val="en-US" w:eastAsia="zh-CN"/>
        </w:rPr>
        <w:t>年初</w:t>
      </w:r>
      <w:r>
        <w:rPr>
          <w:rFonts w:hint="default" w:ascii="Times New Roman" w:hAnsi="Times New Roman" w:eastAsia="方正仿宋_GBK" w:cs="Times New Roman"/>
          <w:sz w:val="32"/>
          <w:szCs w:val="32"/>
          <w:highlight w:val="none"/>
          <w:lang w:val="en-US" w:eastAsia="zh-CN"/>
        </w:rPr>
        <w:t>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较上年支出数增加0.23万元，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44.63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挂牌成立</w:t>
      </w:r>
      <w:r>
        <w:rPr>
          <w:rFonts w:hint="eastAsia" w:ascii="Times New Roman" w:hAnsi="Times New Roman" w:eastAsia="方正仿宋_GBK" w:cs="Times New Roman"/>
          <w:sz w:val="32"/>
          <w:szCs w:val="32"/>
          <w:highlight w:val="none"/>
          <w:lang w:val="en-US" w:eastAsia="zh-CN"/>
        </w:rPr>
        <w:t>后，区大数据中心才转入</w:t>
      </w:r>
      <w:r>
        <w:rPr>
          <w:rFonts w:hint="default" w:ascii="Times New Roman" w:hAnsi="Times New Roman" w:eastAsia="方正仿宋_GBK" w:cs="Times New Roman"/>
          <w:sz w:val="32"/>
          <w:szCs w:val="32"/>
          <w:highlight w:val="none"/>
          <w:lang w:val="en-US" w:eastAsia="zh-CN"/>
        </w:rPr>
        <w:t>，无去年数据</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N/>
        <w:bidi w:val="0"/>
        <w:adjustRightInd/>
        <w:spacing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eastAsia" w:ascii="Times New Roman" w:hAnsi="Times New Roman" w:eastAsia="方正黑体_GBK" w:cs="Times New Roman"/>
          <w:b w:val="0"/>
          <w:bCs/>
          <w:sz w:val="32"/>
          <w:szCs w:val="32"/>
          <w:shd w:val="clear" w:color="auto" w:fill="FFFFFF"/>
          <w:lang w:val="en-US" w:eastAsia="zh-CN"/>
        </w:rPr>
        <w:t>五</w:t>
      </w:r>
      <w:r>
        <w:rPr>
          <w:rStyle w:val="9"/>
          <w:rFonts w:hint="default" w:ascii="Times New Roman" w:hAnsi="Times New Roman" w:eastAsia="方正黑体_GBK" w:cs="Times New Roman"/>
          <w:b w:val="0"/>
          <w:bCs/>
          <w:sz w:val="32"/>
          <w:szCs w:val="32"/>
          <w:shd w:val="clear" w:color="auto" w:fill="FFFFFF"/>
          <w:lang w:val="en-US" w:eastAsia="zh-CN"/>
        </w:rPr>
        <w:t>、专业名词解释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以下为常见专业名词解释目录，仅供参考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N/>
        <w:bidi w:val="0"/>
        <w:adjustRightInd/>
        <w:spacing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eastAsia" w:ascii="Times New Roman" w:hAnsi="Times New Roman" w:eastAsia="方正黑体_GBK" w:cs="Times New Roman"/>
          <w:b w:val="0"/>
          <w:bCs/>
          <w:sz w:val="32"/>
          <w:szCs w:val="32"/>
          <w:shd w:val="clear" w:color="auto" w:fill="FFFFFF"/>
          <w:lang w:val="en-US" w:eastAsia="zh-CN"/>
        </w:rPr>
        <w:t>六</w:t>
      </w:r>
      <w:r>
        <w:rPr>
          <w:rStyle w:val="9"/>
          <w:rFonts w:hint="default" w:ascii="Times New Roman" w:hAnsi="Times New Roman" w:eastAsia="方正黑体_GBK" w:cs="Times New Roman"/>
          <w:b w:val="0"/>
          <w:bCs/>
          <w:sz w:val="32"/>
          <w:szCs w:val="32"/>
          <w:shd w:val="clear" w:color="auto" w:fill="FFFFFF"/>
          <w:lang w:val="en-US" w:eastAsia="zh-CN"/>
        </w:rPr>
        <w:t>、决算公开联系方式及信息反馈渠道</w:t>
      </w:r>
    </w:p>
    <w:p>
      <w:pPr>
        <w:pStyle w:val="10"/>
        <w:keepNext w:val="0"/>
        <w:keepLines w:val="0"/>
        <w:pageBreakBefore w:val="0"/>
        <w:widowControl/>
        <w:kinsoku/>
        <w:wordWrap/>
        <w:overflowPunct/>
        <w:topLinePunct w:val="0"/>
        <w:autoSpaceDE w:val="0"/>
        <w:autoSpaceDN/>
        <w:bidi w:val="0"/>
        <w:adjustRightInd/>
        <w:spacing w:line="594" w:lineRule="exact"/>
        <w:ind w:firstLine="640" w:firstLineChars="200"/>
        <w:textAlignment w:val="auto"/>
        <w:rPr>
          <w:rStyle w:val="9"/>
          <w:rFonts w:hint="default" w:ascii="Times New Roman" w:hAnsi="Times New Roman" w:eastAsia="方正仿宋_GBK" w:cs="Times New Roman"/>
          <w:sz w:val="32"/>
          <w:szCs w:val="32"/>
          <w:shd w:val="clear" w:color="auto" w:fill="FFFF00"/>
          <w:lang w:val="en-US"/>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023-79082390</w:t>
      </w: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重庆市黔江区大数据应用发展中心</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11.33</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5.54</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97.21</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6.04</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tblPrEx>
          <w:shd w:val="clear" w:color="auto" w:fill="auto"/>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重庆市黔江区大数据应用发展中心</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shd w:val="clear" w:color="auto" w:fill="auto"/>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shd w:val="clear" w:color="auto" w:fill="auto"/>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120.12</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120.12</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85.11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85.11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其他工业和信息产业监管支出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12.10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12.10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重庆市黔江区大数据应用发展中心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120.12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108.02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12.10</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85.11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85.11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其他工业和信息产业监管支出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6.04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shd w:val="clear" w:color="auto" w:fill="auto"/>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11.33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11.33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97.21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97.21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120.12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shd w:val="clear" w:color="auto" w:fill="auto"/>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120.12</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108.02</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12.10</w:t>
            </w: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7.56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7.56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5.54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5.54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5.54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5.54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4.10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4.10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97.21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12.10</w:t>
            </w:r>
            <w:r>
              <w:rPr>
                <w:rFonts w:hint="eastAsia" w:cs="宋体"/>
                <w:b/>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97.21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12.10</w:t>
            </w:r>
            <w:r>
              <w:rPr>
                <w:rFonts w:hint="eastAsia" w:cs="宋体"/>
                <w:b/>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85.11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85.11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其他工业和信息产业监管支出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12.10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12.10</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6.04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96.16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10.86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45.94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3.78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96.16</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11.86</w:t>
            </w: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shd w:val="clear" w:color="auto" w:fill="auto"/>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tblPrEx>
          <w:shd w:val="clear" w:color="auto" w:fill="auto"/>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shd w:val="clear" w:color="auto" w:fill="auto"/>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重庆市黔江区大数据应用发展中心</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0.70</w:t>
            </w: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四、差旅费</w:t>
            </w:r>
          </w:p>
        </w:tc>
        <w:tc>
          <w:tcPr>
            <w:tcW w:w="382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2.00</w:t>
            </w: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JmYzE3MGVkY2ZlY2E1ZmI1ZmFkNTA4Yzc3YjEifQ=="/>
  </w:docVars>
  <w:rsids>
    <w:rsidRoot w:val="00B03CCD"/>
    <w:rsid w:val="00550ABE"/>
    <w:rsid w:val="007B419D"/>
    <w:rsid w:val="00922C44"/>
    <w:rsid w:val="009B67B8"/>
    <w:rsid w:val="00B03CCD"/>
    <w:rsid w:val="00F73F90"/>
    <w:rsid w:val="01474EBF"/>
    <w:rsid w:val="01F3521E"/>
    <w:rsid w:val="03B87EA0"/>
    <w:rsid w:val="03E3214F"/>
    <w:rsid w:val="044C50BA"/>
    <w:rsid w:val="05524683"/>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7C6A10"/>
    <w:rsid w:val="0DDA54E4"/>
    <w:rsid w:val="0E3A5F83"/>
    <w:rsid w:val="0F836721"/>
    <w:rsid w:val="0F981324"/>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5A6C3A"/>
    <w:rsid w:val="14FF4CBA"/>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026E33"/>
    <w:rsid w:val="2B167953"/>
    <w:rsid w:val="2B200583"/>
    <w:rsid w:val="2B8209DE"/>
    <w:rsid w:val="2C6762A3"/>
    <w:rsid w:val="2FCA4B37"/>
    <w:rsid w:val="2FE029D7"/>
    <w:rsid w:val="2FF06E00"/>
    <w:rsid w:val="30586FEC"/>
    <w:rsid w:val="3111220A"/>
    <w:rsid w:val="315F0B22"/>
    <w:rsid w:val="31D84415"/>
    <w:rsid w:val="32285F6F"/>
    <w:rsid w:val="32770556"/>
    <w:rsid w:val="329C0913"/>
    <w:rsid w:val="32AA0460"/>
    <w:rsid w:val="33244EC3"/>
    <w:rsid w:val="3337290D"/>
    <w:rsid w:val="33E31118"/>
    <w:rsid w:val="33EF7674"/>
    <w:rsid w:val="342D7BC6"/>
    <w:rsid w:val="352930DB"/>
    <w:rsid w:val="35573069"/>
    <w:rsid w:val="355F6038"/>
    <w:rsid w:val="358C217E"/>
    <w:rsid w:val="35C85B3C"/>
    <w:rsid w:val="36C9128A"/>
    <w:rsid w:val="37841E99"/>
    <w:rsid w:val="37BF1123"/>
    <w:rsid w:val="37F52DF6"/>
    <w:rsid w:val="383C3F15"/>
    <w:rsid w:val="38BE4696"/>
    <w:rsid w:val="3939115E"/>
    <w:rsid w:val="39B82A39"/>
    <w:rsid w:val="39C42CA8"/>
    <w:rsid w:val="39DC4FD6"/>
    <w:rsid w:val="39F03D7A"/>
    <w:rsid w:val="39F33306"/>
    <w:rsid w:val="3A2C1C67"/>
    <w:rsid w:val="3B1705E5"/>
    <w:rsid w:val="3B18334B"/>
    <w:rsid w:val="3B36794F"/>
    <w:rsid w:val="3BEE647B"/>
    <w:rsid w:val="3C566AD6"/>
    <w:rsid w:val="3C6A5B02"/>
    <w:rsid w:val="3D2757A1"/>
    <w:rsid w:val="3D3D4FC4"/>
    <w:rsid w:val="3DDF3AB1"/>
    <w:rsid w:val="3E1D0952"/>
    <w:rsid w:val="3E42660A"/>
    <w:rsid w:val="3E5146F2"/>
    <w:rsid w:val="3E682515"/>
    <w:rsid w:val="3E7555B1"/>
    <w:rsid w:val="3E787ED9"/>
    <w:rsid w:val="3F032E93"/>
    <w:rsid w:val="3F0527E5"/>
    <w:rsid w:val="3F694D83"/>
    <w:rsid w:val="3F885DCC"/>
    <w:rsid w:val="3FCD675E"/>
    <w:rsid w:val="4004000C"/>
    <w:rsid w:val="411B6CE5"/>
    <w:rsid w:val="412070D7"/>
    <w:rsid w:val="41314E40"/>
    <w:rsid w:val="41B70A40"/>
    <w:rsid w:val="41E0734B"/>
    <w:rsid w:val="426C1EA8"/>
    <w:rsid w:val="42736402"/>
    <w:rsid w:val="42E86A87"/>
    <w:rsid w:val="43307B09"/>
    <w:rsid w:val="438C4686"/>
    <w:rsid w:val="439A3EB9"/>
    <w:rsid w:val="43BB152F"/>
    <w:rsid w:val="44C37687"/>
    <w:rsid w:val="44F073F9"/>
    <w:rsid w:val="45CB699A"/>
    <w:rsid w:val="463D70CE"/>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D54DC2"/>
    <w:rsid w:val="5CF66BF3"/>
    <w:rsid w:val="5D290C69"/>
    <w:rsid w:val="5E973B2A"/>
    <w:rsid w:val="5F2D4A41"/>
    <w:rsid w:val="60C74F6C"/>
    <w:rsid w:val="61025A59"/>
    <w:rsid w:val="613D5BBC"/>
    <w:rsid w:val="615275C5"/>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CA4DEE"/>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B12342"/>
    <w:rsid w:val="750837F0"/>
    <w:rsid w:val="754758CF"/>
    <w:rsid w:val="764F62AB"/>
    <w:rsid w:val="765C45EC"/>
    <w:rsid w:val="768A7619"/>
    <w:rsid w:val="772E1EBA"/>
    <w:rsid w:val="781926BC"/>
    <w:rsid w:val="783A190C"/>
    <w:rsid w:val="796D60A4"/>
    <w:rsid w:val="79A031D5"/>
    <w:rsid w:val="7A1525F7"/>
    <w:rsid w:val="7AEA5A84"/>
    <w:rsid w:val="7B420052"/>
    <w:rsid w:val="7BD06A28"/>
    <w:rsid w:val="7C0A4C9B"/>
    <w:rsid w:val="7C3A7C0B"/>
    <w:rsid w:val="7C5248E4"/>
    <w:rsid w:val="7C566698"/>
    <w:rsid w:val="7C5866A3"/>
    <w:rsid w:val="7D7406BB"/>
    <w:rsid w:val="7DE94331"/>
    <w:rsid w:val="7F2C7D5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8265</Words>
  <Characters>9845</Characters>
  <Lines>161</Lines>
  <Paragraphs>45</Paragraphs>
  <TotalTime>1</TotalTime>
  <ScaleCrop>false</ScaleCrop>
  <LinksUpToDate>false</LinksUpToDate>
  <CharactersWithSpaces>10882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2025-09-23T03:07:00Z</cp:lastPrinted>
  <dcterms:modified xsi:type="dcterms:W3CDTF">2025-09-23T07:56:49Z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BB46EABDBB2749749395447164B066B3_12</vt:lpwstr>
  </property>
</Properties>
</file>