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239</w:t>
      </w:r>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1929651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3D14DC67">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关于重庆市黔江区G319高成线公路安全设施精细化提升工程可行性研究报告的批复</w:t>
      </w:r>
    </w:p>
    <w:p w14:paraId="1A8415EF">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cs="Times New Roman"/>
          <w:szCs w:val="32"/>
        </w:rPr>
      </w:pPr>
    </w:p>
    <w:p w14:paraId="72BB712B">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区交通运输委</w:t>
      </w:r>
      <w:r>
        <w:rPr>
          <w:rFonts w:hint="default" w:ascii="Times New Roman" w:hAnsi="Times New Roman" w:eastAsia="方正仿宋_GBK" w:cs="Times New Roman"/>
          <w:sz w:val="32"/>
          <w:szCs w:val="32"/>
        </w:rPr>
        <w:t>：</w:t>
      </w:r>
    </w:p>
    <w:p w14:paraId="747E799E">
      <w:pPr>
        <w:pStyle w:val="4"/>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你单位《关于</w:t>
      </w:r>
      <w:r>
        <w:rPr>
          <w:rFonts w:hint="eastAsia" w:ascii="Times New Roman" w:hAnsi="Times New Roman" w:eastAsia="方正仿宋_GBK" w:cs="Times New Roman"/>
          <w:szCs w:val="32"/>
          <w:lang w:eastAsia="zh-CN"/>
        </w:rPr>
        <w:t>审查重庆市黔江区G319高成线公路安全设施精细化提升工</w:t>
      </w:r>
      <w:r>
        <w:rPr>
          <w:rFonts w:hint="eastAsia" w:ascii="方正仿宋_GBK" w:hAnsi="方正仿宋_GBK" w:eastAsia="方正仿宋_GBK" w:cs="方正仿宋_GBK"/>
          <w:szCs w:val="32"/>
          <w:lang w:eastAsia="zh-CN"/>
        </w:rPr>
        <w:t>程可行性研究报告的函</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eastAsia="zh-CN"/>
        </w:rPr>
        <w:t>黔江交通函</w:t>
      </w:r>
      <w:r>
        <w:rPr>
          <w:rFonts w:hint="eastAsia" w:ascii="方正仿宋_GBK" w:hAnsi="方正仿宋_GBK" w:eastAsia="方正仿宋_GBK" w:cs="方正仿宋_GBK"/>
          <w:szCs w:val="32"/>
        </w:rPr>
        <w:t>〔202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val="en-US" w:eastAsia="zh-CN"/>
        </w:rPr>
        <w:t>357</w:t>
      </w:r>
      <w:r>
        <w:rPr>
          <w:rFonts w:hint="eastAsia" w:ascii="方正仿宋_GBK" w:hAnsi="方正仿宋_GBK" w:eastAsia="方正仿宋_GBK" w:cs="方正仿宋_GBK"/>
          <w:szCs w:val="32"/>
        </w:rPr>
        <w:t>号）收悉。</w:t>
      </w:r>
      <w:r>
        <w:rPr>
          <w:rFonts w:hint="eastAsia" w:ascii="方正仿宋_GBK" w:hAnsi="方正仿宋_GBK" w:eastAsia="方正仿宋_GBK" w:cs="方正仿宋_GBK"/>
          <w:szCs w:val="32"/>
          <w:lang w:eastAsia="zh-CN"/>
        </w:rPr>
        <w:t>经委托</w:t>
      </w:r>
      <w:r>
        <w:rPr>
          <w:rFonts w:hint="eastAsia" w:ascii="方正仿宋_GBK" w:hAnsi="方正仿宋_GBK" w:eastAsia="方正仿宋_GBK" w:cs="方正仿宋_GBK"/>
          <w:kern w:val="0"/>
          <w:szCs w:val="32"/>
        </w:rPr>
        <w:t>重庆同丰工程管理咨询有限公司</w:t>
      </w:r>
      <w:r>
        <w:rPr>
          <w:rFonts w:hint="eastAsia" w:ascii="方正仿宋_GBK" w:hAnsi="方正仿宋_GBK" w:eastAsia="方正仿宋_GBK" w:cs="方正仿宋_GBK"/>
          <w:kern w:val="0"/>
          <w:szCs w:val="32"/>
          <w:lang w:eastAsia="zh-CN"/>
        </w:rPr>
        <w:t>评审，</w:t>
      </w:r>
      <w:r>
        <w:rPr>
          <w:rFonts w:hint="eastAsia" w:ascii="方正仿宋_GBK" w:hAnsi="方正仿宋_GBK" w:eastAsia="方正仿宋_GBK" w:cs="方正仿宋_GBK"/>
          <w:szCs w:val="32"/>
        </w:rPr>
        <w:t>结合黔江区政府投资</w:t>
      </w:r>
      <w:r>
        <w:rPr>
          <w:rFonts w:hint="eastAsia" w:ascii="方正仿宋_GBK" w:hAnsi="方正仿宋_GBK" w:eastAsia="方正仿宋_GBK" w:cs="方正仿宋_GBK"/>
          <w:szCs w:val="32"/>
          <w:lang w:eastAsia="zh-CN"/>
        </w:rPr>
        <w:t>项目前期工作服务</w:t>
      </w:r>
      <w:r>
        <w:rPr>
          <w:rFonts w:hint="eastAsia" w:ascii="方正仿宋_GBK" w:hAnsi="方正仿宋_GBK" w:eastAsia="方正仿宋_GBK" w:cs="方正仿宋_GBK"/>
          <w:szCs w:val="32"/>
        </w:rPr>
        <w:t>中心的评</w:t>
      </w:r>
      <w:r>
        <w:rPr>
          <w:rFonts w:hint="eastAsia" w:ascii="方正仿宋_GBK" w:hAnsi="方正仿宋_GBK" w:eastAsia="方正仿宋_GBK" w:cs="方正仿宋_GBK"/>
          <w:szCs w:val="32"/>
          <w:lang w:eastAsia="zh-CN"/>
        </w:rPr>
        <w:t>审</w:t>
      </w:r>
      <w:r>
        <w:rPr>
          <w:rFonts w:hint="eastAsia" w:ascii="方正仿宋_GBK" w:hAnsi="方正仿宋_GBK" w:eastAsia="方正仿宋_GBK" w:cs="方正仿宋_GBK"/>
          <w:szCs w:val="32"/>
        </w:rPr>
        <w:t>意见，现</w:t>
      </w:r>
      <w:r>
        <w:rPr>
          <w:rFonts w:hint="eastAsia" w:ascii="方正仿宋_GBK" w:hAnsi="方正仿宋_GBK" w:eastAsia="方正仿宋_GBK" w:cs="方正仿宋_GBK"/>
          <w:szCs w:val="32"/>
          <w:lang w:eastAsia="zh-CN"/>
        </w:rPr>
        <w:t>就重庆</w:t>
      </w:r>
      <w:r>
        <w:rPr>
          <w:rFonts w:hint="eastAsia" w:ascii="Times New Roman" w:hAnsi="Times New Roman" w:eastAsia="方正仿宋_GBK" w:cs="Times New Roman"/>
          <w:szCs w:val="32"/>
          <w:lang w:eastAsia="zh-CN"/>
        </w:rPr>
        <w:t>市黔江区G319高成线公路安全设施精细化提升工程</w:t>
      </w:r>
      <w:r>
        <w:rPr>
          <w:rFonts w:hint="eastAsia" w:ascii="Times New Roman" w:hAnsi="Times New Roman" w:eastAsia="方正仿宋_GBK" w:cs="Times New Roman"/>
          <w:szCs w:val="32"/>
          <w:lang w:val="en-US" w:eastAsia="zh-CN"/>
        </w:rPr>
        <w:t>(项目代码：2512-500114-04-01-801665）</w:t>
      </w:r>
      <w:r>
        <w:rPr>
          <w:rFonts w:hint="default" w:ascii="Times New Roman" w:hAnsi="Times New Roman" w:eastAsia="方正仿宋_GBK" w:cs="Times New Roman"/>
          <w:szCs w:val="32"/>
        </w:rPr>
        <w:t>可行性研究报告批复如下：</w:t>
      </w:r>
    </w:p>
    <w:p w14:paraId="15668949">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left="0" w:leftChars="0" w:right="0" w:rightChars="0" w:firstLine="640" w:firstLineChars="200"/>
        <w:jc w:val="both"/>
        <w:textAlignment w:val="auto"/>
        <w:outlineLvl w:val="9"/>
        <w:rPr>
          <w:rFonts w:hint="eastAsia"/>
          <w:lang w:eastAsia="zh-CN"/>
        </w:rPr>
      </w:pPr>
      <w:r>
        <w:rPr>
          <w:rFonts w:hint="eastAsia"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项目</w:t>
      </w:r>
      <w:r>
        <w:rPr>
          <w:rFonts w:hint="default" w:ascii="Times New Roman" w:hAnsi="Times New Roman" w:eastAsia="方正黑体_GBK" w:cs="Times New Roman"/>
          <w:sz w:val="32"/>
          <w:szCs w:val="32"/>
          <w:lang w:eastAsia="zh-CN"/>
        </w:rPr>
        <w:t>业主</w:t>
      </w:r>
      <w:r>
        <w:rPr>
          <w:rFonts w:hint="default" w:ascii="Times New Roman" w:hAnsi="Times New Roman" w:eastAsia="方正黑体_GBK" w:cs="Times New Roman"/>
          <w:sz w:val="32"/>
          <w:szCs w:val="32"/>
        </w:rPr>
        <w:t>：</w:t>
      </w:r>
      <w:r>
        <w:rPr>
          <w:rFonts w:hint="eastAsia" w:ascii="Times New Roman" w:hAnsi="Times New Roman" w:eastAsia="方正仿宋_GBK" w:cs="Times New Roman"/>
          <w:sz w:val="32"/>
          <w:szCs w:val="32"/>
          <w:lang w:eastAsia="zh-CN"/>
        </w:rPr>
        <w:t>重庆市黔江区交通运输委员会</w:t>
      </w:r>
    </w:p>
    <w:p w14:paraId="54051019">
      <w:pPr>
        <w:pStyle w:val="2"/>
        <w:keepNext w:val="0"/>
        <w:keepLines w:val="0"/>
        <w:pageBreakBefore w:val="0"/>
        <w:widowControl w:val="0"/>
        <w:kinsoku/>
        <w:wordWrap/>
        <w:overflowPunct/>
        <w:topLinePunct w:val="0"/>
        <w:autoSpaceDE/>
        <w:autoSpaceDN/>
        <w:bidi w:val="0"/>
        <w:adjustRightInd/>
        <w:snapToGrid/>
        <w:spacing w:after="0" w:line="575" w:lineRule="exact"/>
        <w:ind w:left="0" w:leftChars="0" w:right="0" w:rightChars="0" w:firstLine="640" w:firstLineChars="200"/>
        <w:jc w:val="both"/>
        <w:textAlignment w:val="auto"/>
        <w:outlineLvl w:val="9"/>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黑体_GBK" w:cs="Times New Roman"/>
          <w:kern w:val="2"/>
          <w:sz w:val="32"/>
          <w:szCs w:val="32"/>
          <w:lang w:val="en-US" w:eastAsia="zh-CN" w:bidi="ar-SA"/>
        </w:rPr>
        <w:t>代建业主</w:t>
      </w:r>
      <w:r>
        <w:rPr>
          <w:rFonts w:hint="eastAsia" w:ascii="Times New Roman" w:hAnsi="Times New Roman" w:eastAsia="方正仿宋_GBK" w:cs="Times New Roman"/>
          <w:kern w:val="2"/>
          <w:sz w:val="32"/>
          <w:szCs w:val="32"/>
          <w:lang w:val="en-US" w:eastAsia="zh-CN" w:bidi="ar-SA"/>
        </w:rPr>
        <w:t>：重庆市枳丹石城市建设开发有限公司</w:t>
      </w:r>
    </w:p>
    <w:p w14:paraId="32177835">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、建设地点：</w:t>
      </w:r>
      <w:r>
        <w:rPr>
          <w:rFonts w:hint="eastAsia" w:ascii="Times New Roman" w:hAnsi="Times New Roman" w:eastAsia="方正仿宋_GBK" w:cs="Times New Roman"/>
          <w:kern w:val="2"/>
          <w:sz w:val="32"/>
          <w:szCs w:val="32"/>
          <w:lang w:val="zh-CN" w:eastAsia="zh-CN" w:bidi="ar-SA"/>
        </w:rPr>
        <w:t>黔江区</w:t>
      </w:r>
    </w:p>
    <w:p w14:paraId="02AF53A1">
      <w:pPr>
        <w:keepNext w:val="0"/>
        <w:keepLines w:val="0"/>
        <w:pageBreakBefore w:val="0"/>
        <w:widowControl w:val="0"/>
        <w:kinsoku/>
        <w:wordWrap/>
        <w:overflowPunct/>
        <w:topLinePunct w:val="0"/>
        <w:autoSpaceDE/>
        <w:autoSpaceDN/>
        <w:bidi w:val="0"/>
        <w:adjustRightInd/>
        <w:snapToGrid/>
        <w:spacing w:line="575"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、主要建设内容及规模</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kern w:val="2"/>
          <w:sz w:val="32"/>
          <w:szCs w:val="32"/>
          <w:lang w:val="en-US" w:eastAsia="zh-CN" w:bidi="ar-SA"/>
        </w:rPr>
        <w:t>项目实施路段桩号为 K2113+005</w:t>
      </w:r>
    </w:p>
    <w:p w14:paraId="4FC864D6">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K2203+795（其中K2155+462~K2179+220为城管路段，不在本次提升范围），项目全长67.032km，起于酉阳县与黔江区交界，向北经阿蓬江镇、濯水镇，止于沙坝镇。主要包括增设标志标牌、标线，拆除及新建波形梁钢护栏，交叉口改造，新建边沟盖板、清除绿植、清移障碍物等建设内容。</w:t>
      </w:r>
    </w:p>
    <w:p w14:paraId="6168183C">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、建设工期：</w:t>
      </w:r>
      <w:r>
        <w:rPr>
          <w:rFonts w:hint="eastAsia" w:ascii="Times New Roman" w:hAnsi="Times New Roman" w:eastAsia="方正黑体_GBK" w:cs="Times New Roman"/>
          <w:sz w:val="32"/>
          <w:szCs w:val="32"/>
          <w:lang w:val="en-US" w:eastAsia="zh-CN"/>
        </w:rPr>
        <w:t>6</w:t>
      </w:r>
      <w:r>
        <w:rPr>
          <w:rFonts w:hint="default" w:ascii="Times New Roman" w:hAnsi="Times New Roman" w:eastAsia="方正仿宋_GBK" w:cs="Times New Roman"/>
          <w:sz w:val="32"/>
          <w:szCs w:val="32"/>
        </w:rPr>
        <w:t>个月。</w:t>
      </w:r>
    </w:p>
    <w:p w14:paraId="5CC7F62D">
      <w:pPr>
        <w:pStyle w:val="6"/>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lang w:val="zh-CN"/>
        </w:rPr>
      </w:pPr>
      <w:r>
        <w:rPr>
          <w:rFonts w:hint="eastAsia"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、项目总投资及资金来源：</w:t>
      </w:r>
      <w:r>
        <w:rPr>
          <w:rFonts w:hint="default" w:ascii="Times New Roman" w:hAnsi="Times New Roman" w:eastAsia="方正仿宋_GBK" w:cs="Times New Roman"/>
          <w:b w:val="0"/>
          <w:bCs w:val="0"/>
          <w:kern w:val="2"/>
          <w:sz w:val="32"/>
          <w:szCs w:val="24"/>
          <w:lang w:val="en-US" w:eastAsia="zh-CN" w:bidi="ar-SA"/>
        </w:rPr>
        <w:t>项目估算总投资2125.59万元，其中：工程费用1782.54万元，工程建设其他费用185.60万元，预备费157.45万元。</w:t>
      </w:r>
      <w:r>
        <w:rPr>
          <w:rFonts w:hint="default" w:ascii="Times New Roman" w:hAnsi="Times New Roman" w:eastAsia="方正仿宋_GBK" w:cs="Times New Roman"/>
          <w:sz w:val="32"/>
          <w:szCs w:val="32"/>
          <w:lang w:val="zh-CN"/>
        </w:rPr>
        <w:t>资金来源为国市</w:t>
      </w:r>
      <w:r>
        <w:rPr>
          <w:rFonts w:hint="eastAsia" w:ascii="Times New Roman" w:hAnsi="Times New Roman" w:eastAsia="方正仿宋_GBK" w:cs="Times New Roman"/>
          <w:sz w:val="32"/>
          <w:szCs w:val="32"/>
          <w:lang w:val="zh-CN"/>
        </w:rPr>
        <w:t>专项</w:t>
      </w:r>
      <w:r>
        <w:rPr>
          <w:rFonts w:hint="default" w:ascii="Times New Roman" w:hAnsi="Times New Roman" w:eastAsia="方正仿宋_GBK" w:cs="Times New Roman"/>
          <w:sz w:val="32"/>
          <w:szCs w:val="32"/>
          <w:lang w:val="zh-CN"/>
        </w:rPr>
        <w:t>补助资金，不足部分由业主自筹。</w:t>
      </w:r>
    </w:p>
    <w:p w14:paraId="2A644F89">
      <w:pPr>
        <w:pStyle w:val="6"/>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、招标核准：</w:t>
      </w:r>
      <w:r>
        <w:rPr>
          <w:rFonts w:hint="default" w:ascii="Times New Roman" w:hAnsi="Times New Roman" w:eastAsia="方正仿宋_GBK" w:cs="Times New Roman"/>
          <w:sz w:val="32"/>
          <w:szCs w:val="32"/>
        </w:rPr>
        <w:t>本项目的招标范围为工程施工，勘察、设计、监理等与工程建设有关的服务，以及与工程建设有关的重要设备、材料的采购等。</w:t>
      </w:r>
      <w:r>
        <w:rPr>
          <w:rFonts w:hint="eastAsia" w:ascii="Times New Roman" w:hAnsi="Times New Roman" w:eastAsia="方正仿宋_GBK" w:cs="Times New Roman"/>
          <w:sz w:val="32"/>
          <w:szCs w:val="32"/>
          <w:lang w:eastAsia="zh-CN"/>
        </w:rPr>
        <w:t>按照招标投标法相关规定，依法必须招标的，</w:t>
      </w:r>
      <w:r>
        <w:rPr>
          <w:rFonts w:hint="default" w:ascii="Times New Roman" w:hAnsi="Times New Roman" w:eastAsia="方正仿宋_GBK" w:cs="Times New Roman"/>
          <w:sz w:val="32"/>
          <w:szCs w:val="32"/>
        </w:rPr>
        <w:t>招标方式为公开招标，招标组织形式为委托招标。招标公告在指定媒介公开发布。</w:t>
      </w:r>
    </w:p>
    <w:p w14:paraId="0794E197">
      <w:pPr>
        <w:pStyle w:val="6"/>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七</w:t>
      </w:r>
      <w:r>
        <w:rPr>
          <w:rFonts w:hint="default" w:ascii="Times New Roman" w:hAnsi="Times New Roman" w:eastAsia="方正黑体_GBK" w:cs="Times New Roman"/>
          <w:sz w:val="32"/>
          <w:szCs w:val="32"/>
        </w:rPr>
        <w:t>、有关事项：</w:t>
      </w:r>
      <w:r>
        <w:rPr>
          <w:rFonts w:hint="default" w:ascii="Times New Roman" w:hAnsi="Times New Roman" w:eastAsia="方正仿宋_GBK" w:cs="Times New Roman"/>
          <w:sz w:val="32"/>
          <w:szCs w:val="32"/>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2B6CDA90">
      <w:pPr>
        <w:pStyle w:val="6"/>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rPr>
      </w:pPr>
    </w:p>
    <w:p w14:paraId="66D53292">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附件：重庆市黔江区G319高成线公路安全设施精细化提升工程投资估算表</w:t>
      </w:r>
    </w:p>
    <w:p w14:paraId="0FA68E27">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lang w:eastAsia="zh-CN"/>
        </w:rPr>
      </w:pPr>
    </w:p>
    <w:p w14:paraId="0D1DA012">
      <w:pPr>
        <w:keepNext w:val="0"/>
        <w:keepLines w:val="0"/>
        <w:pageBreakBefore w:val="0"/>
        <w:widowControl w:val="0"/>
        <w:kinsoku/>
        <w:wordWrap/>
        <w:overflowPunct/>
        <w:topLinePunct w:val="0"/>
        <w:autoSpaceDE/>
        <w:autoSpaceDN/>
        <w:bidi w:val="0"/>
        <w:adjustRightInd/>
        <w:snapToGrid/>
        <w:spacing w:line="575" w:lineRule="exact"/>
        <w:ind w:firstLine="3840" w:firstLineChars="1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重庆市黔江区发展和改革委员会</w:t>
      </w:r>
    </w:p>
    <w:p w14:paraId="0194E21A">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 xml:space="preserve">  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月</w:t>
      </w:r>
      <w:r>
        <w:rPr>
          <w:rFonts w:hint="eastAsia" w:eastAsia="方正仿宋_GBK" w:cs="Times New Roman"/>
          <w:sz w:val="32"/>
          <w:szCs w:val="32"/>
          <w:lang w:val="en-US" w:eastAsia="zh-CN"/>
        </w:rPr>
        <w:t>22</w:t>
      </w:r>
      <w:r>
        <w:rPr>
          <w:rFonts w:hint="default" w:ascii="Times New Roman" w:hAnsi="Times New Roman" w:eastAsia="方正仿宋_GBK" w:cs="Times New Roman"/>
          <w:sz w:val="32"/>
          <w:szCs w:val="32"/>
          <w:lang w:eastAsia="zh-CN"/>
        </w:rPr>
        <w:t>日</w:t>
      </w:r>
    </w:p>
    <w:p w14:paraId="710C3535">
      <w:pPr>
        <w:pStyle w:val="6"/>
        <w:spacing w:line="500" w:lineRule="exact"/>
        <w:rPr>
          <w:rFonts w:hint="default" w:ascii="Times New Roman" w:hAnsi="Times New Roman" w:eastAsia="方正仿宋_GBK" w:cs="Times New Roman"/>
          <w:sz w:val="28"/>
          <w:szCs w:val="28"/>
        </w:rPr>
      </w:pPr>
    </w:p>
    <w:p w14:paraId="023D702B">
      <w:pPr>
        <w:pStyle w:val="6"/>
        <w:spacing w:line="500" w:lineRule="exact"/>
        <w:rPr>
          <w:rFonts w:hint="default" w:ascii="Times New Roman" w:hAnsi="Times New Roman" w:eastAsia="方正仿宋_GBK" w:cs="Times New Roman"/>
          <w:sz w:val="28"/>
          <w:szCs w:val="28"/>
        </w:rPr>
      </w:pPr>
    </w:p>
    <w:p w14:paraId="1F949826">
      <w:pPr>
        <w:pStyle w:val="6"/>
        <w:spacing w:line="500" w:lineRule="exact"/>
        <w:rPr>
          <w:rFonts w:hint="default" w:ascii="Times New Roman" w:hAnsi="Times New Roman" w:eastAsia="方正仿宋_GBK" w:cs="Times New Roman"/>
          <w:sz w:val="28"/>
          <w:szCs w:val="28"/>
        </w:rPr>
      </w:pPr>
    </w:p>
    <w:p w14:paraId="6C08C63C">
      <w:pPr>
        <w:pStyle w:val="6"/>
        <w:spacing w:line="500" w:lineRule="exact"/>
        <w:rPr>
          <w:rFonts w:hint="default" w:ascii="Times New Roman" w:hAnsi="Times New Roman" w:eastAsia="方正仿宋_GBK" w:cs="Times New Roman"/>
          <w:sz w:val="28"/>
          <w:szCs w:val="28"/>
        </w:rPr>
      </w:pPr>
    </w:p>
    <w:p w14:paraId="2CF19A4D">
      <w:pPr>
        <w:pStyle w:val="6"/>
        <w:spacing w:line="500" w:lineRule="exact"/>
        <w:rPr>
          <w:rFonts w:hint="default" w:ascii="Times New Roman" w:hAnsi="Times New Roman" w:eastAsia="方正仿宋_GBK" w:cs="Times New Roman"/>
          <w:sz w:val="28"/>
          <w:szCs w:val="28"/>
        </w:rPr>
      </w:pPr>
    </w:p>
    <w:p w14:paraId="2D5CE98B">
      <w:pPr>
        <w:pStyle w:val="6"/>
        <w:spacing w:line="500" w:lineRule="exact"/>
        <w:rPr>
          <w:rFonts w:hint="default" w:ascii="Times New Roman" w:hAnsi="Times New Roman" w:eastAsia="方正仿宋_GBK" w:cs="Times New Roman"/>
          <w:sz w:val="28"/>
          <w:szCs w:val="28"/>
        </w:rPr>
      </w:pPr>
    </w:p>
    <w:p w14:paraId="7DF5E327">
      <w:pPr>
        <w:pStyle w:val="6"/>
        <w:spacing w:line="500" w:lineRule="exact"/>
        <w:rPr>
          <w:rFonts w:hint="default" w:ascii="Times New Roman" w:hAnsi="Times New Roman" w:eastAsia="方正仿宋_GBK" w:cs="Times New Roman"/>
          <w:sz w:val="28"/>
          <w:szCs w:val="28"/>
        </w:rPr>
      </w:pPr>
    </w:p>
    <w:p w14:paraId="54F64CBB">
      <w:pPr>
        <w:pStyle w:val="6"/>
        <w:spacing w:line="500" w:lineRule="exact"/>
        <w:rPr>
          <w:rFonts w:hint="default" w:ascii="Times New Roman" w:hAnsi="Times New Roman" w:eastAsia="方正仿宋_GBK" w:cs="Times New Roman"/>
          <w:sz w:val="28"/>
          <w:szCs w:val="28"/>
        </w:rPr>
      </w:pPr>
    </w:p>
    <w:p w14:paraId="377F4177">
      <w:pPr>
        <w:pStyle w:val="6"/>
        <w:spacing w:line="500" w:lineRule="exact"/>
        <w:rPr>
          <w:rFonts w:hint="default" w:ascii="Times New Roman" w:hAnsi="Times New Roman" w:eastAsia="方正仿宋_GBK" w:cs="Times New Roman"/>
          <w:sz w:val="28"/>
          <w:szCs w:val="28"/>
        </w:rPr>
      </w:pPr>
    </w:p>
    <w:p w14:paraId="2B519B0D">
      <w:pPr>
        <w:pStyle w:val="6"/>
        <w:spacing w:line="500" w:lineRule="exact"/>
        <w:rPr>
          <w:rFonts w:hint="default" w:ascii="Times New Roman" w:hAnsi="Times New Roman" w:eastAsia="方正仿宋_GBK" w:cs="Times New Roman"/>
          <w:sz w:val="28"/>
          <w:szCs w:val="28"/>
        </w:rPr>
      </w:pPr>
    </w:p>
    <w:p w14:paraId="72CF9CAD">
      <w:pPr>
        <w:pStyle w:val="6"/>
        <w:spacing w:line="500" w:lineRule="exact"/>
        <w:rPr>
          <w:rFonts w:hint="default" w:ascii="Times New Roman" w:hAnsi="Times New Roman" w:eastAsia="方正仿宋_GBK" w:cs="Times New Roman"/>
          <w:sz w:val="28"/>
          <w:szCs w:val="28"/>
        </w:rPr>
      </w:pPr>
    </w:p>
    <w:p w14:paraId="14D780B9">
      <w:pPr>
        <w:pStyle w:val="6"/>
        <w:spacing w:line="500" w:lineRule="exact"/>
        <w:rPr>
          <w:rFonts w:hint="default" w:ascii="Times New Roman" w:hAnsi="Times New Roman" w:eastAsia="方正仿宋_GBK" w:cs="Times New Roman"/>
          <w:sz w:val="28"/>
          <w:szCs w:val="28"/>
        </w:rPr>
      </w:pPr>
    </w:p>
    <w:p w14:paraId="0456F4FE">
      <w:pPr>
        <w:pStyle w:val="6"/>
        <w:spacing w:line="500" w:lineRule="exact"/>
        <w:rPr>
          <w:rFonts w:hint="default" w:ascii="Times New Roman" w:hAnsi="Times New Roman" w:eastAsia="方正仿宋_GBK" w:cs="Times New Roman"/>
          <w:sz w:val="28"/>
          <w:szCs w:val="28"/>
        </w:rPr>
      </w:pPr>
    </w:p>
    <w:p w14:paraId="089C0E8E">
      <w:pPr>
        <w:pStyle w:val="6"/>
        <w:spacing w:line="500" w:lineRule="exact"/>
        <w:rPr>
          <w:rFonts w:hint="default" w:ascii="Times New Roman" w:hAnsi="Times New Roman" w:eastAsia="方正仿宋_GBK" w:cs="Times New Roman"/>
          <w:sz w:val="28"/>
          <w:szCs w:val="28"/>
        </w:rPr>
      </w:pPr>
    </w:p>
    <w:p w14:paraId="1478B8A9">
      <w:pPr>
        <w:pStyle w:val="6"/>
        <w:spacing w:line="500" w:lineRule="exact"/>
        <w:rPr>
          <w:rFonts w:hint="default" w:ascii="Times New Roman" w:hAnsi="Times New Roman" w:eastAsia="方正仿宋_GBK" w:cs="Times New Roman"/>
          <w:sz w:val="28"/>
          <w:szCs w:val="28"/>
        </w:rPr>
      </w:pPr>
    </w:p>
    <w:p w14:paraId="3A4415D4">
      <w:pPr>
        <w:pStyle w:val="6"/>
        <w:spacing w:line="500" w:lineRule="exact"/>
        <w:rPr>
          <w:rFonts w:hint="default" w:ascii="Times New Roman" w:hAnsi="Times New Roman" w:eastAsia="方正仿宋_GBK" w:cs="Times New Roman"/>
          <w:sz w:val="28"/>
          <w:szCs w:val="28"/>
        </w:rPr>
      </w:pPr>
    </w:p>
    <w:p w14:paraId="27084B7E">
      <w:pPr>
        <w:pStyle w:val="6"/>
        <w:spacing w:line="500" w:lineRule="exact"/>
        <w:rPr>
          <w:rFonts w:hint="default" w:ascii="Times New Roman" w:hAnsi="Times New Roman" w:eastAsia="方正仿宋_GBK" w:cs="Times New Roman"/>
          <w:sz w:val="28"/>
          <w:szCs w:val="28"/>
        </w:rPr>
      </w:pPr>
    </w:p>
    <w:p w14:paraId="7EF73CBA">
      <w:pPr>
        <w:pStyle w:val="6"/>
        <w:spacing w:line="500" w:lineRule="exact"/>
        <w:ind w:firstLine="280" w:firstLineChars="100"/>
        <w:rPr>
          <w:rFonts w:hint="eastAsia" w:ascii="Times New Roman" w:hAnsi="Times New Roman" w:eastAsia="方正仿宋_GBK" w:cs="Times New Roman"/>
          <w:sz w:val="28"/>
          <w:szCs w:val="28"/>
          <w:lang w:eastAsia="zh-CN"/>
        </w:rPr>
      </w:pPr>
      <w:bookmarkStart w:id="0" w:name="_GoBack"/>
      <w:bookmarkEnd w:id="0"/>
    </w:p>
    <w:p w14:paraId="3BC858AF">
      <w:pPr>
        <w:pStyle w:val="6"/>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2AD861C0">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8"/>
          <w:szCs w:val="28"/>
        </w:rPr>
      </w:pPr>
    </w:p>
    <w:p w14:paraId="5AC05332">
      <w:pPr>
        <w:pStyle w:val="6"/>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重庆市黔江区G319高成线公路安全设施</w:t>
      </w:r>
    </w:p>
    <w:p w14:paraId="7D394A50">
      <w:pPr>
        <w:pStyle w:val="6"/>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精细化提升工程投资估算表</w:t>
      </w:r>
    </w:p>
    <w:p w14:paraId="5F60C7E4">
      <w:pPr>
        <w:pStyle w:val="6"/>
        <w:jc w:val="both"/>
        <w:rPr>
          <w:rFonts w:hint="default" w:ascii="Times New Roman" w:hAnsi="Times New Roman" w:eastAsia="方正黑体_GBK" w:cs="Times New Roman"/>
          <w:sz w:val="32"/>
          <w:szCs w:val="32"/>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0"/>
        <w:gridCol w:w="5160"/>
        <w:gridCol w:w="2745"/>
      </w:tblGrid>
      <w:tr w14:paraId="1DCEF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5F6C0C7">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1E386BC5">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2745" w:type="dxa"/>
            <w:tcBorders>
              <w:top w:val="single" w:color="000000" w:sz="4" w:space="0"/>
              <w:left w:val="single" w:color="000000" w:sz="4" w:space="0"/>
              <w:right w:val="single" w:color="000000" w:sz="4" w:space="0"/>
            </w:tcBorders>
            <w:noWrap w:val="0"/>
            <w:vAlign w:val="center"/>
          </w:tcPr>
          <w:p w14:paraId="262C28D0">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14:paraId="30C2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3F87F5">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一</w:t>
            </w:r>
          </w:p>
        </w:tc>
        <w:tc>
          <w:tcPr>
            <w:tcW w:w="5160" w:type="dxa"/>
            <w:tcBorders>
              <w:top w:val="single" w:color="000000" w:sz="4" w:space="0"/>
              <w:left w:val="single" w:color="000000" w:sz="4" w:space="0"/>
              <w:bottom w:val="single" w:color="000000" w:sz="4" w:space="0"/>
            </w:tcBorders>
            <w:noWrap w:val="0"/>
            <w:vAlign w:val="center"/>
          </w:tcPr>
          <w:p w14:paraId="2BD089D1">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3FCCF9CF">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1782.54</w:t>
            </w:r>
          </w:p>
        </w:tc>
      </w:tr>
      <w:tr w14:paraId="3647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166FF58">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425D4296">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交通工程及沿线设施</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A0DBBD8">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 xml:space="preserve">1687.59 </w:t>
            </w:r>
          </w:p>
        </w:tc>
      </w:tr>
      <w:tr w14:paraId="2090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37C79B2">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2</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18D446FC">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专项费用</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976C7A3">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 xml:space="preserve">94.95 </w:t>
            </w:r>
          </w:p>
        </w:tc>
      </w:tr>
      <w:tr w14:paraId="6BB5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D50015">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二</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15179347">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工程建设其他费用</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6CF2E83A">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185.60 </w:t>
            </w:r>
          </w:p>
        </w:tc>
      </w:tr>
      <w:tr w14:paraId="47BB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339CE20">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6D4FA13E">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建设单位（业主）管理费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6E744B7">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 xml:space="preserve">60.49 </w:t>
            </w:r>
          </w:p>
        </w:tc>
      </w:tr>
      <w:tr w14:paraId="0804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B0EEB37">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4BE7FBF5">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建设项目信息化费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25636053">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 xml:space="preserve">7.24 </w:t>
            </w:r>
          </w:p>
        </w:tc>
      </w:tr>
      <w:tr w14:paraId="2F8E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24F14DF">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62A8400B">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工程监理费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13BCDE5B">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 xml:space="preserve">39.09 </w:t>
            </w:r>
          </w:p>
        </w:tc>
      </w:tr>
      <w:tr w14:paraId="45CC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8D543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45A36A75">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设计文件审查费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1516B9C5">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 xml:space="preserve">0.82 </w:t>
            </w:r>
          </w:p>
        </w:tc>
      </w:tr>
      <w:tr w14:paraId="03B8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F6BFC9">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3CDCB47B">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竣（交）工验收试验检测费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6DD16E51">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 xml:space="preserve">14.75 </w:t>
            </w:r>
          </w:p>
        </w:tc>
      </w:tr>
      <w:tr w14:paraId="3333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B52E31">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45CCA058">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建设项目前期工作费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1162137">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 xml:space="preserve">46.03 </w:t>
            </w:r>
          </w:p>
        </w:tc>
      </w:tr>
      <w:tr w14:paraId="034A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D9FCFF">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7</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78E83414">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工程保通管理费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66DC1EE">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 xml:space="preserve">10.05 </w:t>
            </w:r>
          </w:p>
        </w:tc>
      </w:tr>
      <w:tr w14:paraId="708A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9CD295">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8</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0233592E">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4997BA97">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 xml:space="preserve">7.13 </w:t>
            </w:r>
          </w:p>
        </w:tc>
      </w:tr>
      <w:tr w14:paraId="3023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33406C9">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三</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36AEA89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预备费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6576AFAB">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157.45</w:t>
            </w:r>
          </w:p>
        </w:tc>
      </w:tr>
      <w:tr w14:paraId="4600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3D4678">
            <w:pPr>
              <w:keepNext w:val="0"/>
              <w:keepLines w:val="0"/>
              <w:widowControl/>
              <w:suppressLineNumbers w:val="0"/>
              <w:jc w:val="center"/>
              <w:textAlignment w:val="center"/>
              <w:rPr>
                <w:rFonts w:hint="default" w:ascii="Times New Roman" w:hAnsi="Times New Roman" w:eastAsia="方正楷体_GBK" w:cs="Times New Roman"/>
                <w:i w:val="0"/>
                <w:color w:val="000000"/>
                <w:sz w:val="28"/>
                <w:szCs w:val="28"/>
                <w:u w:val="none"/>
              </w:rPr>
            </w:pPr>
            <w:r>
              <w:rPr>
                <w:rFonts w:hint="default" w:ascii="Times New Roman" w:hAnsi="Times New Roman" w:eastAsia="方正楷体_GBK" w:cs="Times New Roman"/>
                <w:i w:val="0"/>
                <w:color w:val="000000"/>
                <w:kern w:val="0"/>
                <w:sz w:val="28"/>
                <w:szCs w:val="28"/>
                <w:u w:val="none"/>
                <w:lang w:val="en-US" w:eastAsia="zh-CN" w:bidi="ar"/>
              </w:rPr>
              <w:t>四</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7A0229F2">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项目总投资</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9D57672">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2125.59 </w:t>
            </w:r>
          </w:p>
        </w:tc>
      </w:tr>
    </w:tbl>
    <w:p w14:paraId="27B22718">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1EF701C1">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A602AB0">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22</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9"/>
      <w:framePr w:wrap="around" w:vAnchor="text" w:hAnchor="margin" w:xAlign="outside" w:y="1"/>
      <w:rPr>
        <w:rStyle w:val="15"/>
        <w:rFonts w:hint="eastAsia" w:ascii="宋体" w:hAnsi="宋体" w:cs="宋体"/>
        <w:sz w:val="28"/>
        <w:szCs w:val="28"/>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ascii="宋体" w:hAnsi="宋体" w:cs="宋体"/>
        <w:sz w:val="28"/>
        <w:szCs w:val="28"/>
      </w:rPr>
      <w:t>- 1 -</w:t>
    </w:r>
    <w:r>
      <w:rPr>
        <w:rFonts w:hint="eastAsia" w:ascii="宋体" w:hAnsi="宋体" w:cs="宋体"/>
        <w:sz w:val="28"/>
        <w:szCs w:val="28"/>
      </w:rPr>
      <w:fldChar w:fldCharType="end"/>
    </w:r>
  </w:p>
  <w:p w14:paraId="6C73A774">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37421D"/>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5105EDB"/>
    <w:rsid w:val="485311A6"/>
    <w:rsid w:val="487D33E1"/>
    <w:rsid w:val="48876104"/>
    <w:rsid w:val="490948F4"/>
    <w:rsid w:val="4BF61160"/>
    <w:rsid w:val="4F735634"/>
    <w:rsid w:val="4FA80033"/>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2AF5315"/>
    <w:rsid w:val="742B5A1B"/>
    <w:rsid w:val="76E535BA"/>
    <w:rsid w:val="77C816DC"/>
    <w:rsid w:val="78624336"/>
    <w:rsid w:val="798F3B70"/>
    <w:rsid w:val="79BC4EE7"/>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默认段落字体 Para Char Char Char Char"/>
    <w:basedOn w:val="1"/>
    <w:link w:val="13"/>
    <w:qFormat/>
    <w:uiPriority w:val="0"/>
    <w:rPr>
      <w:szCs w:val="20"/>
    </w:rPr>
  </w:style>
  <w:style w:type="character" w:styleId="15">
    <w:name w:val="page number"/>
    <w:qFormat/>
    <w:uiPriority w:val="0"/>
  </w:style>
  <w:style w:type="character" w:customStyle="1" w:styleId="16">
    <w:name w:val="页眉 Char"/>
    <w:link w:val="10"/>
    <w:semiHidden/>
    <w:qFormat/>
    <w:locked/>
    <w:uiPriority w:val="0"/>
    <w:rPr>
      <w:rFonts w:eastAsia="宋体"/>
      <w:kern w:val="2"/>
      <w:sz w:val="18"/>
      <w:szCs w:val="18"/>
      <w:lang w:val="en-US" w:eastAsia="zh-CN" w:bidi="ar-SA"/>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font41"/>
    <w:qFormat/>
    <w:uiPriority w:val="0"/>
    <w:rPr>
      <w:rFonts w:hint="eastAsia" w:ascii="方正仿宋_GBK" w:hAnsi="方正仿宋_GBK" w:eastAsia="方正仿宋_GBK" w:cs="方正仿宋_GBK"/>
      <w:color w:val="000000"/>
      <w:sz w:val="28"/>
      <w:szCs w:val="28"/>
      <w:u w:val="none"/>
    </w:rPr>
  </w:style>
  <w:style w:type="character" w:customStyle="1" w:styleId="20">
    <w:name w:val="font21"/>
    <w:qFormat/>
    <w:uiPriority w:val="0"/>
    <w:rPr>
      <w:rFonts w:hint="eastAsia" w:ascii="宋体" w:hAnsi="宋体" w:eastAsia="宋体" w:cs="宋体"/>
      <w:color w:val="000000"/>
      <w:sz w:val="24"/>
      <w:szCs w:val="24"/>
      <w:u w:val="none"/>
    </w:rPr>
  </w:style>
  <w:style w:type="character" w:customStyle="1" w:styleId="21">
    <w:name w:val="font8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3"/>
    <w:qFormat/>
    <w:uiPriority w:val="0"/>
    <w:rPr>
      <w:rFonts w:ascii="方正仿宋_GBK" w:hAnsi="方正仿宋_GBK" w:eastAsia="方正仿宋_GBK" w:cs="方正仿宋_GBK"/>
      <w:b/>
      <w:bCs/>
      <w:color w:val="000000"/>
      <w:sz w:val="28"/>
      <w:szCs w:val="28"/>
      <w:u w:val="none"/>
    </w:rPr>
  </w:style>
  <w:style w:type="character" w:customStyle="1" w:styleId="23">
    <w:name w:val="font71"/>
    <w:basedOn w:val="13"/>
    <w:qFormat/>
    <w:uiPriority w:val="0"/>
    <w:rPr>
      <w:rFonts w:hint="eastAsia" w:ascii="方正仿宋_GBK" w:hAnsi="方正仿宋_GBK" w:eastAsia="方正仿宋_GBK" w:cs="方正仿宋_GBK"/>
      <w:color w:val="000000"/>
      <w:sz w:val="28"/>
      <w:szCs w:val="28"/>
      <w:u w:val="none"/>
    </w:rPr>
  </w:style>
  <w:style w:type="character" w:customStyle="1" w:styleId="24">
    <w:name w:val="font101"/>
    <w:basedOn w:val="13"/>
    <w:qFormat/>
    <w:uiPriority w:val="0"/>
    <w:rPr>
      <w:rFonts w:ascii="方正仿宋_GBK" w:hAnsi="方正仿宋_GBK" w:eastAsia="方正仿宋_GBK" w:cs="方正仿宋_GBK"/>
      <w:color w:val="000000"/>
      <w:sz w:val="20"/>
      <w:szCs w:val="20"/>
      <w:u w:val="none"/>
    </w:rPr>
  </w:style>
  <w:style w:type="character" w:customStyle="1" w:styleId="25">
    <w:name w:val="font51"/>
    <w:basedOn w:val="13"/>
    <w:qFormat/>
    <w:uiPriority w:val="0"/>
    <w:rPr>
      <w:rFonts w:hint="default" w:ascii="Times New Roman" w:hAnsi="Times New Roman" w:cs="Times New Roman"/>
      <w:color w:val="000000"/>
      <w:sz w:val="20"/>
      <w:szCs w:val="20"/>
      <w:u w:val="none"/>
    </w:rPr>
  </w:style>
  <w:style w:type="paragraph" w:customStyle="1" w:styleId="26">
    <w:name w:val="_Style 5"/>
    <w:basedOn w:val="1"/>
    <w:qFormat/>
    <w:uiPriority w:val="0"/>
  </w:style>
  <w:style w:type="character" w:customStyle="1" w:styleId="27">
    <w:name w:val="font91"/>
    <w:basedOn w:val="13"/>
    <w:qFormat/>
    <w:uiPriority w:val="0"/>
    <w:rPr>
      <w:rFonts w:ascii="方正楷体_GBK" w:hAnsi="方正楷体_GBK" w:eastAsia="方正楷体_GBK" w:cs="方正楷体_GBK"/>
      <w:b/>
      <w:bCs/>
      <w:color w:val="000000"/>
      <w:sz w:val="28"/>
      <w:szCs w:val="28"/>
      <w:u w:val="none"/>
    </w:rPr>
  </w:style>
  <w:style w:type="character" w:customStyle="1" w:styleId="28">
    <w:name w:val="font112"/>
    <w:basedOn w:val="13"/>
    <w:qFormat/>
    <w:uiPriority w:val="0"/>
    <w:rPr>
      <w:rFonts w:ascii="方正仿宋_GBK" w:hAnsi="方正仿宋_GBK" w:eastAsia="方正仿宋_GBK" w:cs="方正仿宋_GBK"/>
      <w:color w:val="000000"/>
      <w:sz w:val="24"/>
      <w:szCs w:val="24"/>
      <w:u w:val="none"/>
    </w:rPr>
  </w:style>
  <w:style w:type="character" w:customStyle="1" w:styleId="29">
    <w:name w:val="font181"/>
    <w:basedOn w:val="13"/>
    <w:qFormat/>
    <w:uiPriority w:val="0"/>
    <w:rPr>
      <w:rFonts w:ascii="方正黑体_GBK" w:hAnsi="方正黑体_GBK" w:eastAsia="方正黑体_GBK" w:cs="方正黑体_GBK"/>
      <w:color w:val="000000"/>
      <w:sz w:val="24"/>
      <w:szCs w:val="24"/>
      <w:u w:val="none"/>
    </w:rPr>
  </w:style>
  <w:style w:type="character" w:customStyle="1" w:styleId="30">
    <w:name w:val="font31"/>
    <w:basedOn w:val="13"/>
    <w:qFormat/>
    <w:uiPriority w:val="0"/>
    <w:rPr>
      <w:rFonts w:ascii="黑体" w:hAnsi="宋体" w:eastAsia="黑体" w:cs="黑体"/>
      <w:color w:val="000000"/>
      <w:sz w:val="28"/>
      <w:szCs w:val="28"/>
      <w:u w:val="none"/>
    </w:rPr>
  </w:style>
  <w:style w:type="character" w:customStyle="1" w:styleId="31">
    <w:name w:val="font191"/>
    <w:basedOn w:val="13"/>
    <w:qFormat/>
    <w:uiPriority w:val="0"/>
    <w:rPr>
      <w:rFonts w:hint="eastAsia" w:ascii="宋体" w:hAnsi="宋体" w:eastAsia="宋体" w:cs="宋体"/>
      <w:b/>
      <w:bCs/>
      <w:color w:val="000000"/>
      <w:sz w:val="21"/>
      <w:szCs w:val="21"/>
      <w:u w:val="none"/>
    </w:rPr>
  </w:style>
  <w:style w:type="character" w:customStyle="1" w:styleId="32">
    <w:name w:val="font201"/>
    <w:basedOn w:val="13"/>
    <w:qFormat/>
    <w:uiPriority w:val="0"/>
    <w:rPr>
      <w:rFonts w:hint="eastAsia" w:ascii="宋体" w:hAnsi="宋体" w:eastAsia="宋体" w:cs="宋体"/>
      <w:color w:val="000000"/>
      <w:sz w:val="21"/>
      <w:szCs w:val="21"/>
      <w:u w:val="none"/>
    </w:rPr>
  </w:style>
  <w:style w:type="character" w:customStyle="1" w:styleId="33">
    <w:name w:val="font212"/>
    <w:basedOn w:val="13"/>
    <w:qFormat/>
    <w:uiPriority w:val="0"/>
    <w:rPr>
      <w:rFonts w:hint="eastAsia" w:ascii="宋体" w:hAnsi="宋体" w:eastAsia="宋体" w:cs="宋体"/>
      <w:color w:val="000000"/>
      <w:sz w:val="21"/>
      <w:szCs w:val="21"/>
      <w:u w:val="none"/>
    </w:rPr>
  </w:style>
  <w:style w:type="character" w:customStyle="1" w:styleId="34">
    <w:name w:val="font221"/>
    <w:basedOn w:val="13"/>
    <w:qFormat/>
    <w:uiPriority w:val="0"/>
    <w:rPr>
      <w:rFonts w:hint="eastAsia" w:ascii="宋体" w:hAnsi="宋体" w:eastAsia="宋体" w:cs="宋体"/>
      <w:b/>
      <w:bCs/>
      <w:color w:val="000000"/>
      <w:sz w:val="24"/>
      <w:szCs w:val="24"/>
      <w:u w:val="none"/>
    </w:rPr>
  </w:style>
  <w:style w:type="character" w:customStyle="1" w:styleId="35">
    <w:name w:val="font231"/>
    <w:basedOn w:val="13"/>
    <w:qFormat/>
    <w:uiPriority w:val="0"/>
    <w:rPr>
      <w:rFonts w:hint="eastAsia" w:ascii="宋体" w:hAnsi="宋体" w:eastAsia="宋体" w:cs="宋体"/>
      <w:b/>
      <w:bCs/>
      <w:color w:val="000000"/>
      <w:sz w:val="21"/>
      <w:szCs w:val="21"/>
      <w:u w:val="none"/>
    </w:rPr>
  </w:style>
  <w:style w:type="character" w:customStyle="1" w:styleId="36">
    <w:name w:val="font11"/>
    <w:basedOn w:val="1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1001</Words>
  <Characters>1184</Characters>
  <Lines>11</Lines>
  <Paragraphs>3</Paragraphs>
  <TotalTime>2</TotalTime>
  <ScaleCrop>false</ScaleCrop>
  <LinksUpToDate>false</LinksUpToDate>
  <CharactersWithSpaces>1337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2025-12-22T07:48:40Z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