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260</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7F92D88">
      <w:pPr>
        <w:keepNext w:val="0"/>
        <w:keepLines w:val="0"/>
        <w:pageBreakBefore w:val="0"/>
        <w:widowControl w:val="0"/>
        <w:kinsoku/>
        <w:wordWrap/>
        <w:overflowPunct/>
        <w:topLinePunct w:val="0"/>
        <w:autoSpaceDE/>
        <w:autoSpaceDN/>
        <w:bidi w:val="0"/>
        <w:spacing w:line="520"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黔江区舟白片区黄泥沟排水通道项目</w:t>
      </w:r>
    </w:p>
    <w:p w14:paraId="09B3EC41">
      <w:pPr>
        <w:keepNext w:val="0"/>
        <w:keepLines w:val="0"/>
        <w:pageBreakBefore w:val="0"/>
        <w:widowControl w:val="0"/>
        <w:kinsoku/>
        <w:wordWrap/>
        <w:overflowPunct/>
        <w:topLinePunct w:val="0"/>
        <w:autoSpaceDE/>
        <w:autoSpaceDN/>
        <w:bidi w:val="0"/>
        <w:spacing w:line="520" w:lineRule="exact"/>
        <w:jc w:val="center"/>
        <w:textAlignment w:val="auto"/>
        <w:rPr>
          <w:rFonts w:eastAsia="方正小标宋_GBK"/>
          <w:sz w:val="44"/>
          <w:szCs w:val="44"/>
        </w:rPr>
      </w:pPr>
      <w:r>
        <w:rPr>
          <w:rFonts w:eastAsia="方正小标宋_GBK"/>
          <w:sz w:val="44"/>
          <w:szCs w:val="44"/>
        </w:rPr>
        <w:t>可行性研究报告的批复</w:t>
      </w:r>
    </w:p>
    <w:p w14:paraId="004CB97D">
      <w:pPr>
        <w:keepNext w:val="0"/>
        <w:keepLines w:val="0"/>
        <w:pageBreakBefore w:val="0"/>
        <w:widowControl w:val="0"/>
        <w:kinsoku/>
        <w:wordWrap/>
        <w:overflowPunct/>
        <w:topLinePunct w:val="0"/>
        <w:autoSpaceDE/>
        <w:autoSpaceDN/>
        <w:bidi w:val="0"/>
        <w:spacing w:line="520" w:lineRule="exact"/>
        <w:ind w:right="23" w:rightChars="11" w:firstLine="110" w:firstLineChars="50"/>
        <w:textAlignment w:val="auto"/>
        <w:rPr>
          <w:rFonts w:ascii="方正仿宋_GBK"/>
          <w:sz w:val="22"/>
          <w:szCs w:val="36"/>
        </w:rPr>
      </w:pPr>
    </w:p>
    <w:p w14:paraId="2075057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区住房城乡建委</w:t>
      </w:r>
      <w:r>
        <w:rPr>
          <w:rFonts w:hint="eastAsia" w:ascii="方正仿宋_GBK" w:hAnsi="方正仿宋_GBK" w:eastAsia="方正仿宋_GBK" w:cs="方正仿宋_GBK"/>
          <w:sz w:val="32"/>
          <w:szCs w:val="32"/>
        </w:rPr>
        <w:t>：</w:t>
      </w:r>
    </w:p>
    <w:p w14:paraId="05FBC4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你单位《关于审查黔江区舟白片区黄泥沟排水通道项目可行性研究报告的函（黔江建</w:t>
      </w:r>
      <w:r>
        <w:rPr>
          <w:rFonts w:hint="default" w:ascii="Times New Roman" w:hAnsi="Times New Roman" w:eastAsia="方正仿宋_GBK" w:cs="Times New Roman"/>
          <w:sz w:val="32"/>
          <w:szCs w:val="32"/>
        </w:rPr>
        <w:t>函〔2025〕317号）》收悉，结合区政府投资项目前期工作服务中心的评审意见，经研究，同意实施黔江区舟白片区黄泥沟排水通道项目（项目代码：</w:t>
      </w:r>
      <w:r>
        <w:rPr>
          <w:rFonts w:hint="default" w:ascii="Times New Roman" w:hAnsi="Times New Roman" w:eastAsia="方正仿宋_GBK" w:cs="Times New Roman"/>
          <w:color w:val="000000"/>
          <w:sz w:val="32"/>
          <w:szCs w:val="32"/>
        </w:rPr>
        <w:t>2512-500114-04-01-457722</w:t>
      </w:r>
      <w:r>
        <w:rPr>
          <w:rFonts w:hint="default" w:ascii="Times New Roman" w:hAnsi="Times New Roman" w:eastAsia="方正仿宋_GBK" w:cs="Times New Roman"/>
          <w:sz w:val="32"/>
          <w:szCs w:val="32"/>
        </w:rPr>
        <w:t>）。现将该</w:t>
      </w:r>
      <w:r>
        <w:rPr>
          <w:rFonts w:hint="eastAsia" w:ascii="方正仿宋_GBK" w:hAnsi="方正仿宋_GBK" w:eastAsia="方正仿宋_GBK" w:cs="方正仿宋_GBK"/>
          <w:sz w:val="32"/>
          <w:szCs w:val="32"/>
        </w:rPr>
        <w:t>项目可行性研究报告批复如下：</w:t>
      </w:r>
    </w:p>
    <w:p w14:paraId="4F70A8DD">
      <w:pPr>
        <w:keepNext w:val="0"/>
        <w:keepLines w:val="0"/>
        <w:pageBreakBefore w:val="0"/>
        <w:widowControl w:val="0"/>
        <w:numPr>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项目业主：</w:t>
      </w:r>
      <w:r>
        <w:rPr>
          <w:rFonts w:hint="eastAsia" w:ascii="方正仿宋_GBK" w:hAnsi="方正仿宋_GBK" w:eastAsia="方正仿宋_GBK" w:cs="方正仿宋_GBK"/>
          <w:color w:val="000000"/>
          <w:sz w:val="32"/>
          <w:szCs w:val="32"/>
        </w:rPr>
        <w:t>重庆市黔江区住房和城乡建设委员会</w:t>
      </w:r>
    </w:p>
    <w:p w14:paraId="28D4260A">
      <w:pPr>
        <w:keepNext w:val="0"/>
        <w:keepLines w:val="0"/>
        <w:pageBreakBefore w:val="0"/>
        <w:widowControl w:val="0"/>
        <w:kinsoku/>
        <w:wordWrap/>
        <w:overflowPunct/>
        <w:topLinePunct w:val="0"/>
        <w:autoSpaceDE/>
        <w:autoSpaceDN/>
        <w:bidi w:val="0"/>
        <w:spacing w:line="520" w:lineRule="exact"/>
        <w:ind w:firstLine="1280" w:firstLineChars="4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sz w:val="32"/>
          <w:szCs w:val="32"/>
        </w:rPr>
        <w:t>代建单位：</w:t>
      </w:r>
      <w:r>
        <w:rPr>
          <w:rFonts w:hint="eastAsia" w:ascii="方正仿宋_GBK" w:hAnsi="方正仿宋_GBK" w:eastAsia="方正仿宋_GBK" w:cs="方正仿宋_GBK"/>
          <w:color w:val="000000"/>
          <w:sz w:val="32"/>
          <w:szCs w:val="32"/>
        </w:rPr>
        <w:t>重庆市枳丹石城市建设开发有限公司</w:t>
      </w:r>
    </w:p>
    <w:p w14:paraId="31032D6E">
      <w:pPr>
        <w:keepNext w:val="0"/>
        <w:keepLines w:val="0"/>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sz w:val="32"/>
          <w:szCs w:val="32"/>
        </w:rPr>
        <w:t xml:space="preserve"> 二、建设地点：</w:t>
      </w:r>
      <w:r>
        <w:rPr>
          <w:rFonts w:hint="eastAsia" w:ascii="方正仿宋_GBK" w:hAnsi="方正仿宋_GBK" w:eastAsia="方正仿宋_GBK" w:cs="方正仿宋_GBK"/>
          <w:sz w:val="32"/>
          <w:szCs w:val="32"/>
        </w:rPr>
        <w:t>黔江区</w:t>
      </w:r>
      <w:r>
        <w:rPr>
          <w:rFonts w:hint="eastAsia" w:ascii="方正仿宋_GBK" w:hAnsi="方正仿宋_GBK" w:eastAsia="方正仿宋_GBK" w:cs="方正仿宋_GBK"/>
          <w:color w:val="000000"/>
          <w:sz w:val="32"/>
          <w:szCs w:val="32"/>
        </w:rPr>
        <w:t>舟白片区</w:t>
      </w:r>
    </w:p>
    <w:p w14:paraId="25CFDCA7">
      <w:pPr>
        <w:pStyle w:val="3"/>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三、主要建设内</w:t>
      </w:r>
      <w:r>
        <w:rPr>
          <w:rFonts w:hint="default" w:ascii="Times New Roman" w:hAnsi="Times New Roman" w:eastAsia="方正黑体_GBK" w:cs="Times New Roman"/>
          <w:sz w:val="32"/>
          <w:szCs w:val="32"/>
        </w:rPr>
        <w:t>容及规模：</w:t>
      </w:r>
      <w:r>
        <w:rPr>
          <w:rFonts w:hint="default" w:ascii="Times New Roman" w:hAnsi="Times New Roman" w:eastAsia="方正仿宋_GBK" w:cs="Times New Roman"/>
          <w:color w:val="000000"/>
          <w:sz w:val="32"/>
          <w:szCs w:val="32"/>
        </w:rPr>
        <w:t>新建4.5x3.5m排水隧洞长约1.94公里，其中暗挖段长约1.23公里、明开挖段长约0.71公里，配套建设施工用竖井5座、箱涵副井20座；同步恢复因排水隧洞建设破坏的现状设施，购置龙吸水排涝设备2台。</w:t>
      </w:r>
    </w:p>
    <w:p w14:paraId="4B99CABC">
      <w:pPr>
        <w:pStyle w:val="3"/>
        <w:keepNext w:val="0"/>
        <w:keepLines w:val="0"/>
        <w:pageBreakBefore w:val="0"/>
        <w:widowControl w:val="0"/>
        <w:kinsoku/>
        <w:wordWrap/>
        <w:overflowPunct/>
        <w:topLinePunct w:val="0"/>
        <w:autoSpaceDE/>
        <w:autoSpaceDN/>
        <w:bidi w:val="0"/>
        <w:spacing w:after="0" w:line="520" w:lineRule="exact"/>
        <w:ind w:left="40" w:right="116" w:firstLine="639"/>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四、项目总投资及资金来源：</w:t>
      </w:r>
      <w:r>
        <w:rPr>
          <w:rFonts w:hint="default" w:ascii="Times New Roman" w:hAnsi="Times New Roman" w:eastAsia="方正仿宋_GBK" w:cs="Times New Roman"/>
          <w:sz w:val="32"/>
          <w:szCs w:val="32"/>
        </w:rPr>
        <w:t>项目总投资</w:t>
      </w:r>
      <w:r>
        <w:rPr>
          <w:rFonts w:hint="default" w:ascii="Times New Roman" w:hAnsi="Times New Roman" w:eastAsia="方正仿宋_GBK" w:cs="Times New Roman"/>
          <w:sz w:val="32"/>
          <w:szCs w:val="32"/>
          <w:lang w:val="en-US" w:eastAsia="zh-CN"/>
        </w:rPr>
        <w:t xml:space="preserve">14188.20 </w:t>
      </w:r>
      <w:r>
        <w:rPr>
          <w:rFonts w:hint="default" w:ascii="Times New Roman" w:hAnsi="Times New Roman" w:eastAsia="方正仿宋_GBK" w:cs="Times New Roman"/>
          <w:sz w:val="32"/>
          <w:szCs w:val="32"/>
        </w:rPr>
        <w:t>万元，其中：工程费用11410.95万元，工程建设其他费用</w:t>
      </w:r>
      <w:r>
        <w:rPr>
          <w:rFonts w:hint="default" w:ascii="Times New Roman" w:hAnsi="Times New Roman" w:eastAsia="方正仿宋_GBK" w:cs="Times New Roman"/>
          <w:sz w:val="32"/>
          <w:szCs w:val="32"/>
          <w:lang w:val="en-US" w:eastAsia="zh-CN"/>
        </w:rPr>
        <w:t xml:space="preserve">2101.62 </w:t>
      </w:r>
      <w:r>
        <w:rPr>
          <w:rFonts w:hint="default" w:ascii="Times New Roman" w:hAnsi="Times New Roman" w:eastAsia="方正仿宋_GBK" w:cs="Times New Roman"/>
          <w:sz w:val="32"/>
          <w:szCs w:val="32"/>
        </w:rPr>
        <w:t>万元，预备费</w:t>
      </w:r>
      <w:r>
        <w:rPr>
          <w:rFonts w:hint="default" w:ascii="Times New Roman" w:hAnsi="Times New Roman" w:eastAsia="方正仿宋_GBK" w:cs="Times New Roman"/>
          <w:sz w:val="32"/>
          <w:szCs w:val="32"/>
          <w:lang w:val="en-US" w:eastAsia="zh-CN"/>
        </w:rPr>
        <w:t xml:space="preserve">675.63 </w:t>
      </w:r>
      <w:r>
        <w:rPr>
          <w:rFonts w:hint="default" w:ascii="Times New Roman" w:hAnsi="Times New Roman" w:eastAsia="方正仿宋_GBK" w:cs="Times New Roman"/>
          <w:sz w:val="32"/>
          <w:szCs w:val="32"/>
        </w:rPr>
        <w:t>万元。资金来源为申请</w:t>
      </w:r>
      <w:r>
        <w:rPr>
          <w:rFonts w:hint="default" w:ascii="Times New Roman" w:hAnsi="Times New Roman" w:eastAsia="方正仿宋_GBK" w:cs="Times New Roman"/>
          <w:sz w:val="32"/>
          <w:szCs w:val="32"/>
          <w:lang w:eastAsia="zh-CN"/>
        </w:rPr>
        <w:t>国市补助</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不足部分业主自筹。</w:t>
      </w:r>
    </w:p>
    <w:p w14:paraId="1B2FCB8D">
      <w:pPr>
        <w:pStyle w:val="4"/>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黑体_GBK" w:cs="Times New Roman"/>
          <w:sz w:val="32"/>
          <w:szCs w:val="32"/>
        </w:rPr>
        <w:t>五、建设工期：</w:t>
      </w:r>
      <w:r>
        <w:rPr>
          <w:rFonts w:hint="default" w:ascii="Times New Roman" w:hAnsi="Times New Roman" w:eastAsia="方正仿宋_GBK" w:cs="Times New Roman"/>
          <w:sz w:val="32"/>
          <w:szCs w:val="32"/>
        </w:rPr>
        <w:t>18个月。</w:t>
      </w:r>
    </w:p>
    <w:p w14:paraId="5A3242AA">
      <w:pPr>
        <w:pStyle w:val="6"/>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六、招标核准：</w:t>
      </w:r>
      <w:r>
        <w:rPr>
          <w:rFonts w:hint="eastAsia" w:ascii="方正仿宋_GBK" w:hAnsi="方正仿宋_GBK" w:eastAsia="方正仿宋_GBK" w:cs="方正仿宋_GBK"/>
          <w:sz w:val="32"/>
          <w:szCs w:val="32"/>
        </w:rPr>
        <w:t>本项目的招标范围为工程施工，勘察、设计、监理等与工程建设有关的服务，以及与工程建设有关的重要设备、材料的采购等。按照招标投标法相关规定，依法必须招标的，招标方式为公开招标，招标组织形式为委托招标。招标公告在指定媒介公开发布。</w:t>
      </w:r>
    </w:p>
    <w:p w14:paraId="477DC29D">
      <w:pPr>
        <w:pStyle w:val="6"/>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七、有关事项：</w:t>
      </w:r>
      <w:r>
        <w:rPr>
          <w:rFonts w:hint="eastAsia" w:ascii="方正仿宋_GBK" w:hAnsi="方正仿宋_GBK" w:eastAsia="方正仿宋_GBK" w:cs="方正仿宋_GBK"/>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48E0C004">
      <w:pPr>
        <w:pStyle w:val="6"/>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rPr>
      </w:pPr>
    </w:p>
    <w:p w14:paraId="3A46BB6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附件：黔江区舟白片区黄泥沟排水通道项目投资估算表</w:t>
      </w:r>
    </w:p>
    <w:p w14:paraId="708FC5A9">
      <w:pPr>
        <w:keepNext w:val="0"/>
        <w:keepLines w:val="0"/>
        <w:pageBreakBefore w:val="0"/>
        <w:widowControl w:val="0"/>
        <w:kinsoku/>
        <w:wordWrap/>
        <w:overflowPunct/>
        <w:topLinePunct w:val="0"/>
        <w:autoSpaceDE/>
        <w:autoSpaceDN/>
        <w:bidi w:val="0"/>
        <w:adjustRightInd w:val="0"/>
        <w:snapToGrid w:val="0"/>
        <w:spacing w:line="520" w:lineRule="exact"/>
        <w:textAlignment w:val="auto"/>
        <w:rPr>
          <w:bCs/>
          <w:szCs w:val="32"/>
        </w:rPr>
      </w:pPr>
    </w:p>
    <w:p w14:paraId="3AC19D31">
      <w:pPr>
        <w:keepNext w:val="0"/>
        <w:keepLines w:val="0"/>
        <w:pageBreakBefore w:val="0"/>
        <w:widowControl w:val="0"/>
        <w:kinsoku/>
        <w:wordWrap/>
        <w:overflowPunct/>
        <w:topLinePunct w:val="0"/>
        <w:autoSpaceDE/>
        <w:autoSpaceDN/>
        <w:bidi w:val="0"/>
        <w:spacing w:line="520" w:lineRule="exact"/>
        <w:textAlignment w:val="auto"/>
        <w:rPr>
          <w:bCs/>
          <w:szCs w:val="32"/>
        </w:rPr>
      </w:pPr>
    </w:p>
    <w:p w14:paraId="7F99AD7C">
      <w:pPr>
        <w:pStyle w:val="4"/>
        <w:keepNext w:val="0"/>
        <w:keepLines w:val="0"/>
        <w:pageBreakBefore w:val="0"/>
        <w:widowControl w:val="0"/>
        <w:kinsoku/>
        <w:wordWrap/>
        <w:overflowPunct/>
        <w:topLinePunct w:val="0"/>
        <w:autoSpaceDE/>
        <w:autoSpaceDN/>
        <w:bidi w:val="0"/>
        <w:spacing w:line="520" w:lineRule="exact"/>
        <w:ind w:firstLine="3520" w:firstLineChars="1100"/>
        <w:textAlignment w:val="auto"/>
        <w:rPr>
          <w:rFonts w:eastAsia="方正仿宋_GBK"/>
          <w:bCs/>
          <w:szCs w:val="32"/>
        </w:rPr>
      </w:pPr>
      <w:r>
        <w:rPr>
          <w:rFonts w:hint="eastAsia" w:eastAsia="方正仿宋_GBK"/>
          <w:bCs/>
          <w:szCs w:val="32"/>
        </w:rPr>
        <w:t>重庆市黔江区发展和改革委员会</w:t>
      </w:r>
    </w:p>
    <w:p w14:paraId="5EC76358">
      <w:pPr>
        <w:pStyle w:val="4"/>
        <w:keepNext w:val="0"/>
        <w:keepLines w:val="0"/>
        <w:pageBreakBefore w:val="0"/>
        <w:widowControl w:val="0"/>
        <w:kinsoku/>
        <w:wordWrap/>
        <w:overflowPunct/>
        <w:topLinePunct w:val="0"/>
        <w:autoSpaceDE/>
        <w:autoSpaceDN/>
        <w:bidi w:val="0"/>
        <w:spacing w:line="520" w:lineRule="exact"/>
        <w:ind w:firstLine="4480" w:firstLineChars="1400"/>
        <w:textAlignment w:val="auto"/>
        <w:rPr>
          <w:rFonts w:eastAsia="方正仿宋_GBK"/>
          <w:bCs/>
          <w:szCs w:val="32"/>
        </w:rPr>
      </w:pPr>
      <w:r>
        <w:rPr>
          <w:rFonts w:eastAsia="方正仿宋_GBK"/>
          <w:bCs/>
          <w:szCs w:val="32"/>
        </w:rPr>
        <w:t>202</w:t>
      </w:r>
      <w:r>
        <w:rPr>
          <w:rFonts w:hint="eastAsia" w:eastAsia="方正仿宋_GBK"/>
          <w:bCs/>
          <w:szCs w:val="32"/>
        </w:rPr>
        <w:t>5</w:t>
      </w:r>
      <w:r>
        <w:rPr>
          <w:rFonts w:eastAsia="方正仿宋_GBK"/>
          <w:bCs/>
          <w:szCs w:val="32"/>
        </w:rPr>
        <w:t>年</w:t>
      </w:r>
      <w:r>
        <w:rPr>
          <w:rFonts w:hint="eastAsia" w:eastAsia="方正仿宋_GBK"/>
          <w:bCs/>
          <w:szCs w:val="32"/>
        </w:rPr>
        <w:t>12</w:t>
      </w:r>
      <w:r>
        <w:rPr>
          <w:rFonts w:eastAsia="方正仿宋_GBK"/>
          <w:bCs/>
          <w:szCs w:val="32"/>
        </w:rPr>
        <w:t>月</w:t>
      </w:r>
      <w:r>
        <w:rPr>
          <w:rFonts w:hint="eastAsia" w:eastAsia="方正仿宋_GBK"/>
          <w:bCs/>
          <w:szCs w:val="32"/>
        </w:rPr>
        <w:t>2</w:t>
      </w:r>
      <w:r>
        <w:rPr>
          <w:rFonts w:hint="eastAsia" w:eastAsia="方正仿宋_GBK"/>
          <w:bCs/>
          <w:szCs w:val="32"/>
          <w:lang w:val="en-US" w:eastAsia="zh-CN"/>
        </w:rPr>
        <w:t>6</w:t>
      </w:r>
      <w:r>
        <w:rPr>
          <w:rFonts w:eastAsia="方正仿宋_GBK"/>
          <w:bCs/>
          <w:szCs w:val="32"/>
        </w:rPr>
        <w:t>日</w:t>
      </w:r>
    </w:p>
    <w:p w14:paraId="6DF1F0C6">
      <w:pPr>
        <w:pStyle w:val="18"/>
        <w:spacing w:line="6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14:paraId="4623946F">
      <w:pPr>
        <w:pStyle w:val="6"/>
        <w:spacing w:line="520" w:lineRule="exact"/>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rPr>
        <w:t>黔江区舟白片区黄泥沟排水通道项目</w:t>
      </w:r>
      <w:r>
        <w:rPr>
          <w:rFonts w:ascii="Times New Roman" w:hAnsi="Times New Roman" w:eastAsia="方正小标宋_GBK"/>
          <w:kern w:val="0"/>
          <w:sz w:val="36"/>
          <w:szCs w:val="36"/>
          <w:lang w:val="zh-CN"/>
        </w:rPr>
        <w:t>投资估算表</w:t>
      </w:r>
    </w:p>
    <w:p w14:paraId="77853ABD">
      <w:pPr>
        <w:pStyle w:val="6"/>
        <w:spacing w:line="520" w:lineRule="exact"/>
        <w:jc w:val="center"/>
        <w:rPr>
          <w:rFonts w:ascii="Times New Roman" w:hAnsi="Times New Roman" w:eastAsia="方正小标宋_GBK"/>
          <w:kern w:val="0"/>
          <w:sz w:val="24"/>
          <w:szCs w:val="24"/>
        </w:rPr>
      </w:pPr>
    </w:p>
    <w:tbl>
      <w:tblPr>
        <w:tblStyle w:val="12"/>
        <w:tblW w:w="8736" w:type="dxa"/>
        <w:tblInd w:w="0" w:type="dxa"/>
        <w:tblLayout w:type="fixed"/>
        <w:tblCellMar>
          <w:top w:w="15" w:type="dxa"/>
          <w:left w:w="15" w:type="dxa"/>
          <w:bottom w:w="15" w:type="dxa"/>
          <w:right w:w="15" w:type="dxa"/>
        </w:tblCellMar>
      </w:tblPr>
      <w:tblGrid>
        <w:gridCol w:w="1155"/>
        <w:gridCol w:w="4635"/>
        <w:gridCol w:w="2946"/>
      </w:tblGrid>
      <w:tr w14:paraId="1719BA23">
        <w:tblPrEx>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6002">
            <w:pPr>
              <w:widowControl/>
              <w:jc w:val="center"/>
              <w:textAlignment w:val="center"/>
              <w:rPr>
                <w:rFonts w:eastAsia="宋体"/>
                <w:b/>
                <w:color w:val="000000"/>
                <w:sz w:val="24"/>
                <w:szCs w:val="24"/>
              </w:rPr>
            </w:pPr>
            <w:r>
              <w:rPr>
                <w:rFonts w:eastAsia="宋体"/>
                <w:b/>
                <w:color w:val="000000"/>
                <w:kern w:val="0"/>
                <w:sz w:val="24"/>
                <w:szCs w:val="24"/>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09D">
            <w:pPr>
              <w:widowControl/>
              <w:jc w:val="center"/>
              <w:textAlignment w:val="center"/>
              <w:rPr>
                <w:rFonts w:eastAsia="宋体"/>
                <w:b/>
                <w:color w:val="000000"/>
                <w:sz w:val="24"/>
                <w:szCs w:val="24"/>
              </w:rPr>
            </w:pPr>
            <w:r>
              <w:rPr>
                <w:rFonts w:eastAsia="宋体"/>
                <w:b/>
                <w:color w:val="000000"/>
                <w:kern w:val="0"/>
                <w:sz w:val="24"/>
                <w:szCs w:val="24"/>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28E5A91C">
            <w:pPr>
              <w:widowControl/>
              <w:jc w:val="center"/>
              <w:textAlignment w:val="center"/>
              <w:rPr>
                <w:rFonts w:eastAsia="宋体"/>
                <w:b/>
                <w:color w:val="000000"/>
                <w:sz w:val="20"/>
                <w:szCs w:val="20"/>
              </w:rPr>
            </w:pPr>
            <w:r>
              <w:rPr>
                <w:rFonts w:eastAsia="宋体"/>
                <w:b/>
                <w:color w:val="000000"/>
                <w:kern w:val="0"/>
                <w:sz w:val="24"/>
                <w:szCs w:val="24"/>
              </w:rPr>
              <w:t>审定金额（万元）</w:t>
            </w:r>
          </w:p>
        </w:tc>
      </w:tr>
      <w:tr w14:paraId="31624DB0">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96B">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764AE9E8">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346">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11410.95 </w:t>
            </w:r>
          </w:p>
        </w:tc>
      </w:tr>
      <w:tr w14:paraId="0E5B70EC">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FD2C">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50A19F84">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排水隧洞暗挖段</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37C8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6150.00 </w:t>
            </w:r>
          </w:p>
        </w:tc>
      </w:tr>
      <w:tr w14:paraId="3ECBF7C9">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9F41">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58E7452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排水隧洞明挖段</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F3CC6">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2130.00 </w:t>
            </w:r>
          </w:p>
        </w:tc>
      </w:tr>
      <w:tr w14:paraId="6BA8781B">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F39E">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1AC6AC8D">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施工用竖井</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7D77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400.00 </w:t>
            </w:r>
          </w:p>
        </w:tc>
      </w:tr>
      <w:tr w14:paraId="371341DB">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17F">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7260EC2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暗挖断箱涵副井</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254B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800.00 </w:t>
            </w:r>
          </w:p>
        </w:tc>
      </w:tr>
      <w:tr w14:paraId="0B4D5C2A">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FBE4">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3B85C9A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施工便道</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5DF77">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465.60 </w:t>
            </w:r>
          </w:p>
        </w:tc>
      </w:tr>
      <w:tr w14:paraId="1211EE09">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FF8">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235229B0">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土石方工程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D19B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500.00 </w:t>
            </w:r>
          </w:p>
        </w:tc>
      </w:tr>
      <w:tr w14:paraId="3D073726">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85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63160CBA">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生态工程修复</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09872">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415.35 </w:t>
            </w:r>
          </w:p>
        </w:tc>
      </w:tr>
      <w:tr w14:paraId="3AC59163">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F9BC">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070623E4">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现状道路开挖与修复</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0052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60.00 </w:t>
            </w:r>
          </w:p>
        </w:tc>
      </w:tr>
      <w:tr w14:paraId="0EE9C34E">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3EBB">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342CA672">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现状设施破坏与恢复</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29127">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50.00 </w:t>
            </w:r>
          </w:p>
        </w:tc>
      </w:tr>
      <w:tr w14:paraId="60AB3645">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D953">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2C7C083F">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交通组织</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238F6">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20.00 </w:t>
            </w:r>
          </w:p>
        </w:tc>
      </w:tr>
      <w:tr w14:paraId="31F81390">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33D">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5F63D288">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钢管杆桩支护</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BF3C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200.00 </w:t>
            </w:r>
          </w:p>
        </w:tc>
      </w:tr>
      <w:tr w14:paraId="6B387D87">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145E">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12</w:t>
            </w:r>
          </w:p>
        </w:tc>
        <w:tc>
          <w:tcPr>
            <w:tcW w:w="4635" w:type="dxa"/>
            <w:tcBorders>
              <w:top w:val="single" w:color="000000" w:sz="4" w:space="0"/>
              <w:left w:val="single" w:color="000000" w:sz="4" w:space="0"/>
              <w:bottom w:val="single" w:color="000000" w:sz="4" w:space="0"/>
            </w:tcBorders>
            <w:shd w:val="clear" w:color="FFFFFF" w:fill="FFFFFF"/>
            <w:vAlign w:val="center"/>
          </w:tcPr>
          <w:p w14:paraId="6BA67D2D">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软弱地基处理（块石换填）</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9F8D8">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220.00 </w:t>
            </w:r>
          </w:p>
        </w:tc>
      </w:tr>
      <w:tr w14:paraId="6BC327A8">
        <w:tblPrEx>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50D10554">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2987F88F">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D81">
            <w:pPr>
              <w:keepNext w:val="0"/>
              <w:keepLines w:val="0"/>
              <w:widowControl/>
              <w:suppressLineNumbers w:val="0"/>
              <w:jc w:val="center"/>
              <w:textAlignment w:val="center"/>
              <w:rPr>
                <w:rFonts w:eastAsia="方正楷体_GBK"/>
                <w:b/>
                <w:color w:val="000000"/>
                <w:kern w:val="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2101.62 </w:t>
            </w:r>
          </w:p>
        </w:tc>
      </w:tr>
      <w:tr w14:paraId="48D5EBB1">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D8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31F72BA9">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土地征用及补偿费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6FAA7">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1100.00 </w:t>
            </w:r>
          </w:p>
        </w:tc>
      </w:tr>
      <w:tr w14:paraId="0B5412E1">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3F8">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6CA2EDE">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DBC66">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57.05 </w:t>
            </w:r>
          </w:p>
        </w:tc>
      </w:tr>
      <w:tr w14:paraId="4B2FF031">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91E4">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54F2136F">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9B790">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181.88 </w:t>
            </w:r>
          </w:p>
        </w:tc>
      </w:tr>
      <w:tr w14:paraId="52A32127">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677E">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4663FAF4">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A2CB9">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156.90 </w:t>
            </w:r>
          </w:p>
        </w:tc>
      </w:tr>
      <w:tr w14:paraId="3B446176">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94C">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19CF83B1">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1407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21.88 </w:t>
            </w:r>
          </w:p>
        </w:tc>
      </w:tr>
      <w:tr w14:paraId="2B0F658A">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486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553DCBC3">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59C0E">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31.41 </w:t>
            </w:r>
          </w:p>
        </w:tc>
      </w:tr>
      <w:tr w14:paraId="18FD499E">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148">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238E68F1">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A5154">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319.51 </w:t>
            </w:r>
          </w:p>
        </w:tc>
      </w:tr>
      <w:tr w14:paraId="5AEA60F8">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D61">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0B1C92D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3882B">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22.82 </w:t>
            </w:r>
          </w:p>
        </w:tc>
      </w:tr>
      <w:tr w14:paraId="0E72FDC1">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42B6">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76D2A799">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1052D">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110.87 </w:t>
            </w:r>
          </w:p>
        </w:tc>
      </w:tr>
      <w:tr w14:paraId="684F6743">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A6A">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009928DC">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FE435">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8.02 </w:t>
            </w:r>
          </w:p>
        </w:tc>
      </w:tr>
      <w:tr w14:paraId="41FB0A3A">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317">
            <w:pPr>
              <w:keepNext w:val="0"/>
              <w:keepLines w:val="0"/>
              <w:widowControl/>
              <w:suppressLineNumbers w:val="0"/>
              <w:jc w:val="center"/>
              <w:textAlignment w:val="center"/>
              <w:rPr>
                <w:rFonts w:eastAsia="方正楷体_GBK"/>
                <w:bCs/>
                <w:color w:val="000000"/>
                <w:kern w:val="0"/>
                <w:sz w:val="24"/>
                <w:szCs w:val="24"/>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11152B41">
            <w:pPr>
              <w:keepNext w:val="0"/>
              <w:keepLines w:val="0"/>
              <w:widowControl/>
              <w:suppressLineNumbers w:val="0"/>
              <w:jc w:val="left"/>
              <w:textAlignment w:val="center"/>
              <w:rPr>
                <w:rFonts w:eastAsia="方正楷体_GBK"/>
                <w:bCs/>
                <w:color w:val="000000"/>
                <w:kern w:val="0"/>
                <w:sz w:val="24"/>
                <w:szCs w:val="24"/>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2B8DB">
            <w:pPr>
              <w:keepNext w:val="0"/>
              <w:keepLines w:val="0"/>
              <w:widowControl/>
              <w:suppressLineNumbers w:val="0"/>
              <w:jc w:val="center"/>
              <w:textAlignment w:val="center"/>
              <w:rPr>
                <w:rFonts w:eastAsia="方正楷体_GBK"/>
                <w:bCs/>
                <w:color w:val="000000"/>
                <w:kern w:val="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34.23 </w:t>
            </w:r>
          </w:p>
        </w:tc>
      </w:tr>
      <w:tr w14:paraId="22DE3FC6">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AC8">
            <w:pPr>
              <w:keepNext w:val="0"/>
              <w:keepLines w:val="0"/>
              <w:widowControl/>
              <w:suppressLineNumbers w:val="0"/>
              <w:jc w:val="center"/>
              <w:textAlignment w:val="center"/>
              <w:rPr>
                <w:rFonts w:eastAsia="方正楷体_GBK"/>
                <w:b/>
                <w:color w:val="000000"/>
                <w:sz w:val="24"/>
                <w:szCs w:val="24"/>
              </w:rPr>
            </w:pPr>
            <w:r>
              <w:rPr>
                <w:rFonts w:hint="default" w:ascii="Times New Roman" w:hAnsi="Times New Roman" w:eastAsia="宋体" w:cs="Times New Roman"/>
                <w:i w:val="0"/>
                <w:color w:val="000000"/>
                <w:kern w:val="0"/>
                <w:sz w:val="22"/>
                <w:szCs w:val="22"/>
                <w:u w:val="none"/>
                <w:lang w:val="en-US" w:eastAsia="zh-CN" w:bidi="ar"/>
              </w:rPr>
              <w:t>12</w:t>
            </w:r>
          </w:p>
        </w:tc>
        <w:tc>
          <w:tcPr>
            <w:tcW w:w="46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052F2">
            <w:pPr>
              <w:keepNext w:val="0"/>
              <w:keepLines w:val="0"/>
              <w:widowControl/>
              <w:suppressLineNumbers w:val="0"/>
              <w:jc w:val="left"/>
              <w:textAlignment w:val="cente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31A8C">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i w:val="0"/>
                <w:color w:val="000000"/>
                <w:kern w:val="0"/>
                <w:sz w:val="22"/>
                <w:szCs w:val="22"/>
                <w:u w:val="none"/>
                <w:lang w:val="en-US" w:eastAsia="zh-CN" w:bidi="ar"/>
              </w:rPr>
              <w:t xml:space="preserve">57.05 </w:t>
            </w:r>
          </w:p>
        </w:tc>
      </w:tr>
      <w:tr w14:paraId="5EC81BD0">
        <w:tblPrEx>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674C9">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9F9DA">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2"/>
                <w:szCs w:val="22"/>
                <w:u w:val="none"/>
                <w:lang w:val="en-US" w:eastAsia="zh-CN" w:bidi="ar"/>
              </w:rPr>
              <w:t xml:space="preserve">13512.57 </w:t>
            </w:r>
          </w:p>
        </w:tc>
      </w:tr>
      <w:tr w14:paraId="3CDF1A00">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04BE">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A6B2">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76DD7">
            <w:pPr>
              <w:keepNext w:val="0"/>
              <w:keepLines w:val="0"/>
              <w:widowControl/>
              <w:suppressLineNumbers w:val="0"/>
              <w:jc w:val="center"/>
              <w:textAlignment w:val="center"/>
              <w:rPr>
                <w:rFonts w:eastAsia="方正楷体_GBK"/>
                <w:b/>
                <w:color w:val="000000"/>
                <w:sz w:val="24"/>
                <w:szCs w:val="24"/>
              </w:rPr>
            </w:pPr>
            <w:r>
              <w:rPr>
                <w:rFonts w:hint="eastAsia" w:ascii="方正楷体_GBK" w:hAnsi="方正楷体_GBK" w:eastAsia="方正楷体_GBK" w:cs="方正楷体_GBK"/>
                <w:b/>
                <w:i w:val="0"/>
                <w:color w:val="000000"/>
                <w:kern w:val="0"/>
                <w:sz w:val="22"/>
                <w:szCs w:val="22"/>
                <w:u w:val="none"/>
                <w:lang w:val="en-US" w:eastAsia="zh-CN" w:bidi="ar"/>
              </w:rPr>
              <w:t xml:space="preserve">675.63 </w:t>
            </w:r>
          </w:p>
        </w:tc>
      </w:tr>
      <w:tr w14:paraId="7E2C5858">
        <w:tblPrEx>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F1D">
            <w:pPr>
              <w:keepNext w:val="0"/>
              <w:keepLines w:val="0"/>
              <w:widowControl/>
              <w:suppressLineNumbers w:val="0"/>
              <w:jc w:val="center"/>
              <w:textAlignment w:val="center"/>
              <w:rPr>
                <w:rFonts w:hint="eastAsia" w:ascii="方正楷体_GBK" w:hAnsi="方正楷体_GBK" w:eastAsia="方正楷体_GBK" w:cs="方正楷体_GBK"/>
                <w:b/>
                <w:i w:val="0"/>
                <w:color w:val="000000"/>
                <w:kern w:val="0"/>
                <w:sz w:val="24"/>
                <w:szCs w:val="24"/>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608">
            <w:pPr>
              <w:keepNext w:val="0"/>
              <w:keepLines w:val="0"/>
              <w:widowControl/>
              <w:suppressLineNumbers w:val="0"/>
              <w:jc w:val="center"/>
              <w:textAlignment w:val="center"/>
              <w:rPr>
                <w:rFonts w:hint="eastAsia" w:ascii="方正楷体_GBK" w:hAnsi="方正楷体_GBK" w:eastAsia="方正楷体_GBK" w:cs="方正楷体_GBK"/>
                <w:b/>
                <w:i w:val="0"/>
                <w:color w:val="000000"/>
                <w:kern w:val="0"/>
                <w:sz w:val="24"/>
                <w:szCs w:val="24"/>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D50CC">
            <w:pPr>
              <w:keepNext w:val="0"/>
              <w:keepLines w:val="0"/>
              <w:widowControl/>
              <w:suppressLineNumbers w:val="0"/>
              <w:jc w:val="center"/>
              <w:textAlignment w:val="center"/>
              <w:rPr>
                <w:rFonts w:hint="eastAsia" w:eastAsia="方正楷体_GBK"/>
                <w:b/>
                <w:color w:val="000000"/>
                <w:sz w:val="24"/>
                <w:szCs w:val="24"/>
              </w:rPr>
            </w:pPr>
            <w:r>
              <w:rPr>
                <w:rFonts w:hint="eastAsia" w:ascii="方正楷体_GBK" w:hAnsi="方正楷体_GBK" w:eastAsia="方正楷体_GBK" w:cs="方正楷体_GBK"/>
                <w:b/>
                <w:i w:val="0"/>
                <w:color w:val="000000"/>
                <w:kern w:val="0"/>
                <w:sz w:val="24"/>
                <w:szCs w:val="24"/>
                <w:u w:val="none"/>
                <w:lang w:val="en-US" w:eastAsia="zh-CN" w:bidi="ar"/>
              </w:rPr>
              <w:t xml:space="preserve">14188.20 </w:t>
            </w:r>
          </w:p>
        </w:tc>
      </w:tr>
    </w:tbl>
    <w:p w14:paraId="1CAC6C46">
      <w:pPr>
        <w:spacing w:line="240" w:lineRule="exact"/>
      </w:pPr>
    </w:p>
    <w:p w14:paraId="2CDB0066">
      <w:pPr>
        <w:spacing w:line="240" w:lineRule="exact"/>
      </w:pPr>
    </w:p>
    <w:p w14:paraId="1C1FC54A">
      <w:pPr>
        <w:spacing w:line="240" w:lineRule="exact"/>
      </w:pPr>
    </w:p>
    <w:p w14:paraId="71D08826">
      <w:pPr>
        <w:spacing w:line="240" w:lineRule="exact"/>
      </w:pPr>
    </w:p>
    <w:p w14:paraId="765F3493">
      <w:pPr>
        <w:spacing w:line="240" w:lineRule="exact"/>
      </w:pPr>
    </w:p>
    <w:p w14:paraId="1CBC57CF">
      <w:pPr>
        <w:spacing w:line="240" w:lineRule="exact"/>
      </w:pPr>
    </w:p>
    <w:p w14:paraId="5B87BB75">
      <w:pPr>
        <w:spacing w:line="240" w:lineRule="exact"/>
      </w:pPr>
    </w:p>
    <w:p w14:paraId="0029897D">
      <w:pPr>
        <w:spacing w:line="240" w:lineRule="exact"/>
      </w:pPr>
    </w:p>
    <w:p w14:paraId="44C2638C">
      <w:pPr>
        <w:spacing w:line="240" w:lineRule="exact"/>
      </w:pPr>
    </w:p>
    <w:p w14:paraId="3007EA27">
      <w:pPr>
        <w:spacing w:line="240" w:lineRule="exact"/>
      </w:pPr>
    </w:p>
    <w:p w14:paraId="4855EDD3">
      <w:pPr>
        <w:spacing w:line="240" w:lineRule="exact"/>
      </w:pPr>
    </w:p>
    <w:p w14:paraId="3E19D81D">
      <w:pPr>
        <w:spacing w:line="240" w:lineRule="exact"/>
      </w:pPr>
    </w:p>
    <w:p w14:paraId="4C2479C1">
      <w:pPr>
        <w:spacing w:line="240" w:lineRule="exact"/>
      </w:pPr>
      <w:bookmarkStart w:id="0" w:name="_GoBack"/>
      <w:bookmarkEnd w:id="0"/>
    </w:p>
    <w:p w14:paraId="64FE65A2">
      <w:pPr>
        <w:spacing w:line="240" w:lineRule="exact"/>
      </w:pPr>
    </w:p>
    <w:p w14:paraId="479BCBC5">
      <w:pPr>
        <w:spacing w:line="240" w:lineRule="exact"/>
      </w:pPr>
    </w:p>
    <w:p w14:paraId="4680A5DF">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6"/>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w:basedOn w:val="1"/>
    <w:link w:val="14"/>
    <w:qFormat/>
    <w:uiPriority w:val="0"/>
    <w:rPr>
      <w:szCs w:val="20"/>
    </w:rPr>
  </w:style>
  <w:style w:type="character" w:styleId="16">
    <w:name w:val="page number"/>
    <w:qFormat/>
    <w:uiPriority w:val="0"/>
  </w:style>
  <w:style w:type="character" w:customStyle="1" w:styleId="17">
    <w:name w:val="页眉 Char"/>
    <w:link w:val="10"/>
    <w:semiHidden/>
    <w:qFormat/>
    <w:locked/>
    <w:uiPriority w:val="0"/>
    <w:rPr>
      <w:rFonts w:eastAsia="宋体"/>
      <w:kern w:val="2"/>
      <w:sz w:val="18"/>
      <w:szCs w:val="18"/>
      <w:lang w:val="en-US" w:eastAsia="zh-CN" w:bidi="ar-SA"/>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41"/>
    <w:qFormat/>
    <w:uiPriority w:val="0"/>
    <w:rPr>
      <w:rFonts w:hint="eastAsia" w:ascii="方正仿宋_GBK" w:hAnsi="方正仿宋_GBK" w:eastAsia="方正仿宋_GBK" w:cs="方正仿宋_GBK"/>
      <w:color w:val="000000"/>
      <w:sz w:val="28"/>
      <w:szCs w:val="28"/>
      <w:u w:val="none"/>
    </w:rPr>
  </w:style>
  <w:style w:type="character" w:customStyle="1" w:styleId="21">
    <w:name w:val="font21"/>
    <w:qFormat/>
    <w:uiPriority w:val="0"/>
    <w:rPr>
      <w:rFonts w:hint="eastAsia" w:ascii="宋体" w:hAnsi="宋体" w:eastAsia="宋体" w:cs="宋体"/>
      <w:color w:val="000000"/>
      <w:sz w:val="24"/>
      <w:szCs w:val="24"/>
      <w:u w:val="none"/>
    </w:rPr>
  </w:style>
  <w:style w:type="character" w:customStyle="1" w:styleId="22">
    <w:name w:val="font81"/>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4"/>
    <w:qFormat/>
    <w:uiPriority w:val="0"/>
    <w:rPr>
      <w:rFonts w:ascii="方正仿宋_GBK" w:hAnsi="方正仿宋_GBK" w:eastAsia="方正仿宋_GBK" w:cs="方正仿宋_GBK"/>
      <w:b/>
      <w:bCs/>
      <w:color w:val="000000"/>
      <w:sz w:val="28"/>
      <w:szCs w:val="28"/>
      <w:u w:val="none"/>
    </w:rPr>
  </w:style>
  <w:style w:type="character" w:customStyle="1" w:styleId="24">
    <w:name w:val="font71"/>
    <w:basedOn w:val="14"/>
    <w:qFormat/>
    <w:uiPriority w:val="0"/>
    <w:rPr>
      <w:rFonts w:hint="eastAsia" w:ascii="方正仿宋_GBK" w:hAnsi="方正仿宋_GBK" w:eastAsia="方正仿宋_GBK" w:cs="方正仿宋_GBK"/>
      <w:color w:val="000000"/>
      <w:sz w:val="28"/>
      <w:szCs w:val="28"/>
      <w:u w:val="none"/>
    </w:rPr>
  </w:style>
  <w:style w:type="character" w:customStyle="1" w:styleId="25">
    <w:name w:val="font101"/>
    <w:basedOn w:val="14"/>
    <w:qFormat/>
    <w:uiPriority w:val="0"/>
    <w:rPr>
      <w:rFonts w:ascii="方正仿宋_GBK" w:hAnsi="方正仿宋_GBK" w:eastAsia="方正仿宋_GBK" w:cs="方正仿宋_GBK"/>
      <w:color w:val="000000"/>
      <w:sz w:val="20"/>
      <w:szCs w:val="20"/>
      <w:u w:val="none"/>
    </w:rPr>
  </w:style>
  <w:style w:type="character" w:customStyle="1" w:styleId="26">
    <w:name w:val="font51"/>
    <w:basedOn w:val="14"/>
    <w:qFormat/>
    <w:uiPriority w:val="0"/>
    <w:rPr>
      <w:rFonts w:hint="default" w:ascii="Times New Roman" w:hAnsi="Times New Roman" w:cs="Times New Roman"/>
      <w:color w:val="000000"/>
      <w:sz w:val="20"/>
      <w:szCs w:val="20"/>
      <w:u w:val="none"/>
    </w:rPr>
  </w:style>
  <w:style w:type="paragraph" w:customStyle="1" w:styleId="27">
    <w:name w:val="_Style 5"/>
    <w:basedOn w:val="1"/>
    <w:qFormat/>
    <w:uiPriority w:val="0"/>
  </w:style>
  <w:style w:type="character" w:customStyle="1" w:styleId="28">
    <w:name w:val="font91"/>
    <w:basedOn w:val="14"/>
    <w:qFormat/>
    <w:uiPriority w:val="0"/>
    <w:rPr>
      <w:rFonts w:ascii="方正楷体_GBK" w:hAnsi="方正楷体_GBK" w:eastAsia="方正楷体_GBK" w:cs="方正楷体_GBK"/>
      <w:b/>
      <w:bCs/>
      <w:color w:val="000000"/>
      <w:sz w:val="28"/>
      <w:szCs w:val="28"/>
      <w:u w:val="none"/>
    </w:rPr>
  </w:style>
  <w:style w:type="character" w:customStyle="1" w:styleId="29">
    <w:name w:val="font112"/>
    <w:basedOn w:val="14"/>
    <w:qFormat/>
    <w:uiPriority w:val="0"/>
    <w:rPr>
      <w:rFonts w:ascii="方正仿宋_GBK" w:hAnsi="方正仿宋_GBK" w:eastAsia="方正仿宋_GBK" w:cs="方正仿宋_GBK"/>
      <w:color w:val="000000"/>
      <w:sz w:val="24"/>
      <w:szCs w:val="24"/>
      <w:u w:val="none"/>
    </w:rPr>
  </w:style>
  <w:style w:type="character" w:customStyle="1" w:styleId="30">
    <w:name w:val="font181"/>
    <w:basedOn w:val="14"/>
    <w:qFormat/>
    <w:uiPriority w:val="0"/>
    <w:rPr>
      <w:rFonts w:ascii="方正黑体_GBK" w:hAnsi="方正黑体_GBK" w:eastAsia="方正黑体_GBK" w:cs="方正黑体_GBK"/>
      <w:color w:val="000000"/>
      <w:sz w:val="24"/>
      <w:szCs w:val="24"/>
      <w:u w:val="none"/>
    </w:rPr>
  </w:style>
  <w:style w:type="character" w:customStyle="1" w:styleId="31">
    <w:name w:val="font31"/>
    <w:basedOn w:val="14"/>
    <w:qFormat/>
    <w:uiPriority w:val="0"/>
    <w:rPr>
      <w:rFonts w:ascii="黑体" w:hAnsi="宋体" w:eastAsia="黑体" w:cs="黑体"/>
      <w:color w:val="000000"/>
      <w:sz w:val="28"/>
      <w:szCs w:val="28"/>
      <w:u w:val="none"/>
    </w:rPr>
  </w:style>
  <w:style w:type="character" w:customStyle="1" w:styleId="32">
    <w:name w:val="font191"/>
    <w:basedOn w:val="14"/>
    <w:qFormat/>
    <w:uiPriority w:val="0"/>
    <w:rPr>
      <w:rFonts w:hint="eastAsia" w:ascii="宋体" w:hAnsi="宋体" w:eastAsia="宋体" w:cs="宋体"/>
      <w:b/>
      <w:bCs/>
      <w:color w:val="000000"/>
      <w:sz w:val="21"/>
      <w:szCs w:val="21"/>
      <w:u w:val="none"/>
    </w:rPr>
  </w:style>
  <w:style w:type="character" w:customStyle="1" w:styleId="33">
    <w:name w:val="font201"/>
    <w:basedOn w:val="14"/>
    <w:qFormat/>
    <w:uiPriority w:val="0"/>
    <w:rPr>
      <w:rFonts w:hint="eastAsia" w:ascii="宋体" w:hAnsi="宋体" w:eastAsia="宋体" w:cs="宋体"/>
      <w:color w:val="000000"/>
      <w:sz w:val="21"/>
      <w:szCs w:val="21"/>
      <w:u w:val="none"/>
    </w:rPr>
  </w:style>
  <w:style w:type="character" w:customStyle="1" w:styleId="34">
    <w:name w:val="font212"/>
    <w:basedOn w:val="14"/>
    <w:qFormat/>
    <w:uiPriority w:val="0"/>
    <w:rPr>
      <w:rFonts w:hint="eastAsia" w:ascii="宋体" w:hAnsi="宋体" w:eastAsia="宋体" w:cs="宋体"/>
      <w:color w:val="000000"/>
      <w:sz w:val="21"/>
      <w:szCs w:val="21"/>
      <w:u w:val="none"/>
    </w:rPr>
  </w:style>
  <w:style w:type="character" w:customStyle="1" w:styleId="35">
    <w:name w:val="font221"/>
    <w:basedOn w:val="14"/>
    <w:qFormat/>
    <w:uiPriority w:val="0"/>
    <w:rPr>
      <w:rFonts w:hint="eastAsia" w:ascii="宋体" w:hAnsi="宋体" w:eastAsia="宋体" w:cs="宋体"/>
      <w:b/>
      <w:bCs/>
      <w:color w:val="000000"/>
      <w:sz w:val="24"/>
      <w:szCs w:val="24"/>
      <w:u w:val="none"/>
    </w:rPr>
  </w:style>
  <w:style w:type="character" w:customStyle="1" w:styleId="36">
    <w:name w:val="font231"/>
    <w:basedOn w:val="14"/>
    <w:qFormat/>
    <w:uiPriority w:val="0"/>
    <w:rPr>
      <w:rFonts w:hint="eastAsia" w:ascii="宋体" w:hAnsi="宋体" w:eastAsia="宋体" w:cs="宋体"/>
      <w:b/>
      <w:bCs/>
      <w:color w:val="000000"/>
      <w:sz w:val="21"/>
      <w:szCs w:val="21"/>
      <w:u w:val="none"/>
    </w:rPr>
  </w:style>
  <w:style w:type="character" w:customStyle="1" w:styleId="37">
    <w:name w:val="font11"/>
    <w:basedOn w:val="14"/>
    <w:qFormat/>
    <w:uiPriority w:val="0"/>
    <w:rPr>
      <w:rFonts w:hint="default" w:ascii="Times New Roman" w:hAnsi="Times New Roman" w:cs="Times New Roman"/>
      <w:color w:val="000000"/>
      <w:sz w:val="28"/>
      <w:szCs w:val="28"/>
      <w:u w:val="none"/>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1015</Words>
  <Characters>1193</Characters>
  <Lines>11</Lines>
  <Paragraphs>3</Paragraphs>
  <TotalTime>2</TotalTime>
  <ScaleCrop>false</ScaleCrop>
  <LinksUpToDate>false</LinksUpToDate>
  <CharactersWithSpaces>1324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2025-12-31T08:07:08Z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