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254</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054D3820">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关于黔江区迎宾片区老旧小区配套基础设施</w:t>
      </w:r>
    </w:p>
    <w:p w14:paraId="31BAE8F1">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改造项目可行性研究报告的批复</w:t>
      </w:r>
    </w:p>
    <w:p w14:paraId="27497190">
      <w:pPr>
        <w:keepNext w:val="0"/>
        <w:keepLines w:val="0"/>
        <w:pageBreakBefore w:val="0"/>
        <w:widowControl w:val="0"/>
        <w:kinsoku/>
        <w:wordWrap/>
        <w:overflowPunct/>
        <w:topLinePunct w:val="0"/>
        <w:autoSpaceDE/>
        <w:autoSpaceDN/>
        <w:bidi w:val="0"/>
        <w:spacing w:line="575" w:lineRule="exact"/>
        <w:ind w:right="23" w:rightChars="11" w:firstLine="160" w:firstLineChars="50"/>
        <w:textAlignment w:val="auto"/>
        <w:outlineLvl w:val="9"/>
        <w:rPr>
          <w:rFonts w:hint="default" w:ascii="Times New Roman" w:hAnsi="Times New Roman" w:eastAsia="方正仿宋_GBK" w:cs="Times New Roman"/>
          <w:sz w:val="32"/>
          <w:szCs w:val="32"/>
          <w:highlight w:val="none"/>
        </w:rPr>
      </w:pPr>
    </w:p>
    <w:p w14:paraId="5B326D79">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区住房城乡建委</w:t>
      </w:r>
      <w:r>
        <w:rPr>
          <w:rFonts w:hint="default" w:ascii="Times New Roman" w:hAnsi="Times New Roman" w:eastAsia="方正仿宋_GBK" w:cs="Times New Roman"/>
          <w:sz w:val="32"/>
          <w:szCs w:val="32"/>
          <w:highlight w:val="none"/>
          <w:lang w:val="en-US" w:eastAsia="zh-CN"/>
        </w:rPr>
        <w:t>：</w:t>
      </w:r>
    </w:p>
    <w:p w14:paraId="5F16993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你单位《关于审查黔江区迎宾片区老旧小区配套基础设施改造项目可行性研究报告的函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305</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》收悉，结合区政府投资项目前期工作服务中心的评审意见，经研究，同意实施黔江区迎宾片区老旧小区配套基础设施改造项目（项目代码：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2512-500114-04-01-848677</w:t>
      </w:r>
      <w:r>
        <w:rPr>
          <w:rFonts w:hint="default" w:ascii="Times New Roman" w:hAnsi="Times New Roman" w:eastAsia="方正仿宋_GBK" w:cs="Times New Roman"/>
          <w:sz w:val="32"/>
          <w:szCs w:val="32"/>
          <w:highlight w:val="none"/>
          <w:lang w:val="en-US" w:eastAsia="zh-CN"/>
        </w:rPr>
        <w:t>）。现将该项目可行性研究报告批复如下：</w:t>
      </w:r>
    </w:p>
    <w:p w14:paraId="4E07D4D5">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7BFB4268">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6A0CEF6F">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黔江区城西街道</w:t>
      </w:r>
    </w:p>
    <w:p w14:paraId="3F779B1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rPr>
        <w:t>、</w:t>
      </w:r>
      <w:r>
        <w:rPr>
          <w:rFonts w:hint="default" w:ascii="Times New Roman" w:hAnsi="Times New Roman" w:eastAsia="方正黑体_GBK" w:cs="Times New Roman"/>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涉及石峡小区等老旧小区1个，居民住户1230户，房屋317栋。主要建设内容包括小区内道路提升改造约1.1万平方米、小区外与城市主干网衔接的道路提升改造约9600平方米，绿化整改提升4500平方米，改造居住小区内排水管网4200米，公共厕所改造3处，智能化路灯改造200套，分类垃圾收集点改造30套，防护栏杆改造1000米，新增文体休闲设施10套等配套设施。</w:t>
      </w:r>
    </w:p>
    <w:p w14:paraId="578B29F1">
      <w:pPr>
        <w:pStyle w:val="2"/>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仿宋_GBK" w:cs="Times New Roman"/>
          <w:color w:val="auto"/>
          <w:kern w:val="2"/>
          <w:sz w:val="32"/>
          <w:szCs w:val="32"/>
          <w:highlight w:val="none"/>
          <w:lang w:val="en-US" w:eastAsia="zh-CN" w:bidi="ar-SA"/>
        </w:rPr>
        <w:t>、项目总投资及资金来源：项目估算总投资3535.59 万元，其中工程费用3057.05 万元，工程建设其他费用310.18 万元，预备费168.36 万元。资金来源为申请国市补助资金，不足部分</w:t>
      </w:r>
      <w:r>
        <w:rPr>
          <w:rFonts w:hint="default" w:ascii="Times New Roman" w:hAnsi="Times New Roman" w:cs="Times New Roman"/>
          <w:color w:val="auto"/>
          <w:kern w:val="2"/>
          <w:sz w:val="32"/>
          <w:szCs w:val="32"/>
          <w:highlight w:val="none"/>
          <w:lang w:val="en-US" w:eastAsia="zh-CN" w:bidi="ar-SA"/>
        </w:rPr>
        <w:t>业主自筹</w:t>
      </w:r>
      <w:r>
        <w:rPr>
          <w:rFonts w:hint="default" w:ascii="Times New Roman" w:hAnsi="Times New Roman" w:eastAsia="方正仿宋_GBK" w:cs="Times New Roman"/>
          <w:color w:val="auto"/>
          <w:kern w:val="2"/>
          <w:sz w:val="32"/>
          <w:szCs w:val="32"/>
          <w:highlight w:val="none"/>
          <w:lang w:val="en-US" w:eastAsia="zh-CN" w:bidi="ar-SA"/>
        </w:rPr>
        <w:t>。</w:t>
      </w:r>
    </w:p>
    <w:p w14:paraId="7A5FA3E5">
      <w:pPr>
        <w:pStyle w:val="5"/>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highlight w:val="none"/>
          <w:lang w:val="en-US" w:eastAsia="zh-CN"/>
        </w:rPr>
      </w:pPr>
      <w:r>
        <w:rPr>
          <w:rFonts w:hint="default" w:ascii="Times New Roman" w:hAnsi="Times New Roman" w:eastAsia="方正黑体_GBK" w:cs="Times New Roman"/>
          <w:sz w:val="32"/>
          <w:szCs w:val="32"/>
          <w:highlight w:val="none"/>
        </w:rPr>
        <w:t>五、</w:t>
      </w:r>
      <w:r>
        <w:rPr>
          <w:rFonts w:hint="default" w:ascii="Times New Roman" w:hAnsi="Times New Roman" w:eastAsia="方正黑体_GBK" w:cs="Times New Roman"/>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07B8DA80">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3B4D7050">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6A2162D8">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38F1D49E">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附件：</w:t>
      </w:r>
      <w:r>
        <w:rPr>
          <w:rFonts w:hint="eastAsia" w:ascii="方正仿宋_GBK" w:hAnsi="方正仿宋_GBK" w:eastAsia="方正仿宋_GBK" w:cs="方正仿宋_GBK"/>
          <w:sz w:val="32"/>
          <w:szCs w:val="32"/>
          <w:highlight w:val="none"/>
          <w:lang w:val="en-US" w:eastAsia="zh-CN"/>
        </w:rPr>
        <w:t>黔江区迎宾片区老旧小区配套基础设施改造项目</w:t>
      </w:r>
      <w:r>
        <w:rPr>
          <w:rFonts w:hint="eastAsia" w:ascii="方正仿宋_GBK" w:hAnsi="方正仿宋_GBK" w:eastAsia="方正仿宋_GBK" w:cs="方正仿宋_GBK"/>
          <w:kern w:val="2"/>
          <w:sz w:val="32"/>
          <w:szCs w:val="32"/>
          <w:highlight w:val="none"/>
          <w:lang w:val="en-US" w:eastAsia="zh-CN"/>
        </w:rPr>
        <w:t>投资</w:t>
      </w:r>
    </w:p>
    <w:p w14:paraId="07B37B05">
      <w:pPr>
        <w:keepNext w:val="0"/>
        <w:keepLines w:val="0"/>
        <w:pageBreakBefore w:val="0"/>
        <w:widowControl w:val="0"/>
        <w:kinsoku/>
        <w:wordWrap/>
        <w:overflowPunct/>
        <w:topLinePunct w:val="0"/>
        <w:autoSpaceDE/>
        <w:autoSpaceDN/>
        <w:bidi w:val="0"/>
        <w:adjustRightInd w:val="0"/>
        <w:snapToGrid w:val="0"/>
        <w:spacing w:line="575" w:lineRule="exact"/>
        <w:ind w:left="0" w:leftChars="0" w:firstLine="1478" w:firstLineChars="462"/>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估算表</w:t>
      </w:r>
    </w:p>
    <w:p w14:paraId="3BED2049">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bCs/>
          <w:sz w:val="32"/>
          <w:szCs w:val="32"/>
          <w:highlight w:val="none"/>
        </w:rPr>
      </w:pPr>
    </w:p>
    <w:p w14:paraId="4E252278">
      <w:pPr>
        <w:pStyle w:val="5"/>
        <w:keepNext w:val="0"/>
        <w:keepLines w:val="0"/>
        <w:pageBreakBefore w:val="0"/>
        <w:widowControl w:val="0"/>
        <w:kinsoku/>
        <w:wordWrap/>
        <w:overflowPunct/>
        <w:topLinePunct w:val="0"/>
        <w:autoSpaceDE/>
        <w:autoSpaceDN/>
        <w:bidi w:val="0"/>
        <w:spacing w:line="560"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23D2B9A9">
      <w:pPr>
        <w:pStyle w:val="5"/>
        <w:keepNext w:val="0"/>
        <w:keepLines w:val="0"/>
        <w:pageBreakBefore w:val="0"/>
        <w:widowControl w:val="0"/>
        <w:kinsoku/>
        <w:wordWrap/>
        <w:overflowPunct/>
        <w:topLinePunct w:val="0"/>
        <w:autoSpaceDE/>
        <w:autoSpaceDN/>
        <w:bidi w:val="0"/>
        <w:spacing w:line="560"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w:t>
      </w:r>
      <w:r>
        <w:rPr>
          <w:rFonts w:hint="eastAsia" w:eastAsia="方正仿宋_GBK" w:cs="Times New Roman"/>
          <w:bCs/>
          <w:sz w:val="32"/>
          <w:szCs w:val="32"/>
          <w:highlight w:val="none"/>
          <w:lang w:val="en-US" w:eastAsia="zh-CN"/>
        </w:rPr>
        <w:t>6</w:t>
      </w:r>
      <w:r>
        <w:rPr>
          <w:rFonts w:hint="default" w:ascii="Times New Roman" w:hAnsi="Times New Roman" w:eastAsia="方正仿宋_GBK" w:cs="Times New Roman"/>
          <w:bCs/>
          <w:sz w:val="32"/>
          <w:szCs w:val="32"/>
          <w:highlight w:val="none"/>
          <w:lang w:val="en-US" w:eastAsia="zh-CN"/>
        </w:rPr>
        <w:t>日</w:t>
      </w:r>
    </w:p>
    <w:p w14:paraId="076FA13B">
      <w:pPr>
        <w:pStyle w:val="2"/>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4E7706A2">
      <w:pPr>
        <w:pStyle w:val="2"/>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5DD042D">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830F18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2A9D59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6B8C40A">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CE505E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7456149">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088447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E777DFB">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EB4F031">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5061A9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439B4E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57038D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11E00F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7BD7FAC2">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en-US" w:eastAsia="zh-CN"/>
        </w:rPr>
      </w:pPr>
      <w:r>
        <w:rPr>
          <w:rFonts w:hint="default" w:ascii="Times New Roman" w:hAnsi="Times New Roman" w:eastAsia="方正小标宋_GBK" w:cs="Times New Roman"/>
          <w:kern w:val="0"/>
          <w:sz w:val="36"/>
          <w:szCs w:val="36"/>
          <w:highlight w:val="none"/>
          <w:lang w:val="en-US" w:eastAsia="zh-CN"/>
        </w:rPr>
        <w:t>黔江区迎宾片区老旧小区配套基础设施改造项目</w:t>
      </w:r>
    </w:p>
    <w:p w14:paraId="40684A28">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rPr>
      </w:pPr>
      <w:r>
        <w:rPr>
          <w:rFonts w:hint="default" w:ascii="Times New Roman" w:hAnsi="Times New Roman" w:eastAsia="方正小标宋_GBK" w:cs="Times New Roman"/>
          <w:kern w:val="0"/>
          <w:sz w:val="36"/>
          <w:szCs w:val="36"/>
          <w:highlight w:val="none"/>
          <w:lang w:val="zh-CN"/>
        </w:rPr>
        <w:t>投资估算表</w:t>
      </w:r>
    </w:p>
    <w:p w14:paraId="481802AA">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24"/>
          <w:szCs w:val="24"/>
          <w:highlight w:val="none"/>
          <w:lang w:eastAsia="zh-CN"/>
        </w:rPr>
      </w:pP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6634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64D1">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highlight w:val="none"/>
                <w:u w:val="none"/>
              </w:rPr>
            </w:pPr>
            <w:r>
              <w:rPr>
                <w:rFonts w:hint="eastAsia" w:ascii="方正黑体_GBK" w:hAnsi="方正黑体_GBK" w:eastAsia="方正黑体_GBK" w:cs="方正黑体_GBK"/>
                <w:b w:val="0"/>
                <w:bCs/>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7F4">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highlight w:val="none"/>
                <w:u w:val="none"/>
              </w:rPr>
            </w:pPr>
            <w:r>
              <w:rPr>
                <w:rFonts w:hint="eastAsia" w:ascii="方正黑体_GBK" w:hAnsi="方正黑体_GBK" w:eastAsia="方正黑体_GBK" w:cs="方正黑体_GBK"/>
                <w:b w:val="0"/>
                <w:bCs/>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3192763C">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highlight w:val="none"/>
                <w:u w:val="none"/>
              </w:rPr>
            </w:pPr>
            <w:r>
              <w:rPr>
                <w:rFonts w:hint="eastAsia" w:ascii="方正黑体_GBK" w:hAnsi="方正黑体_GBK" w:eastAsia="方正黑体_GBK" w:cs="方正黑体_GBK"/>
                <w:b w:val="0"/>
                <w:bCs/>
                <w:i w:val="0"/>
                <w:color w:val="000000"/>
                <w:kern w:val="0"/>
                <w:sz w:val="24"/>
                <w:szCs w:val="24"/>
                <w:highlight w:val="none"/>
                <w:u w:val="none"/>
                <w:lang w:val="en-US" w:eastAsia="zh-CN" w:bidi="ar"/>
              </w:rPr>
              <w:t>审定金额（万元）</w:t>
            </w:r>
          </w:p>
        </w:tc>
      </w:tr>
      <w:tr w14:paraId="6208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D98">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455E4D77">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9AE">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3057.05 </w:t>
            </w:r>
          </w:p>
        </w:tc>
      </w:tr>
      <w:tr w14:paraId="5174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EFB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5D8F274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道路提升改造工程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9420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1318.00 </w:t>
            </w:r>
          </w:p>
        </w:tc>
      </w:tr>
      <w:tr w14:paraId="4E85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A48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AE3EBA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绿化整改提升工程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F675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157.50 </w:t>
            </w:r>
          </w:p>
        </w:tc>
      </w:tr>
      <w:tr w14:paraId="3758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7F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6ED3A94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管网设施改造工程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41A6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1050.00 </w:t>
            </w:r>
          </w:p>
        </w:tc>
      </w:tr>
      <w:tr w14:paraId="7529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CB8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5439B0E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2956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531.55 </w:t>
            </w:r>
          </w:p>
        </w:tc>
      </w:tr>
      <w:tr w14:paraId="1957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6E237871">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00951942">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BD35">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310.18 </w:t>
            </w:r>
          </w:p>
        </w:tc>
      </w:tr>
      <w:tr w14:paraId="61D5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A5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1A8249E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E0DC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15.29 </w:t>
            </w:r>
          </w:p>
        </w:tc>
      </w:tr>
      <w:tr w14:paraId="1339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F83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33FB011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2EBA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58.03 </w:t>
            </w:r>
          </w:p>
        </w:tc>
      </w:tr>
      <w:tr w14:paraId="35FC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E9D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6D86AAB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44E0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51.97 </w:t>
            </w:r>
          </w:p>
        </w:tc>
      </w:tr>
      <w:tr w14:paraId="5202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4E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3843A7D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4866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9.63 </w:t>
            </w:r>
          </w:p>
        </w:tc>
      </w:tr>
      <w:tr w14:paraId="7E6F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10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71EA0A3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F628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13.63 </w:t>
            </w:r>
          </w:p>
        </w:tc>
      </w:tr>
      <w:tr w14:paraId="4473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86A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47F01A4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A6CC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88.65 </w:t>
            </w:r>
          </w:p>
        </w:tc>
      </w:tr>
      <w:tr w14:paraId="68E3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8A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7F34280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750F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7.34 </w:t>
            </w:r>
          </w:p>
        </w:tc>
      </w:tr>
      <w:tr w14:paraId="6E19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EDB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444F565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3AB0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35.66 </w:t>
            </w:r>
          </w:p>
        </w:tc>
      </w:tr>
      <w:tr w14:paraId="7324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85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29783AB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7D0E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5.52 </w:t>
            </w:r>
          </w:p>
        </w:tc>
      </w:tr>
      <w:tr w14:paraId="0D11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519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72DCBB4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39CF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9.17 </w:t>
            </w:r>
          </w:p>
        </w:tc>
      </w:tr>
      <w:tr w14:paraId="6682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59E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48774A2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AE60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15.29 </w:t>
            </w:r>
          </w:p>
        </w:tc>
      </w:tr>
      <w:tr w14:paraId="52F1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D478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5D82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3367.23 </w:t>
            </w:r>
          </w:p>
        </w:tc>
      </w:tr>
      <w:tr w14:paraId="5A92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15E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23BE">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EAEC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168.36 </w:t>
            </w:r>
          </w:p>
        </w:tc>
      </w:tr>
      <w:tr w14:paraId="6CF1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F76">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910A">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B01FC">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3535.59 </w:t>
            </w:r>
          </w:p>
        </w:tc>
      </w:tr>
    </w:tbl>
    <w:p w14:paraId="6A2BA2D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highlight w:val="none"/>
        </w:rPr>
      </w:pPr>
    </w:p>
    <w:p w14:paraId="53BEC016">
      <w:pPr>
        <w:pStyle w:val="3"/>
        <w:rPr>
          <w:rFonts w:hint="default" w:ascii="Times New Roman" w:hAnsi="Times New Roman" w:cs="Times New Roman"/>
          <w:highlight w:val="none"/>
        </w:rPr>
      </w:pPr>
    </w:p>
    <w:p w14:paraId="09F0A5F7">
      <w:pPr>
        <w:rPr>
          <w:rFonts w:hint="default" w:ascii="Times New Roman" w:hAnsi="Times New Roman" w:cs="Times New Roman"/>
          <w:highlight w:val="none"/>
        </w:rPr>
      </w:pPr>
    </w:p>
    <w:p w14:paraId="2CFFA7EF">
      <w:pPr>
        <w:pStyle w:val="2"/>
        <w:rPr>
          <w:rFonts w:hint="default" w:ascii="Times New Roman" w:hAnsi="Times New Roman" w:cs="Times New Roman"/>
          <w:highlight w:val="none"/>
        </w:rPr>
      </w:pPr>
    </w:p>
    <w:p w14:paraId="419F6675">
      <w:pPr>
        <w:pStyle w:val="3"/>
        <w:rPr>
          <w:rFonts w:hint="default" w:ascii="Times New Roman" w:hAnsi="Times New Roman" w:cs="Times New Roman"/>
          <w:highlight w:val="none"/>
        </w:rPr>
      </w:pPr>
    </w:p>
    <w:p w14:paraId="32321AC6">
      <w:pPr>
        <w:rPr>
          <w:rFonts w:hint="default" w:ascii="Times New Roman" w:hAnsi="Times New Roman" w:cs="Times New Roman"/>
          <w:highlight w:val="none"/>
        </w:rPr>
      </w:pPr>
    </w:p>
    <w:p w14:paraId="1C50B385">
      <w:pPr>
        <w:pStyle w:val="2"/>
        <w:rPr>
          <w:rFonts w:hint="default" w:ascii="Times New Roman" w:hAnsi="Times New Roman" w:cs="Times New Roman"/>
          <w:highlight w:val="none"/>
        </w:rPr>
      </w:pPr>
    </w:p>
    <w:p w14:paraId="5130B67C">
      <w:pPr>
        <w:pStyle w:val="3"/>
        <w:rPr>
          <w:rFonts w:hint="default" w:ascii="Times New Roman" w:hAnsi="Times New Roman" w:cs="Times New Roman"/>
          <w:highlight w:val="none"/>
        </w:rPr>
      </w:pPr>
    </w:p>
    <w:p w14:paraId="273217FA">
      <w:pPr>
        <w:rPr>
          <w:rFonts w:hint="default" w:ascii="Times New Roman" w:hAnsi="Times New Roman" w:cs="Times New Roman"/>
          <w:highlight w:val="none"/>
        </w:rPr>
      </w:pPr>
    </w:p>
    <w:p w14:paraId="126859F0">
      <w:pPr>
        <w:pStyle w:val="2"/>
        <w:rPr>
          <w:rFonts w:hint="default" w:ascii="Times New Roman" w:hAnsi="Times New Roman" w:cs="Times New Roman"/>
          <w:highlight w:val="none"/>
        </w:rPr>
      </w:pPr>
    </w:p>
    <w:p w14:paraId="7DB21E9A">
      <w:pPr>
        <w:pStyle w:val="3"/>
        <w:rPr>
          <w:rFonts w:hint="default" w:ascii="Times New Roman" w:hAnsi="Times New Roman" w:cs="Times New Roman"/>
          <w:highlight w:val="none"/>
        </w:rPr>
      </w:pPr>
    </w:p>
    <w:p w14:paraId="36A99141">
      <w:pPr>
        <w:rPr>
          <w:rFonts w:hint="default" w:ascii="Times New Roman" w:hAnsi="Times New Roman" w:cs="Times New Roman"/>
          <w:highlight w:val="none"/>
        </w:rPr>
      </w:pPr>
    </w:p>
    <w:p w14:paraId="2C173AA7">
      <w:pPr>
        <w:pStyle w:val="2"/>
        <w:rPr>
          <w:rFonts w:hint="default"/>
        </w:rPr>
      </w:pPr>
      <w:bookmarkStart w:id="0" w:name="_GoBack"/>
      <w:bookmarkEnd w:id="0"/>
    </w:p>
    <w:p w14:paraId="514CD9DA">
      <w:pPr>
        <w:rPr>
          <w:rFonts w:hint="default" w:ascii="Times New Roman" w:hAnsi="Times New Roman" w:cs="Times New Roman"/>
          <w:highlight w:val="none"/>
        </w:rPr>
      </w:pPr>
    </w:p>
    <w:p w14:paraId="222129B3">
      <w:pPr>
        <w:pStyle w:val="3"/>
        <w:rPr>
          <w:rFonts w:hint="default"/>
        </w:rPr>
      </w:pPr>
    </w:p>
    <w:p w14:paraId="276A21A7">
      <w:pPr>
        <w:pStyle w:val="3"/>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1166</Words>
  <Characters>1374</Characters>
  <Lines>11</Lines>
  <Paragraphs>3</Paragraphs>
  <TotalTime>2</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2025-12-31T08:34:46Z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