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252</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w:t>
      </w:r>
      <w:bookmarkStart w:id="0" w:name="_GoBack"/>
      <w:bookmarkEnd w:id="0"/>
      <w:r>
        <w:rPr>
          <w:rFonts w:hint="eastAsia" w:ascii="方正小标宋_GBK" w:eastAsia="方正小标宋_GBK"/>
          <w:sz w:val="44"/>
          <w:szCs w:val="44"/>
        </w:rPr>
        <w:t>革委员会</w:t>
      </w:r>
    </w:p>
    <w:p w14:paraId="5C732112">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eastAsia"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w:t>
      </w:r>
      <w:r>
        <w:rPr>
          <w:rFonts w:hint="eastAsia" w:eastAsia="方正小标宋_GBK" w:cs="Times New Roman"/>
          <w:sz w:val="44"/>
          <w:szCs w:val="44"/>
          <w:highlight w:val="none"/>
          <w:lang w:val="en-US" w:eastAsia="zh-CN"/>
        </w:rPr>
        <w:t>黔江区松岭路东段综合管廊新建工程</w:t>
      </w:r>
    </w:p>
    <w:p w14:paraId="110FA074">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可行性研究报告的批复</w:t>
      </w:r>
    </w:p>
    <w:p w14:paraId="4B881F95">
      <w:pPr>
        <w:keepNext w:val="0"/>
        <w:keepLines w:val="0"/>
        <w:pageBreakBefore w:val="0"/>
        <w:widowControl w:val="0"/>
        <w:kinsoku/>
        <w:wordWrap/>
        <w:overflowPunct/>
        <w:topLinePunct w:val="0"/>
        <w:autoSpaceDE/>
        <w:autoSpaceDN/>
        <w:bidi w:val="0"/>
        <w:spacing w:line="560" w:lineRule="exact"/>
        <w:ind w:right="23" w:rightChars="11" w:firstLine="110" w:firstLineChars="50"/>
        <w:textAlignment w:val="auto"/>
        <w:outlineLvl w:val="9"/>
        <w:rPr>
          <w:rFonts w:hint="eastAsia" w:ascii="方正仿宋_GBK" w:eastAsia="方正仿宋_GBK"/>
          <w:sz w:val="22"/>
          <w:szCs w:val="36"/>
          <w:highlight w:val="none"/>
        </w:rPr>
      </w:pPr>
    </w:p>
    <w:p w14:paraId="1C30999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区住房城乡建委</w:t>
      </w:r>
      <w:r>
        <w:rPr>
          <w:rFonts w:hint="default" w:ascii="Times New Roman" w:hAnsi="Times New Roman" w:eastAsia="方正仿宋_GBK" w:cs="Times New Roman"/>
          <w:sz w:val="32"/>
          <w:szCs w:val="32"/>
          <w:highlight w:val="none"/>
          <w:lang w:val="en-US" w:eastAsia="zh-CN"/>
        </w:rPr>
        <w:t>：</w:t>
      </w:r>
    </w:p>
    <w:p w14:paraId="6194BE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你单位《关于审查黔江区松岭路东段综合管廊新建工程可行性研究报告的函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315</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》收悉，结合区政府投资项目前期工作服务中心的评审意见，经研究，同意实施黔江区松岭路东段综合管廊新建工程（项目代码：</w:t>
      </w:r>
      <w:r>
        <w:rPr>
          <w:rFonts w:hint="default" w:ascii="Times New Roman" w:hAnsi="Times New Roman" w:eastAsia="方正仿宋_GBK" w:cs="Times New Roman"/>
          <w:color w:val="000000"/>
          <w:kern w:val="2"/>
          <w:sz w:val="32"/>
          <w:szCs w:val="32"/>
          <w:highlight w:val="none"/>
          <w:lang w:val="en-US" w:eastAsia="zh-CN" w:bidi="ar-SA"/>
        </w:rPr>
        <w:t>2512-500114-04-01-919993</w:t>
      </w:r>
      <w:r>
        <w:rPr>
          <w:rFonts w:hint="default" w:ascii="Times New Roman" w:hAnsi="Times New Roman" w:eastAsia="方正仿宋_GBK" w:cs="Times New Roman"/>
          <w:sz w:val="32"/>
          <w:szCs w:val="32"/>
          <w:highlight w:val="none"/>
          <w:lang w:val="en-US" w:eastAsia="zh-CN"/>
        </w:rPr>
        <w:t>）。现将该项目可行性研究报告批复如下：</w:t>
      </w:r>
    </w:p>
    <w:p w14:paraId="6C8AD8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sz w:val="32"/>
          <w:szCs w:val="32"/>
          <w:highlight w:val="none"/>
          <w:lang w:val="en-US" w:eastAsia="zh-CN"/>
        </w:rPr>
        <w:t>　</w:t>
      </w:r>
      <w:r>
        <w:rPr>
          <w:rFonts w:hint="eastAsia" w:ascii="方正黑体_GBK" w:hAnsi="方正黑体_GBK" w:eastAsia="方正黑体_GBK" w:cs="方正黑体_GBK"/>
          <w:sz w:val="32"/>
          <w:szCs w:val="32"/>
          <w:highlight w:val="none"/>
          <w:lang w:val="en-US" w:eastAsia="zh-CN"/>
        </w:rPr>
        <w:t>　一、代建单位：</w:t>
      </w:r>
      <w:r>
        <w:rPr>
          <w:rFonts w:hint="default" w:ascii="Times New Roman" w:hAnsi="Times New Roman" w:eastAsia="方正仿宋_GBK" w:cs="Times New Roman"/>
          <w:color w:val="000000"/>
          <w:sz w:val="32"/>
          <w:szCs w:val="32"/>
          <w:highlight w:val="none"/>
        </w:rPr>
        <w:t>重庆市枳丹石城市建设开发有限公司</w:t>
      </w:r>
    </w:p>
    <w:p w14:paraId="64FAB0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w:t>
      </w:r>
    </w:p>
    <w:p w14:paraId="07FFC9C5">
      <w:pPr>
        <w:ind w:firstLine="640" w:firstLineChars="200"/>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sz w:val="32"/>
          <w:szCs w:val="32"/>
          <w:highlight w:val="none"/>
          <w:lang w:eastAsia="zh-CN"/>
        </w:rPr>
        <w:t>沿</w:t>
      </w:r>
      <w:r>
        <w:rPr>
          <w:rFonts w:hint="default" w:ascii="Times New Roman" w:hAnsi="Times New Roman" w:eastAsia="方正仿宋_GBK" w:cs="Times New Roman"/>
          <w:b w:val="0"/>
          <w:bCs w:val="0"/>
          <w:sz w:val="32"/>
          <w:szCs w:val="32"/>
          <w:highlight w:val="none"/>
          <w:lang w:eastAsia="zh-CN"/>
        </w:rPr>
        <w:t>松岭路东段</w:t>
      </w:r>
      <w:r>
        <w:rPr>
          <w:rFonts w:hint="default" w:ascii="Times New Roman" w:hAnsi="Times New Roman" w:eastAsia="方正仿宋_GBK" w:cs="Times New Roman"/>
          <w:sz w:val="32"/>
          <w:szCs w:val="32"/>
          <w:highlight w:val="none"/>
          <w:lang w:eastAsia="zh-CN"/>
        </w:rPr>
        <w:t>配建支线综合管廊</w:t>
      </w:r>
      <w:r>
        <w:rPr>
          <w:rFonts w:hint="default" w:ascii="Times New Roman" w:hAnsi="Times New Roman" w:eastAsia="方正仿宋_GBK" w:cs="Times New Roman"/>
          <w:sz w:val="32"/>
          <w:szCs w:val="32"/>
          <w:highlight w:val="none"/>
          <w:lang w:val="en-US" w:eastAsia="zh-CN"/>
        </w:rPr>
        <w:t>2.0km（本项目仅为管廊主体土建及相关附属设施设计，各管线专线设计不在本次设计范围，均以各产权部门专项设计为准），入廊管线为供水、供电和通信。采用单舱断面，其中涉及DN300供水、10kV电力12孔和通信12孔。</w:t>
      </w:r>
    </w:p>
    <w:p w14:paraId="4A2192BE">
      <w:pPr>
        <w:bidi w:val="0"/>
        <w:ind w:firstLine="640" w:firstLineChars="200"/>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r>
        <w:rPr>
          <w:rFonts w:hint="default" w:ascii="Times New Roman" w:hAnsi="Times New Roman" w:eastAsia="方正仿宋_GBK" w:cs="Times New Roman"/>
          <w:sz w:val="32"/>
          <w:szCs w:val="32"/>
          <w:highlight w:val="none"/>
        </w:rPr>
        <w:t>项目总投资为</w:t>
      </w:r>
      <w:r>
        <w:rPr>
          <w:rFonts w:hint="default" w:ascii="Times New Roman" w:hAnsi="Times New Roman" w:eastAsia="方正仿宋_GBK" w:cs="Times New Roman"/>
          <w:sz w:val="32"/>
          <w:szCs w:val="32"/>
          <w:highlight w:val="none"/>
          <w:lang w:val="en-US" w:eastAsia="zh-CN"/>
        </w:rPr>
        <w:t xml:space="preserve">11651.26 </w:t>
      </w:r>
      <w:r>
        <w:rPr>
          <w:rFonts w:hint="default" w:ascii="Times New Roman" w:hAnsi="Times New Roman" w:eastAsia="方正仿宋_GBK" w:cs="Times New Roman"/>
          <w:sz w:val="32"/>
          <w:szCs w:val="32"/>
          <w:highlight w:val="none"/>
        </w:rPr>
        <w:t>万元。其中：工程费用</w:t>
      </w:r>
      <w:r>
        <w:rPr>
          <w:rFonts w:hint="default" w:ascii="Times New Roman" w:hAnsi="Times New Roman" w:eastAsia="方正仿宋_GBK" w:cs="Times New Roman"/>
          <w:sz w:val="32"/>
          <w:szCs w:val="32"/>
          <w:highlight w:val="none"/>
          <w:lang w:val="en-US" w:eastAsia="zh-CN"/>
        </w:rPr>
        <w:t>10200.00</w:t>
      </w:r>
      <w:r>
        <w:rPr>
          <w:rFonts w:hint="default" w:ascii="Times New Roman" w:hAnsi="Times New Roman" w:eastAsia="方正仿宋_GBK" w:cs="Times New Roman"/>
          <w:sz w:val="32"/>
          <w:szCs w:val="32"/>
          <w:highlight w:val="none"/>
        </w:rPr>
        <w:t>万元，工程建设其他费用</w:t>
      </w:r>
      <w:r>
        <w:rPr>
          <w:rFonts w:hint="default" w:ascii="Times New Roman" w:hAnsi="Times New Roman" w:eastAsia="方正仿宋_GBK" w:cs="Times New Roman"/>
          <w:sz w:val="32"/>
          <w:szCs w:val="32"/>
          <w:highlight w:val="none"/>
          <w:lang w:val="en-US" w:eastAsia="zh-CN"/>
        </w:rPr>
        <w:t xml:space="preserve">896.44 </w:t>
      </w:r>
      <w:r>
        <w:rPr>
          <w:rFonts w:hint="default" w:ascii="Times New Roman" w:hAnsi="Times New Roman" w:eastAsia="方正仿宋_GBK" w:cs="Times New Roman"/>
          <w:sz w:val="32"/>
          <w:szCs w:val="32"/>
          <w:highlight w:val="none"/>
        </w:rPr>
        <w:t>万元，预备费</w:t>
      </w:r>
      <w:r>
        <w:rPr>
          <w:rFonts w:hint="default" w:ascii="Times New Roman" w:hAnsi="Times New Roman" w:eastAsia="方正仿宋_GBK" w:cs="Times New Roman"/>
          <w:sz w:val="32"/>
          <w:szCs w:val="32"/>
          <w:highlight w:val="none"/>
          <w:lang w:val="en-US" w:eastAsia="zh-CN"/>
        </w:rPr>
        <w:t xml:space="preserve">554.82 </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color w:val="auto"/>
          <w:kern w:val="2"/>
          <w:sz w:val="32"/>
          <w:szCs w:val="32"/>
          <w:highlight w:val="none"/>
          <w:lang w:val="en-US" w:eastAsia="zh-CN" w:bidi="ar-SA"/>
        </w:rPr>
        <w:t>资金来源为申请国市补助资金，不足部分由业主自筹。</w:t>
      </w:r>
    </w:p>
    <w:p w14:paraId="5CDCD2E0">
      <w:pPr>
        <w:pStyle w:val="4"/>
        <w:keepNext w:val="0"/>
        <w:keepLines w:val="0"/>
        <w:pageBreakBefore w:val="0"/>
        <w:widowControl w:val="0"/>
        <w:kinsoku/>
        <w:wordWrap/>
        <w:overflowPunct/>
        <w:topLinePunct w:val="0"/>
        <w:autoSpaceDE/>
        <w:autoSpaceDN/>
        <w:bidi w:val="0"/>
        <w:spacing w:line="560" w:lineRule="exact"/>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2BE84219">
      <w:pPr>
        <w:pStyle w:val="6"/>
        <w:spacing w:line="500" w:lineRule="exact"/>
        <w:ind w:firstLine="640" w:firstLineChars="200"/>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67A58B06">
      <w:pPr>
        <w:pStyle w:val="6"/>
        <w:spacing w:line="520" w:lineRule="exact"/>
        <w:ind w:firstLine="640" w:firstLineChars="200"/>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404A1DD8">
      <w:pPr>
        <w:pStyle w:val="6"/>
        <w:spacing w:line="520" w:lineRule="exact"/>
        <w:ind w:firstLine="640" w:firstLineChars="200"/>
        <w:rPr>
          <w:rFonts w:hint="default" w:ascii="Times New Roman" w:hAnsi="Times New Roman" w:eastAsia="方正仿宋_GBK" w:cs="Times New Roman"/>
          <w:sz w:val="32"/>
          <w:szCs w:val="32"/>
          <w:highlight w:val="none"/>
        </w:rPr>
      </w:pPr>
    </w:p>
    <w:p w14:paraId="3DB8A68C">
      <w:pPr>
        <w:pageBreakBefore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z w:val="32"/>
          <w:szCs w:val="32"/>
          <w:highlight w:val="none"/>
          <w:lang w:eastAsia="zh-CN"/>
        </w:rPr>
        <w:t>黔江区松岭路东段综合管廊新建工程</w:t>
      </w:r>
      <w:r>
        <w:rPr>
          <w:rFonts w:hint="default" w:ascii="Times New Roman" w:hAnsi="Times New Roman" w:eastAsia="方正仿宋_GBK" w:cs="Times New Roman"/>
          <w:kern w:val="2"/>
          <w:sz w:val="32"/>
          <w:szCs w:val="32"/>
          <w:highlight w:val="none"/>
          <w:lang w:val="en-US" w:eastAsia="zh-CN"/>
        </w:rPr>
        <w:t>投资估算表</w:t>
      </w:r>
    </w:p>
    <w:p w14:paraId="18C000F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bCs/>
          <w:sz w:val="32"/>
          <w:szCs w:val="32"/>
          <w:highlight w:val="none"/>
        </w:rPr>
      </w:pPr>
    </w:p>
    <w:p w14:paraId="525ABCDA">
      <w:pPr>
        <w:pStyle w:val="4"/>
        <w:keepNext w:val="0"/>
        <w:keepLines w:val="0"/>
        <w:pageBreakBefore w:val="0"/>
        <w:widowControl w:val="0"/>
        <w:kinsoku/>
        <w:wordWrap/>
        <w:overflowPunct/>
        <w:topLinePunct w:val="0"/>
        <w:autoSpaceDE/>
        <w:autoSpaceDN/>
        <w:bidi w:val="0"/>
        <w:spacing w:line="560" w:lineRule="exact"/>
        <w:ind w:left="0" w:leftChars="0" w:firstLine="3520" w:firstLineChars="1100"/>
        <w:textAlignment w:val="auto"/>
        <w:outlineLvl w:val="9"/>
        <w:rPr>
          <w:rFonts w:hint="eastAsia" w:eastAsia="方正仿宋_GBK" w:cs="Times New Roman"/>
          <w:bCs/>
          <w:sz w:val="32"/>
          <w:szCs w:val="32"/>
          <w:highlight w:val="none"/>
          <w:lang w:val="en-US" w:eastAsia="zh-CN"/>
        </w:rPr>
      </w:pPr>
      <w:r>
        <w:rPr>
          <w:rFonts w:hint="eastAsia" w:eastAsia="方正仿宋_GBK" w:cs="Times New Roman"/>
          <w:bCs/>
          <w:sz w:val="32"/>
          <w:szCs w:val="32"/>
          <w:highlight w:val="none"/>
          <w:lang w:val="en-US" w:eastAsia="zh-CN"/>
        </w:rPr>
        <w:t>重庆市黔江区发展和改革委员会</w:t>
      </w:r>
    </w:p>
    <w:p w14:paraId="49D4E43D">
      <w:pPr>
        <w:pStyle w:val="4"/>
        <w:keepNext w:val="0"/>
        <w:keepLines w:val="0"/>
        <w:pageBreakBefore w:val="0"/>
        <w:widowControl w:val="0"/>
        <w:kinsoku/>
        <w:wordWrap/>
        <w:overflowPunct/>
        <w:topLinePunct w:val="0"/>
        <w:autoSpaceDE/>
        <w:autoSpaceDN/>
        <w:bidi w:val="0"/>
        <w:spacing w:line="560" w:lineRule="exact"/>
        <w:ind w:left="0" w:leftChars="0" w:firstLine="4480" w:firstLineChars="1400"/>
        <w:textAlignment w:val="auto"/>
        <w:outlineLvl w:val="9"/>
        <w:rPr>
          <w:rFonts w:hint="default" w:eastAsia="方正仿宋_GBK" w:cs="Times New Roman"/>
          <w:bCs/>
          <w:sz w:val="32"/>
          <w:szCs w:val="32"/>
          <w:highlight w:val="none"/>
          <w:lang w:val="en-US" w:eastAsia="zh-CN"/>
        </w:rPr>
      </w:pPr>
      <w:r>
        <w:rPr>
          <w:rFonts w:hint="default" w:eastAsia="方正仿宋_GBK" w:cs="Times New Roman"/>
          <w:bCs/>
          <w:sz w:val="32"/>
          <w:szCs w:val="32"/>
          <w:highlight w:val="none"/>
          <w:lang w:val="en-US" w:eastAsia="zh-CN"/>
        </w:rPr>
        <w:t>202</w:t>
      </w:r>
      <w:r>
        <w:rPr>
          <w:rFonts w:hint="eastAsia" w:eastAsia="方正仿宋_GBK" w:cs="Times New Roman"/>
          <w:bCs/>
          <w:sz w:val="32"/>
          <w:szCs w:val="32"/>
          <w:highlight w:val="none"/>
          <w:lang w:val="en-US" w:eastAsia="zh-CN"/>
        </w:rPr>
        <w:t>5</w:t>
      </w:r>
      <w:r>
        <w:rPr>
          <w:rFonts w:hint="default" w:eastAsia="方正仿宋_GBK" w:cs="Times New Roman"/>
          <w:bCs/>
          <w:sz w:val="32"/>
          <w:szCs w:val="32"/>
          <w:highlight w:val="none"/>
          <w:lang w:val="en-US" w:eastAsia="zh-CN"/>
        </w:rPr>
        <w:t>年</w:t>
      </w:r>
      <w:r>
        <w:rPr>
          <w:rFonts w:hint="eastAsia" w:eastAsia="方正仿宋_GBK" w:cs="Times New Roman"/>
          <w:bCs/>
          <w:sz w:val="32"/>
          <w:szCs w:val="32"/>
          <w:highlight w:val="none"/>
          <w:lang w:val="en-US" w:eastAsia="zh-CN"/>
        </w:rPr>
        <w:t>12</w:t>
      </w:r>
      <w:r>
        <w:rPr>
          <w:rFonts w:hint="default" w:eastAsia="方正仿宋_GBK" w:cs="Times New Roman"/>
          <w:bCs/>
          <w:sz w:val="32"/>
          <w:szCs w:val="32"/>
          <w:highlight w:val="none"/>
          <w:lang w:val="en-US" w:eastAsia="zh-CN"/>
        </w:rPr>
        <w:t>月</w:t>
      </w:r>
      <w:r>
        <w:rPr>
          <w:rFonts w:hint="eastAsia" w:eastAsia="方正仿宋_GBK" w:cs="Times New Roman"/>
          <w:bCs/>
          <w:sz w:val="32"/>
          <w:szCs w:val="32"/>
          <w:highlight w:val="none"/>
          <w:lang w:val="en-US" w:eastAsia="zh-CN"/>
        </w:rPr>
        <w:t>26</w:t>
      </w:r>
      <w:r>
        <w:rPr>
          <w:rFonts w:hint="default" w:eastAsia="方正仿宋_GBK" w:cs="Times New Roman"/>
          <w:bCs/>
          <w:sz w:val="32"/>
          <w:szCs w:val="32"/>
          <w:highlight w:val="none"/>
          <w:lang w:val="en-US" w:eastAsia="zh-CN"/>
        </w:rPr>
        <w:t>日</w:t>
      </w:r>
    </w:p>
    <w:p w14:paraId="71F3EA11">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附件</w:t>
      </w:r>
    </w:p>
    <w:p w14:paraId="0D8CF873">
      <w:pPr>
        <w:pageBreakBefore w:val="0"/>
        <w:numPr>
          <w:ilvl w:val="0"/>
          <w:numId w:val="0"/>
        </w:numPr>
        <w:kinsoku/>
        <w:wordWrap/>
        <w:overflowPunct/>
        <w:topLinePunct w:val="0"/>
        <w:autoSpaceDE/>
        <w:autoSpaceDN/>
        <w:bidi w:val="0"/>
        <w:adjustRightInd/>
        <w:snapToGrid/>
        <w:spacing w:line="360" w:lineRule="auto"/>
        <w:ind w:left="0" w:firstLine="720" w:firstLineChars="200"/>
        <w:textAlignment w:val="auto"/>
        <w:rPr>
          <w:rFonts w:hint="eastAsia" w:ascii="Times New Roman" w:hAnsi="Times New Roman" w:eastAsia="方正小标宋_GBK" w:cs="Times New Roman"/>
          <w:kern w:val="0"/>
          <w:sz w:val="24"/>
          <w:szCs w:val="24"/>
          <w:highlight w:val="none"/>
          <w:lang w:eastAsia="zh-CN"/>
        </w:rPr>
      </w:pPr>
      <w:r>
        <w:rPr>
          <w:rFonts w:hint="eastAsia" w:ascii="Times New Roman" w:hAnsi="Times New Roman" w:eastAsia="方正小标宋_GBK" w:cs="Times New Roman"/>
          <w:kern w:val="0"/>
          <w:sz w:val="36"/>
          <w:szCs w:val="36"/>
          <w:highlight w:val="none"/>
          <w:lang w:val="en-US" w:eastAsia="zh-CN"/>
        </w:rPr>
        <w:t>黔江区松岭路东段综合管廊新建工程</w:t>
      </w:r>
      <w:r>
        <w:rPr>
          <w:rFonts w:hint="default" w:ascii="Times New Roman" w:hAnsi="Times New Roman" w:eastAsia="方正小标宋_GBK" w:cs="Times New Roman"/>
          <w:kern w:val="0"/>
          <w:sz w:val="36"/>
          <w:szCs w:val="36"/>
          <w:highlight w:val="none"/>
          <w:lang w:val="zh-CN"/>
        </w:rPr>
        <w:t>投资估算表</w:t>
      </w: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2EA0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F0CF">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395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04FC42A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2C3E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864">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4E36003E">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14F4">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10200.00 </w:t>
            </w:r>
          </w:p>
        </w:tc>
      </w:tr>
      <w:tr w14:paraId="405D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6B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6D73FEC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支线综合管廊（内空宽2800*高2600）</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41DD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10200.00 </w:t>
            </w:r>
          </w:p>
        </w:tc>
      </w:tr>
      <w:tr w14:paraId="5371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24B27342">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71839BBD">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544F">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896.44 </w:t>
            </w:r>
          </w:p>
        </w:tc>
      </w:tr>
      <w:tr w14:paraId="40F5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2EF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40ABA4F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EB7B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51.00 </w:t>
            </w:r>
          </w:p>
        </w:tc>
      </w:tr>
      <w:tr w14:paraId="777E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88F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11AF92E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C565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156.51 </w:t>
            </w:r>
          </w:p>
        </w:tc>
      </w:tr>
      <w:tr w14:paraId="67DA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C9C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508B0C59">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950A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140.25 </w:t>
            </w:r>
          </w:p>
        </w:tc>
      </w:tr>
      <w:tr w14:paraId="7407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2D6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2F7874B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1ED8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21.46 </w:t>
            </w:r>
          </w:p>
        </w:tc>
      </w:tr>
      <w:tr w14:paraId="6DC0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BC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06A5E2D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0194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30.20 </w:t>
            </w:r>
          </w:p>
        </w:tc>
      </w:tr>
      <w:tr w14:paraId="0FCD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821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7504764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7567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285.60 </w:t>
            </w:r>
          </w:p>
        </w:tc>
      </w:tr>
      <w:tr w14:paraId="0504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72F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1257452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D19D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20.40 </w:t>
            </w:r>
          </w:p>
        </w:tc>
      </w:tr>
      <w:tr w14:paraId="26FC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C7C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34E5A17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1517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101.76 </w:t>
            </w:r>
          </w:p>
        </w:tc>
      </w:tr>
      <w:tr w14:paraId="3FE0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C47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4F869DF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8304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7.66 </w:t>
            </w:r>
          </w:p>
        </w:tc>
      </w:tr>
      <w:tr w14:paraId="7841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1AD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1D27171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94B6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30.60 </w:t>
            </w:r>
          </w:p>
        </w:tc>
      </w:tr>
      <w:tr w14:paraId="46FD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70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138BF60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B578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51.00 </w:t>
            </w:r>
          </w:p>
        </w:tc>
      </w:tr>
      <w:tr w14:paraId="17AD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6A45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8940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11096.44 </w:t>
            </w:r>
          </w:p>
        </w:tc>
      </w:tr>
      <w:tr w14:paraId="305E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298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1923">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0445E">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554.82 </w:t>
            </w:r>
          </w:p>
        </w:tc>
      </w:tr>
      <w:tr w14:paraId="5525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8A6F">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209">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5C5F6">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11651.26 </w:t>
            </w:r>
          </w:p>
        </w:tc>
      </w:tr>
    </w:tbl>
    <w:p w14:paraId="54C168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highlight w:val="none"/>
        </w:rPr>
      </w:pPr>
    </w:p>
    <w:p w14:paraId="5FC8E791">
      <w:pPr>
        <w:rPr>
          <w:rFonts w:hint="default" w:ascii="Times New Roman" w:hAnsi="Times New Roman" w:cs="Times New Roman"/>
          <w:highlight w:val="none"/>
        </w:rPr>
      </w:pPr>
    </w:p>
    <w:p w14:paraId="7BCDB6E8">
      <w:pPr>
        <w:pStyle w:val="12"/>
        <w:rPr>
          <w:rFonts w:hint="default" w:ascii="Times New Roman" w:hAnsi="Times New Roman" w:cs="Times New Roman"/>
          <w:highlight w:val="none"/>
        </w:rPr>
      </w:pPr>
    </w:p>
    <w:p w14:paraId="6CA407B0">
      <w:pPr>
        <w:pStyle w:val="12"/>
        <w:rPr>
          <w:rFonts w:hint="default" w:ascii="Times New Roman" w:hAnsi="Times New Roman" w:cs="Times New Roman"/>
          <w:highlight w:val="none"/>
        </w:rPr>
      </w:pPr>
    </w:p>
    <w:p w14:paraId="3E337BB8">
      <w:pPr>
        <w:pStyle w:val="12"/>
        <w:rPr>
          <w:rFonts w:hint="default" w:ascii="Times New Roman" w:hAnsi="Times New Roman" w:cs="Times New Roman"/>
          <w:highlight w:val="none"/>
        </w:rPr>
      </w:pPr>
    </w:p>
    <w:p w14:paraId="3E1EF22F">
      <w:pPr>
        <w:pStyle w:val="12"/>
        <w:rPr>
          <w:rFonts w:hint="default" w:ascii="Times New Roman" w:hAnsi="Times New Roman" w:cs="Times New Roman"/>
          <w:highlight w:val="none"/>
        </w:rPr>
      </w:pPr>
    </w:p>
    <w:p w14:paraId="4B005EEF">
      <w:pPr>
        <w:pStyle w:val="12"/>
        <w:rPr>
          <w:rFonts w:hint="default" w:ascii="Times New Roman" w:hAnsi="Times New Roman" w:cs="Times New Roman"/>
          <w:highlight w:val="none"/>
        </w:rPr>
      </w:pPr>
    </w:p>
    <w:p w14:paraId="46DC0D56">
      <w:pPr>
        <w:pStyle w:val="12"/>
        <w:rPr>
          <w:rFonts w:hint="default" w:ascii="Times New Roman" w:hAnsi="Times New Roman" w:cs="Times New Roman"/>
          <w:highlight w:val="none"/>
        </w:rPr>
      </w:pPr>
    </w:p>
    <w:p w14:paraId="5A4AC3AB">
      <w:pPr>
        <w:pStyle w:val="12"/>
        <w:rPr>
          <w:rFonts w:hint="default" w:ascii="Times New Roman" w:hAnsi="Times New Roman" w:cs="Times New Roman"/>
          <w:highlight w:val="none"/>
        </w:rPr>
      </w:pPr>
    </w:p>
    <w:p w14:paraId="3A15044A">
      <w:pPr>
        <w:pStyle w:val="12"/>
        <w:rPr>
          <w:rFonts w:hint="default" w:ascii="Times New Roman" w:hAnsi="Times New Roman" w:cs="Times New Roman"/>
          <w:highlight w:val="none"/>
        </w:rPr>
      </w:pPr>
    </w:p>
    <w:p w14:paraId="6A754D68">
      <w:pPr>
        <w:pStyle w:val="12"/>
        <w:rPr>
          <w:rFonts w:hint="default" w:ascii="Times New Roman" w:hAnsi="Times New Roman" w:cs="Times New Roman"/>
          <w:highlight w:val="none"/>
        </w:rPr>
      </w:pPr>
    </w:p>
    <w:p w14:paraId="097F9396">
      <w:pPr>
        <w:pStyle w:val="12"/>
        <w:rPr>
          <w:rFonts w:hint="default" w:ascii="Times New Roman" w:hAnsi="Times New Roman" w:cs="Times New Roman"/>
          <w:highlight w:val="none"/>
        </w:rPr>
      </w:pPr>
    </w:p>
    <w:p w14:paraId="6872E8C0">
      <w:pPr>
        <w:pStyle w:val="12"/>
        <w:rPr>
          <w:rFonts w:hint="default" w:ascii="Times New Roman" w:hAnsi="Times New Roman" w:cs="Times New Roman"/>
          <w:highlight w:val="none"/>
        </w:rPr>
      </w:pPr>
    </w:p>
    <w:p w14:paraId="27B4B8D6">
      <w:pPr>
        <w:pStyle w:val="12"/>
        <w:rPr>
          <w:rFonts w:hint="default" w:ascii="Times New Roman" w:hAnsi="Times New Roman" w:cs="Times New Roman"/>
          <w:highlight w:val="none"/>
        </w:rPr>
      </w:pPr>
    </w:p>
    <w:p w14:paraId="65D30986">
      <w:pPr>
        <w:pStyle w:val="12"/>
        <w:rPr>
          <w:rFonts w:hint="default" w:ascii="Times New Roman" w:hAnsi="Times New Roman" w:cs="Times New Roman"/>
          <w:highlight w:val="none"/>
        </w:rPr>
      </w:pPr>
    </w:p>
    <w:p w14:paraId="47F0C012">
      <w:pPr>
        <w:pStyle w:val="12"/>
        <w:rPr>
          <w:rFonts w:hint="default" w:ascii="Times New Roman" w:hAnsi="Times New Roman" w:cs="Times New Roman"/>
          <w:highlight w:val="none"/>
        </w:rPr>
      </w:pPr>
    </w:p>
    <w:p w14:paraId="5860876D">
      <w:pPr>
        <w:pStyle w:val="12"/>
        <w:rPr>
          <w:rFonts w:hint="default" w:ascii="Times New Roman" w:hAnsi="Times New Roman" w:cs="Times New Roman"/>
          <w:highlight w:val="none"/>
        </w:rPr>
      </w:pPr>
    </w:p>
    <w:p w14:paraId="4BB22F4F">
      <w:pPr>
        <w:pStyle w:val="12"/>
        <w:rPr>
          <w:rFonts w:hint="default" w:ascii="Times New Roman" w:hAnsi="Times New Roman" w:cs="Times New Roman"/>
          <w:highlight w:val="none"/>
        </w:rPr>
      </w:pPr>
    </w:p>
    <w:p w14:paraId="222129B3">
      <w:pPr>
        <w:pStyle w:val="11"/>
        <w:rPr>
          <w:rFonts w:hint="default"/>
        </w:rPr>
      </w:pPr>
    </w:p>
    <w:p w14:paraId="276A21A7">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E849AF"/>
    <w:rsid w:val="38657C26"/>
    <w:rsid w:val="39705D78"/>
    <w:rsid w:val="397671E0"/>
    <w:rsid w:val="398C37FF"/>
    <w:rsid w:val="3A5C509D"/>
    <w:rsid w:val="3E9905B9"/>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652CC9"/>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0141305"/>
    <w:rsid w:val="722929DF"/>
    <w:rsid w:val="72AF5315"/>
    <w:rsid w:val="742B5A1B"/>
    <w:rsid w:val="76E535BA"/>
    <w:rsid w:val="77C816DC"/>
    <w:rsid w:val="78624336"/>
    <w:rsid w:val="798F3B70"/>
    <w:rsid w:val="79BC4EE7"/>
    <w:rsid w:val="7A494110"/>
    <w:rsid w:val="7A757CD5"/>
    <w:rsid w:val="7A9639EB"/>
    <w:rsid w:val="7AED1855"/>
    <w:rsid w:val="7C0A2E6F"/>
    <w:rsid w:val="7CE16A13"/>
    <w:rsid w:val="7EA877E8"/>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12">
    <w:name w:val="Body Text First Indent"/>
    <w:basedOn w:val="3"/>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0"/>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928</Words>
  <Characters>1103</Characters>
  <Lines>11</Lines>
  <Paragraphs>3</Paragraphs>
  <TotalTime>1</TotalTime>
  <ScaleCrop>false</ScaleCrop>
  <LinksUpToDate>false</LinksUpToDate>
  <CharactersWithSpaces>1234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2025-12-31T09:11:51Z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