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250</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4556F904">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关于黔江区黑山片区老旧小区配套基础设施</w:t>
      </w:r>
    </w:p>
    <w:p w14:paraId="2E896142">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改造项目可行性研究报告的批复</w:t>
      </w:r>
    </w:p>
    <w:p w14:paraId="0FF0E84D">
      <w:pPr>
        <w:keepNext w:val="0"/>
        <w:keepLines w:val="0"/>
        <w:pageBreakBefore w:val="0"/>
        <w:widowControl w:val="0"/>
        <w:kinsoku/>
        <w:wordWrap/>
        <w:overflowPunct/>
        <w:topLinePunct w:val="0"/>
        <w:autoSpaceDE/>
        <w:autoSpaceDN/>
        <w:bidi w:val="0"/>
        <w:spacing w:line="575" w:lineRule="exact"/>
        <w:ind w:right="23" w:rightChars="11" w:firstLine="110" w:firstLineChars="50"/>
        <w:textAlignment w:val="auto"/>
        <w:outlineLvl w:val="9"/>
        <w:rPr>
          <w:rFonts w:hint="default" w:ascii="Times New Roman" w:hAnsi="Times New Roman" w:eastAsia="方正仿宋_GBK" w:cs="Times New Roman"/>
          <w:sz w:val="22"/>
          <w:szCs w:val="36"/>
          <w:highlight w:val="none"/>
        </w:rPr>
      </w:pPr>
    </w:p>
    <w:p w14:paraId="3ACB8949">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区住房城乡建委：</w:t>
      </w:r>
    </w:p>
    <w:p w14:paraId="6026A77C">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你单位《关于审查黔江区黑山片区老旧小区配套基础设施改造项目可行性研究报告的函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303</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》收悉，结合区政府投资项目前期工作服务中心的评审意见，经研究，同意实施黔江区黑山片区老旧小区配套基础设施改造项目（项目代码：</w:t>
      </w:r>
      <w:r>
        <w:rPr>
          <w:rFonts w:hint="default" w:ascii="Times New Roman" w:hAnsi="Times New Roman" w:eastAsia="方正仿宋_GBK" w:cs="Times New Roman"/>
          <w:color w:val="000000"/>
          <w:kern w:val="2"/>
          <w:sz w:val="32"/>
          <w:szCs w:val="32"/>
          <w:highlight w:val="none"/>
          <w:lang w:val="en-US" w:eastAsia="zh-CN" w:bidi="ar-SA"/>
        </w:rPr>
        <w:t>2512-500114-04-01-500730</w:t>
      </w:r>
      <w:r>
        <w:rPr>
          <w:rFonts w:hint="default" w:ascii="Times New Roman" w:hAnsi="Times New Roman" w:eastAsia="方正仿宋_GBK" w:cs="Times New Roman"/>
          <w:sz w:val="32"/>
          <w:szCs w:val="32"/>
          <w:highlight w:val="none"/>
          <w:lang w:val="en-US" w:eastAsia="zh-CN"/>
        </w:rPr>
        <w:t>）。现将该项目可行性研究报告批复如下：</w:t>
      </w:r>
    </w:p>
    <w:p w14:paraId="630AA750">
      <w:pPr>
        <w:keepNext w:val="0"/>
        <w:keepLines w:val="0"/>
        <w:pageBreakBefore w:val="0"/>
        <w:widowControl w:val="0"/>
        <w:numPr>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282612F5">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79863CDF">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val="en-US" w:eastAsia="zh-CN"/>
        </w:rPr>
        <w:t>黔江区城南街道</w:t>
      </w:r>
    </w:p>
    <w:p w14:paraId="4280AE78">
      <w:pPr>
        <w:pStyle w:val="2"/>
        <w:keepNext w:val="0"/>
        <w:keepLines w:val="0"/>
        <w:pageBreakBefore w:val="0"/>
        <w:widowControl w:val="0"/>
        <w:numPr>
          <w:ilvl w:val="0"/>
          <w:numId w:val="0"/>
        </w:numPr>
        <w:kinsoku/>
        <w:wordWrap/>
        <w:overflowPunct/>
        <w:topLinePunct w:val="0"/>
        <w:autoSpaceDE/>
        <w:autoSpaceDN/>
        <w:bidi w:val="0"/>
        <w:adjustRightInd/>
        <w:snapToGrid/>
        <w:spacing w:after="0" w:line="575"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kern w:val="2"/>
          <w:sz w:val="32"/>
          <w:szCs w:val="32"/>
          <w:highlight w:val="none"/>
          <w:lang w:val="en-US" w:eastAsia="zh-CN" w:bidi="ar-SA"/>
        </w:rPr>
        <w:t>项目涉及变电站家属院小区，何家榜小区，林业局家属院小区，交警队、交通局家属院小区，城南路147号、城南路173号小区等老旧小区5个，居民住户347户，房屋17栋。主要建设内容包括小区内道路提升改造约2.8万平方米、小区外与城市主干网衔接的道路提升改造约4.8万平方米，改造居住小区内排水管网1500米、排水沟1500米，人行道树池更换1200个，停车场改造约1.1万平方米，新增室外消防设施25处，垃圾收集点改造12处、防护栏杆改造2000米，便民服务配套1125平方米，社区活动用房改造500平方米及化粪池清掏、井盖提升、线路规整、智能化改造等配套设施。</w:t>
      </w:r>
    </w:p>
    <w:p w14:paraId="7CEF0F94">
      <w:pPr>
        <w:pStyle w:val="2"/>
        <w:keepNext w:val="0"/>
        <w:keepLines w:val="0"/>
        <w:pageBreakBefore w:val="0"/>
        <w:widowControl w:val="0"/>
        <w:kinsoku/>
        <w:wordWrap/>
        <w:overflowPunct/>
        <w:topLinePunct w:val="0"/>
        <w:autoSpaceDE/>
        <w:autoSpaceDN/>
        <w:bidi w:val="0"/>
        <w:spacing w:after="0" w:line="575" w:lineRule="exact"/>
        <w:ind w:left="40" w:right="116" w:firstLine="639"/>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项目总投资及资金来源：</w:t>
      </w:r>
      <w:r>
        <w:rPr>
          <w:rFonts w:hint="default" w:ascii="Times New Roman" w:hAnsi="Times New Roman" w:eastAsia="方正仿宋_GBK" w:cs="Times New Roman"/>
          <w:color w:val="auto"/>
          <w:kern w:val="2"/>
          <w:sz w:val="32"/>
          <w:szCs w:val="32"/>
          <w:highlight w:val="none"/>
          <w:lang w:val="en-US" w:eastAsia="zh-CN" w:bidi="ar-SA"/>
        </w:rPr>
        <w:t>项目估算总投资5732.33 万元，其中工程费用4970.48万元，工程建设其他费用488.88 万元，预备费272.97 万元。资金来源为申请国市补助资金，不足部分业主自筹。</w:t>
      </w:r>
    </w:p>
    <w:p w14:paraId="64D15AF6">
      <w:pPr>
        <w:pStyle w:val="5"/>
        <w:keepNext w:val="0"/>
        <w:keepLines w:val="0"/>
        <w:pageBreakBefore w:val="0"/>
        <w:widowControl w:val="0"/>
        <w:kinsoku/>
        <w:wordWrap/>
        <w:overflowPunct/>
        <w:topLinePunct w:val="0"/>
        <w:autoSpaceDE/>
        <w:autoSpaceDN/>
        <w:bidi w:val="0"/>
        <w:spacing w:line="575" w:lineRule="exact"/>
        <w:textAlignment w:val="auto"/>
        <w:outlineLvl w:val="9"/>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24个月。</w:t>
      </w:r>
    </w:p>
    <w:p w14:paraId="5721093C">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2BDE2D39">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2222CFFA">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7C2DAC51">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附件：</w:t>
      </w:r>
      <w:r>
        <w:rPr>
          <w:rFonts w:hint="default" w:ascii="Times New Roman" w:hAnsi="Times New Roman" w:eastAsia="方正仿宋_GBK" w:cs="Times New Roman"/>
          <w:sz w:val="32"/>
          <w:szCs w:val="32"/>
          <w:highlight w:val="none"/>
          <w:lang w:val="en-US" w:eastAsia="zh-CN"/>
        </w:rPr>
        <w:t>黔江区黑山片区老旧小区配套基础设施改造项目</w:t>
      </w:r>
      <w:r>
        <w:rPr>
          <w:rFonts w:hint="default" w:ascii="Times New Roman" w:hAnsi="Times New Roman" w:eastAsia="方正仿宋_GBK" w:cs="Times New Roman"/>
          <w:kern w:val="2"/>
          <w:sz w:val="32"/>
          <w:szCs w:val="32"/>
          <w:highlight w:val="none"/>
          <w:lang w:val="en-US" w:eastAsia="zh-CN"/>
        </w:rPr>
        <w:t>投资</w:t>
      </w:r>
    </w:p>
    <w:p w14:paraId="65ECC2E1">
      <w:pPr>
        <w:keepNext w:val="0"/>
        <w:keepLines w:val="0"/>
        <w:pageBreakBefore w:val="0"/>
        <w:widowControl w:val="0"/>
        <w:kinsoku/>
        <w:wordWrap/>
        <w:overflowPunct/>
        <w:topLinePunct w:val="0"/>
        <w:autoSpaceDE/>
        <w:autoSpaceDN/>
        <w:bidi w:val="0"/>
        <w:adjustRightInd w:val="0"/>
        <w:snapToGrid w:val="0"/>
        <w:spacing w:line="575" w:lineRule="exact"/>
        <w:ind w:firstLine="1600" w:firstLineChars="500"/>
        <w:textAlignment w:val="auto"/>
        <w:outlineLvl w:val="9"/>
        <w:rPr>
          <w:rFonts w:hint="default" w:ascii="Times New Roman" w:hAnsi="Times New Roman" w:eastAsia="方正仿宋_GBK" w:cs="Times New Roman"/>
          <w:kern w:val="2"/>
          <w:sz w:val="32"/>
          <w:szCs w:val="32"/>
          <w:highlight w:val="none"/>
          <w:lang w:val="en-US" w:eastAsia="zh-CN"/>
        </w:rPr>
      </w:pPr>
      <w:bookmarkStart w:id="0" w:name="_GoBack"/>
      <w:bookmarkEnd w:id="0"/>
      <w:r>
        <w:rPr>
          <w:rFonts w:hint="default" w:ascii="Times New Roman" w:hAnsi="Times New Roman" w:eastAsia="方正仿宋_GBK" w:cs="Times New Roman"/>
          <w:kern w:val="2"/>
          <w:sz w:val="32"/>
          <w:szCs w:val="32"/>
          <w:highlight w:val="none"/>
          <w:lang w:val="en-US" w:eastAsia="zh-CN"/>
        </w:rPr>
        <w:t>估算表</w:t>
      </w:r>
    </w:p>
    <w:p w14:paraId="59107C2B">
      <w:pPr>
        <w:pStyle w:val="2"/>
        <w:keepNext w:val="0"/>
        <w:keepLines w:val="0"/>
        <w:pageBreakBefore w:val="0"/>
        <w:widowControl w:val="0"/>
        <w:kinsoku/>
        <w:wordWrap/>
        <w:overflowPunct/>
        <w:topLinePunct w:val="0"/>
        <w:autoSpaceDE/>
        <w:autoSpaceDN/>
        <w:bidi w:val="0"/>
        <w:spacing w:after="0" w:line="575" w:lineRule="exact"/>
        <w:textAlignment w:val="auto"/>
        <w:rPr>
          <w:rFonts w:hint="default"/>
          <w:lang w:val="en-US" w:eastAsia="zh-CN"/>
        </w:rPr>
      </w:pPr>
    </w:p>
    <w:p w14:paraId="65779B66">
      <w:pPr>
        <w:pStyle w:val="3"/>
        <w:rPr>
          <w:rFonts w:hint="default"/>
          <w:lang w:val="en-US" w:eastAsia="zh-CN"/>
        </w:rPr>
      </w:pPr>
    </w:p>
    <w:p w14:paraId="6C147846">
      <w:pPr>
        <w:pStyle w:val="5"/>
        <w:keepNext w:val="0"/>
        <w:keepLines w:val="0"/>
        <w:pageBreakBefore w:val="0"/>
        <w:widowControl w:val="0"/>
        <w:kinsoku/>
        <w:wordWrap/>
        <w:overflowPunct/>
        <w:topLinePunct w:val="0"/>
        <w:autoSpaceDE/>
        <w:autoSpaceDN/>
        <w:bidi w:val="0"/>
        <w:spacing w:line="575" w:lineRule="exact"/>
        <w:ind w:left="0" w:leftChars="0" w:firstLine="3520" w:firstLineChars="11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重庆市黔江区发展和改革委员会</w:t>
      </w:r>
    </w:p>
    <w:p w14:paraId="0DEAE645">
      <w:pPr>
        <w:pStyle w:val="5"/>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2025年12月2</w:t>
      </w:r>
      <w:r>
        <w:rPr>
          <w:rFonts w:hint="eastAsia" w:eastAsia="方正仿宋_GBK" w:cs="Times New Roman"/>
          <w:bCs/>
          <w:sz w:val="32"/>
          <w:szCs w:val="32"/>
          <w:highlight w:val="none"/>
          <w:lang w:val="en-US" w:eastAsia="zh-CN"/>
        </w:rPr>
        <w:t>6</w:t>
      </w:r>
      <w:r>
        <w:rPr>
          <w:rFonts w:hint="default" w:ascii="Times New Roman" w:hAnsi="Times New Roman" w:eastAsia="方正仿宋_GBK" w:cs="Times New Roman"/>
          <w:bCs/>
          <w:sz w:val="32"/>
          <w:szCs w:val="32"/>
          <w:highlight w:val="none"/>
          <w:lang w:val="en-US" w:eastAsia="zh-CN"/>
        </w:rPr>
        <w:t>日</w:t>
      </w:r>
    </w:p>
    <w:p w14:paraId="5DBA22F7">
      <w:pPr>
        <w:pStyle w:val="5"/>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p>
    <w:p w14:paraId="5F76D524">
      <w:pPr>
        <w:pStyle w:val="5"/>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p>
    <w:p w14:paraId="113D6F40">
      <w:pPr>
        <w:pStyle w:val="5"/>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p>
    <w:p w14:paraId="138BBD98">
      <w:pPr>
        <w:pStyle w:val="5"/>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p>
    <w:p w14:paraId="10A58327">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65F83B4A">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4F6AE6E">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2614F81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0BB6C835">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2C58213">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24AFD903">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32"/>
          <w:szCs w:val="32"/>
          <w:highlight w:val="none"/>
        </w:rPr>
      </w:pPr>
      <w:r>
        <w:rPr>
          <w:rFonts w:hint="default" w:ascii="Times New Roman" w:hAnsi="Times New Roman" w:eastAsia="方正黑体_GBK" w:cs="Times New Roman"/>
          <w:kern w:val="0"/>
          <w:sz w:val="32"/>
          <w:szCs w:val="32"/>
          <w:highlight w:val="none"/>
        </w:rPr>
        <w:t>附件</w:t>
      </w:r>
    </w:p>
    <w:p w14:paraId="54581D83">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lang w:val="en-US" w:eastAsia="zh-CN"/>
        </w:rPr>
      </w:pPr>
      <w:r>
        <w:rPr>
          <w:rFonts w:hint="default" w:ascii="Times New Roman" w:hAnsi="Times New Roman" w:eastAsia="方正小标宋_GBK" w:cs="Times New Roman"/>
          <w:kern w:val="0"/>
          <w:sz w:val="36"/>
          <w:szCs w:val="36"/>
          <w:highlight w:val="none"/>
          <w:lang w:val="en-US" w:eastAsia="zh-CN"/>
        </w:rPr>
        <w:t>黔江区黑山片区老旧小区配套基础设施改造项目</w:t>
      </w:r>
    </w:p>
    <w:p w14:paraId="6AC52F64">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24"/>
          <w:szCs w:val="24"/>
          <w:highlight w:val="none"/>
          <w:lang w:eastAsia="zh-CN"/>
        </w:rPr>
      </w:pPr>
      <w:r>
        <w:rPr>
          <w:rFonts w:hint="default" w:ascii="Times New Roman" w:hAnsi="Times New Roman" w:eastAsia="方正小标宋_GBK" w:cs="Times New Roman"/>
          <w:kern w:val="0"/>
          <w:sz w:val="36"/>
          <w:szCs w:val="36"/>
          <w:highlight w:val="none"/>
          <w:lang w:val="zh-CN"/>
        </w:rPr>
        <w:t>投资估算表</w:t>
      </w: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30B7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4" w:hRule="exact"/>
          <w:tblHead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5B1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899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36678A74">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1F42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14BE">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10D8DE67">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695C">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4970.48 </w:t>
            </w:r>
          </w:p>
        </w:tc>
      </w:tr>
      <w:tr w14:paraId="436C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64F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3BE1E84E">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道路提升改造工程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BBCC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2703.12 </w:t>
            </w:r>
          </w:p>
        </w:tc>
      </w:tr>
      <w:tr w14:paraId="460D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23E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701FBB5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绿化整改提升工程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1760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144.00 </w:t>
            </w:r>
          </w:p>
        </w:tc>
      </w:tr>
      <w:tr w14:paraId="5C3E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8A9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1D3BEF8E">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管网设施改造工程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C13A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520.00 </w:t>
            </w:r>
          </w:p>
        </w:tc>
      </w:tr>
      <w:tr w14:paraId="03BB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FE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62389F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服务设施改造工程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F40B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1553.36 </w:t>
            </w:r>
          </w:p>
        </w:tc>
      </w:tr>
      <w:tr w14:paraId="7726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BC4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357CE0E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公共设施智能化改造工程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1C52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50.00 </w:t>
            </w:r>
          </w:p>
        </w:tc>
      </w:tr>
      <w:tr w14:paraId="4B41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6FBF8338">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7B01E0C8">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FD46">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488.88 </w:t>
            </w:r>
          </w:p>
        </w:tc>
      </w:tr>
      <w:tr w14:paraId="2AA3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52D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16FAE28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B63C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24.85 </w:t>
            </w:r>
          </w:p>
        </w:tc>
      </w:tr>
      <w:tr w14:paraId="281B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1C1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17D792CE">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82C10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88.79 </w:t>
            </w:r>
          </w:p>
        </w:tc>
      </w:tr>
      <w:tr w14:paraId="093F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098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004CABF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CA01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84.50 </w:t>
            </w:r>
          </w:p>
        </w:tc>
      </w:tr>
      <w:tr w14:paraId="66B6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E3A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53E6F669">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6098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14.32 </w:t>
            </w:r>
          </w:p>
        </w:tc>
      </w:tr>
      <w:tr w14:paraId="1D6C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FB7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55BF101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8A63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18.14 </w:t>
            </w:r>
          </w:p>
        </w:tc>
      </w:tr>
      <w:tr w14:paraId="4071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FE8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6F1E0DB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4F1C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144.14 </w:t>
            </w:r>
          </w:p>
        </w:tc>
      </w:tr>
      <w:tr w14:paraId="44F5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A35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60CDCA4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D75B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11.93 </w:t>
            </w:r>
          </w:p>
        </w:tc>
      </w:tr>
      <w:tr w14:paraId="583E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9CE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37A9C3A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E383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56.36 </w:t>
            </w:r>
          </w:p>
        </w:tc>
      </w:tr>
      <w:tr w14:paraId="1282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51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4D5C52B1">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B6BE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6.09 </w:t>
            </w:r>
          </w:p>
        </w:tc>
      </w:tr>
      <w:tr w14:paraId="70AB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7B0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0DA882A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6AFA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14.91 </w:t>
            </w:r>
          </w:p>
        </w:tc>
      </w:tr>
      <w:tr w14:paraId="607C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194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478E974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8526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24.85 </w:t>
            </w:r>
          </w:p>
        </w:tc>
      </w:tr>
      <w:tr w14:paraId="67A7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9BB5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425E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2"/>
                <w:szCs w:val="22"/>
                <w:u w:val="none"/>
                <w:lang w:val="en-US" w:eastAsia="zh-CN" w:bidi="ar"/>
              </w:rPr>
              <w:t xml:space="preserve">5459.36 </w:t>
            </w:r>
          </w:p>
        </w:tc>
      </w:tr>
      <w:tr w14:paraId="137F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364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299">
            <w:pPr>
              <w:keepNext w:val="0"/>
              <w:keepLines w:val="0"/>
              <w:widowControl/>
              <w:suppressLineNumbers w:val="0"/>
              <w:jc w:val="center"/>
              <w:textAlignment w:val="cente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E371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2"/>
                <w:szCs w:val="22"/>
                <w:u w:val="none"/>
                <w:lang w:val="en-US" w:eastAsia="zh-CN" w:bidi="ar"/>
              </w:rPr>
              <w:t xml:space="preserve">272.97 </w:t>
            </w:r>
          </w:p>
        </w:tc>
      </w:tr>
      <w:tr w14:paraId="7267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0AD7">
            <w:pPr>
              <w:keepNext w:val="0"/>
              <w:keepLines w:val="0"/>
              <w:widowControl/>
              <w:suppressLineNumbers w:val="0"/>
              <w:jc w:val="center"/>
              <w:textAlignment w:val="center"/>
              <w:rPr>
                <w:rFonts w:hint="eastAsia" w:ascii="Times New Roman" w:hAnsi="Times New Roman" w:eastAsia="方正楷体_GBK" w:cs="Times New Roman"/>
                <w:b/>
                <w:i w:val="0"/>
                <w:color w:val="000000"/>
                <w:sz w:val="24"/>
                <w:szCs w:val="24"/>
                <w:highlight w:val="none"/>
                <w:u w:val="none"/>
                <w:lang w:eastAsia="zh-CN"/>
              </w:rPr>
            </w:pPr>
            <w:r>
              <w:rPr>
                <w:rFonts w:hint="eastAsia" w:eastAsia="方正楷体_GBK" w:cs="Times New Roman"/>
                <w:b/>
                <w:i w:val="0"/>
                <w:color w:val="000000"/>
                <w:sz w:val="24"/>
                <w:szCs w:val="24"/>
                <w:highlight w:val="none"/>
                <w:u w:val="none"/>
                <w:lang w:eastAsia="zh-CN"/>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8E06">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2222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5732.33 </w:t>
            </w:r>
          </w:p>
        </w:tc>
      </w:tr>
    </w:tbl>
    <w:p w14:paraId="6F9550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cs="Times New Roman"/>
          <w:highlight w:val="none"/>
        </w:rPr>
      </w:pPr>
    </w:p>
    <w:p w14:paraId="1603CC29">
      <w:pPr>
        <w:pStyle w:val="3"/>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649CCA10"/>
    <w:p w14:paraId="55707800">
      <w:pPr>
        <w:pStyle w:val="2"/>
      </w:pPr>
    </w:p>
    <w:p w14:paraId="4D024ACA">
      <w:pPr>
        <w:pStyle w:val="3"/>
      </w:pPr>
    </w:p>
    <w:p w14:paraId="53FB9747"/>
    <w:p w14:paraId="4D40DC2F">
      <w:pPr>
        <w:pStyle w:val="2"/>
      </w:pPr>
    </w:p>
    <w:p w14:paraId="20153400">
      <w:pPr>
        <w:pStyle w:val="3"/>
      </w:pPr>
    </w:p>
    <w:p w14:paraId="0A490E8D"/>
    <w:p w14:paraId="66BBFFEA">
      <w:pPr>
        <w:pStyle w:val="2"/>
      </w:pPr>
    </w:p>
    <w:p w14:paraId="5EED4938">
      <w:pPr>
        <w:pStyle w:val="3"/>
      </w:pPr>
    </w:p>
    <w:p w14:paraId="1AD0E1F1"/>
    <w:p w14:paraId="330A0EAC">
      <w:pPr>
        <w:pStyle w:val="2"/>
      </w:pPr>
    </w:p>
    <w:p w14:paraId="728A6BB9">
      <w:pPr>
        <w:pStyle w:val="3"/>
      </w:pPr>
    </w:p>
    <w:p w14:paraId="0FA8645A">
      <w:pPr>
        <w:pStyle w:val="2"/>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9E472ED"/>
    <w:rsid w:val="2AD46A97"/>
    <w:rsid w:val="2B094DE5"/>
    <w:rsid w:val="2B383B20"/>
    <w:rsid w:val="2B7E34FB"/>
    <w:rsid w:val="2C5772AA"/>
    <w:rsid w:val="2CEF100B"/>
    <w:rsid w:val="2E801A58"/>
    <w:rsid w:val="2F1523C9"/>
    <w:rsid w:val="304920DF"/>
    <w:rsid w:val="30CC2C3C"/>
    <w:rsid w:val="31A56320"/>
    <w:rsid w:val="329611F7"/>
    <w:rsid w:val="32A50F33"/>
    <w:rsid w:val="32D300BF"/>
    <w:rsid w:val="32F04218"/>
    <w:rsid w:val="339A574D"/>
    <w:rsid w:val="343455C9"/>
    <w:rsid w:val="351152EB"/>
    <w:rsid w:val="35E849AF"/>
    <w:rsid w:val="38657C26"/>
    <w:rsid w:val="39705D78"/>
    <w:rsid w:val="397671E0"/>
    <w:rsid w:val="398C37FF"/>
    <w:rsid w:val="3A5C509D"/>
    <w:rsid w:val="3E9905B9"/>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0141305"/>
    <w:rsid w:val="71E628B1"/>
    <w:rsid w:val="722929DF"/>
    <w:rsid w:val="72AF5315"/>
    <w:rsid w:val="742B5A1B"/>
    <w:rsid w:val="76E535BA"/>
    <w:rsid w:val="77C816DC"/>
    <w:rsid w:val="78624336"/>
    <w:rsid w:val="798F3B70"/>
    <w:rsid w:val="79BC4EE7"/>
    <w:rsid w:val="7A494110"/>
    <w:rsid w:val="7A757CD5"/>
    <w:rsid w:val="7A9639EB"/>
    <w:rsid w:val="7AED1855"/>
    <w:rsid w:val="7C0A2E6F"/>
    <w:rsid w:val="7CE16A13"/>
    <w:rsid w:val="7EA877E8"/>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2"/>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1"/>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945</Words>
  <Characters>1123</Characters>
  <Lines>11</Lines>
  <Paragraphs>3</Paragraphs>
  <TotalTime>2</TotalTime>
  <ScaleCrop>false</ScaleCrop>
  <LinksUpToDate>false</LinksUpToDate>
  <CharactersWithSpaces>1252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2025-12-31T09:17:01Z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