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706CA">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479D2EE">
      <w:pPr>
        <w:tabs>
          <w:tab w:val="left" w:pos="8181"/>
          <w:tab w:val="left" w:pos="8733"/>
        </w:tabs>
        <w:spacing w:line="580" w:lineRule="exact"/>
        <w:ind w:right="-193" w:rightChars="-92" w:firstLine="160" w:firstLineChars="50"/>
        <w:rPr>
          <w:rFonts w:hint="eastAsia" w:eastAsia="方正仿宋_GBK"/>
          <w:sz w:val="32"/>
          <w:szCs w:val="32"/>
        </w:rPr>
      </w:pPr>
    </w:p>
    <w:p w14:paraId="09CE2216">
      <w:pPr>
        <w:tabs>
          <w:tab w:val="left" w:pos="8181"/>
          <w:tab w:val="left" w:pos="8733"/>
        </w:tabs>
        <w:spacing w:line="580" w:lineRule="exact"/>
        <w:ind w:right="-193" w:rightChars="-92" w:firstLine="160" w:firstLineChars="50"/>
        <w:rPr>
          <w:rFonts w:hint="eastAsia" w:eastAsia="方正仿宋_GBK"/>
          <w:sz w:val="32"/>
          <w:szCs w:val="32"/>
        </w:rPr>
      </w:pPr>
    </w:p>
    <w:p w14:paraId="49592060">
      <w:pPr>
        <w:tabs>
          <w:tab w:val="left" w:pos="8181"/>
          <w:tab w:val="left" w:pos="8733"/>
        </w:tabs>
        <w:spacing w:line="580" w:lineRule="exact"/>
        <w:ind w:right="-193" w:rightChars="-92" w:firstLine="160" w:firstLineChars="50"/>
        <w:rPr>
          <w:rFonts w:hint="eastAsia" w:eastAsia="方正仿宋_GBK"/>
          <w:sz w:val="32"/>
          <w:szCs w:val="32"/>
        </w:rPr>
      </w:pPr>
    </w:p>
    <w:p w14:paraId="0C6EBD63">
      <w:pPr>
        <w:tabs>
          <w:tab w:val="left" w:pos="8181"/>
          <w:tab w:val="left" w:pos="8733"/>
        </w:tabs>
        <w:spacing w:line="580" w:lineRule="exact"/>
        <w:ind w:right="-193" w:rightChars="-92" w:firstLine="160" w:firstLineChars="50"/>
        <w:rPr>
          <w:rFonts w:hint="eastAsia" w:eastAsia="方正仿宋_GBK"/>
          <w:sz w:val="32"/>
          <w:szCs w:val="32"/>
        </w:rPr>
      </w:pPr>
    </w:p>
    <w:p w14:paraId="164078E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69B0BC51">
      <w:pPr>
        <w:tabs>
          <w:tab w:val="left" w:pos="8181"/>
          <w:tab w:val="left" w:pos="8733"/>
        </w:tabs>
        <w:spacing w:line="500" w:lineRule="exact"/>
        <w:ind w:right="-193" w:rightChars="-92" w:firstLine="160" w:firstLineChars="50"/>
        <w:rPr>
          <w:rFonts w:hint="eastAsia" w:eastAsia="方正仿宋_GBK"/>
          <w:sz w:val="32"/>
          <w:szCs w:val="32"/>
        </w:rPr>
      </w:pPr>
    </w:p>
    <w:p w14:paraId="333A9130">
      <w:pPr>
        <w:tabs>
          <w:tab w:val="left" w:pos="8181"/>
          <w:tab w:val="left" w:pos="8733"/>
        </w:tabs>
        <w:spacing w:line="200" w:lineRule="exact"/>
        <w:ind w:right="-193" w:rightChars="-92" w:firstLine="160" w:firstLineChars="50"/>
        <w:rPr>
          <w:rFonts w:hint="eastAsia" w:eastAsia="方正仿宋_GBK"/>
          <w:sz w:val="32"/>
          <w:szCs w:val="32"/>
        </w:rPr>
      </w:pPr>
    </w:p>
    <w:p w14:paraId="415BC53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248</w:t>
      </w:r>
      <w:r>
        <w:rPr>
          <w:rFonts w:eastAsia="方正仿宋_GBK"/>
          <w:sz w:val="32"/>
          <w:szCs w:val="32"/>
        </w:rPr>
        <w:t>号</w:t>
      </w:r>
    </w:p>
    <w:p w14:paraId="4F39DB1E">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76519A25">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02A7614A">
      <w:pPr>
        <w:keepNext w:val="0"/>
        <w:keepLines w:val="0"/>
        <w:pageBreakBefore w:val="0"/>
        <w:widowControl w:val="0"/>
        <w:kinsoku/>
        <w:wordWrap/>
        <w:overflowPunct/>
        <w:topLinePunct w:val="0"/>
        <w:autoSpaceDE/>
        <w:autoSpaceDN/>
        <w:bidi w:val="0"/>
        <w:adjustRightInd/>
        <w:spacing w:line="575"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关于黔江区冯家街道老旧小区配套基础设施</w:t>
      </w:r>
    </w:p>
    <w:p w14:paraId="61D8BA14">
      <w:pPr>
        <w:keepNext w:val="0"/>
        <w:keepLines w:val="0"/>
        <w:pageBreakBefore w:val="0"/>
        <w:widowControl w:val="0"/>
        <w:kinsoku/>
        <w:wordWrap/>
        <w:overflowPunct/>
        <w:topLinePunct w:val="0"/>
        <w:autoSpaceDE/>
        <w:autoSpaceDN/>
        <w:bidi w:val="0"/>
        <w:adjustRightInd/>
        <w:spacing w:line="575"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改造项目可行性研究报告的批复</w:t>
      </w:r>
    </w:p>
    <w:p w14:paraId="460BA643">
      <w:pPr>
        <w:keepNext w:val="0"/>
        <w:keepLines w:val="0"/>
        <w:pageBreakBefore w:val="0"/>
        <w:widowControl w:val="0"/>
        <w:kinsoku/>
        <w:wordWrap/>
        <w:overflowPunct/>
        <w:topLinePunct w:val="0"/>
        <w:autoSpaceDE/>
        <w:autoSpaceDN/>
        <w:bidi w:val="0"/>
        <w:spacing w:line="575" w:lineRule="exact"/>
        <w:ind w:right="23" w:rightChars="11" w:firstLine="110" w:firstLineChars="50"/>
        <w:textAlignment w:val="auto"/>
        <w:outlineLvl w:val="9"/>
        <w:rPr>
          <w:rFonts w:hint="default" w:ascii="Times New Roman" w:hAnsi="Times New Roman" w:eastAsia="方正仿宋_GBK" w:cs="Times New Roman"/>
          <w:sz w:val="22"/>
          <w:szCs w:val="36"/>
          <w:highlight w:val="none"/>
        </w:rPr>
      </w:pPr>
    </w:p>
    <w:p w14:paraId="0A8052C3">
      <w:pPr>
        <w:keepNext w:val="0"/>
        <w:keepLines w:val="0"/>
        <w:pageBreakBefore w:val="0"/>
        <w:widowControl w:val="0"/>
        <w:kinsoku/>
        <w:wordWrap/>
        <w:overflowPunct/>
        <w:topLinePunct w:val="0"/>
        <w:autoSpaceDE/>
        <w:autoSpaceDN/>
        <w:bidi w:val="0"/>
        <w:adjustRightInd w:val="0"/>
        <w:snapToGrid w:val="0"/>
        <w:spacing w:line="575" w:lineRule="exact"/>
        <w:jc w:val="left"/>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000000"/>
          <w:sz w:val="32"/>
          <w:szCs w:val="32"/>
          <w:highlight w:val="none"/>
          <w:lang w:eastAsia="zh-CN"/>
        </w:rPr>
        <w:t>区住房城乡建委</w:t>
      </w:r>
      <w:r>
        <w:rPr>
          <w:rFonts w:hint="default" w:ascii="Times New Roman" w:hAnsi="Times New Roman" w:eastAsia="方正仿宋_GBK" w:cs="Times New Roman"/>
          <w:sz w:val="32"/>
          <w:szCs w:val="32"/>
          <w:highlight w:val="none"/>
          <w:lang w:val="en-US" w:eastAsia="zh-CN"/>
        </w:rPr>
        <w:t>：</w:t>
      </w:r>
    </w:p>
    <w:p w14:paraId="5AF48963">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你单位《关于审查黔江区冯家街道老旧小区配套基础设施改造项目可行性研究报告的函</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黔江建函</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301</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val="en-US" w:eastAsia="zh-CN"/>
        </w:rPr>
        <w:t>》收悉，结合区政府投资项目前期工作服务中心的评审意见，经研究，同意实施黔江区冯家街道老旧小区配套基础设施改造项目（项目代码：</w:t>
      </w:r>
      <w:r>
        <w:rPr>
          <w:rFonts w:hint="default" w:ascii="Times New Roman" w:hAnsi="Times New Roman" w:eastAsia="方正仿宋_GBK" w:cs="Times New Roman"/>
          <w:color w:val="000000"/>
          <w:kern w:val="2"/>
          <w:sz w:val="32"/>
          <w:szCs w:val="32"/>
          <w:highlight w:val="none"/>
          <w:lang w:val="en-US" w:eastAsia="zh-CN" w:bidi="ar-SA"/>
        </w:rPr>
        <w:t>2512-500114-04-01-992678</w:t>
      </w:r>
      <w:r>
        <w:rPr>
          <w:rFonts w:hint="default" w:ascii="Times New Roman" w:hAnsi="Times New Roman" w:eastAsia="方正仿宋_GBK" w:cs="Times New Roman"/>
          <w:sz w:val="32"/>
          <w:szCs w:val="32"/>
          <w:highlight w:val="none"/>
          <w:lang w:val="en-US" w:eastAsia="zh-CN"/>
        </w:rPr>
        <w:t>）。现将该项目可行性研究报告批复如下：</w:t>
      </w:r>
    </w:p>
    <w:p w14:paraId="450E8FFB">
      <w:pPr>
        <w:keepNext w:val="0"/>
        <w:keepLines w:val="0"/>
        <w:pageBreakBefore w:val="0"/>
        <w:widowControl w:val="0"/>
        <w:numPr>
          <w:numId w:val="0"/>
        </w:numPr>
        <w:kinsoku/>
        <w:wordWrap/>
        <w:overflowPunct/>
        <w:topLinePunct w:val="0"/>
        <w:autoSpaceDE/>
        <w:autoSpaceDN/>
        <w:bidi w:val="0"/>
        <w:adjustRightInd/>
        <w:snapToGrid/>
        <w:spacing w:line="575" w:lineRule="exact"/>
        <w:ind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一、项目业主：</w:t>
      </w:r>
      <w:r>
        <w:rPr>
          <w:rFonts w:hint="default" w:ascii="Times New Roman" w:hAnsi="Times New Roman" w:eastAsia="方正仿宋_GBK" w:cs="Times New Roman"/>
          <w:color w:val="000000"/>
          <w:sz w:val="32"/>
          <w:szCs w:val="32"/>
          <w:highlight w:val="none"/>
          <w:lang w:val="en-US" w:eastAsia="zh-CN"/>
        </w:rPr>
        <w:t>重庆市黔江区住房和城乡建设委员会</w:t>
      </w:r>
    </w:p>
    <w:p w14:paraId="07409784">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firstLine="1280" w:firstLineChars="400"/>
        <w:jc w:val="both"/>
        <w:textAlignment w:val="auto"/>
        <w:rPr>
          <w:rFonts w:hint="default" w:ascii="Times New Roman" w:hAnsi="Times New Roman" w:eastAsia="方正仿宋_GBK" w:cs="Times New Roman"/>
          <w:color w:val="000000"/>
          <w:sz w:val="32"/>
          <w:szCs w:val="32"/>
          <w:highlight w:val="none"/>
        </w:rPr>
      </w:pPr>
      <w:r>
        <w:rPr>
          <w:rFonts w:hint="eastAsia" w:ascii="方正黑体_GBK" w:hAnsi="方正黑体_GBK" w:eastAsia="方正黑体_GBK" w:cs="方正黑体_GBK"/>
          <w:sz w:val="32"/>
          <w:szCs w:val="32"/>
          <w:highlight w:val="none"/>
          <w:lang w:val="en-US" w:eastAsia="zh-CN"/>
        </w:rPr>
        <w:t>代建单位：</w:t>
      </w:r>
      <w:r>
        <w:rPr>
          <w:rFonts w:hint="default" w:ascii="Times New Roman" w:hAnsi="Times New Roman" w:eastAsia="方正仿宋_GBK" w:cs="Times New Roman"/>
          <w:color w:val="000000"/>
          <w:sz w:val="32"/>
          <w:szCs w:val="32"/>
          <w:highlight w:val="none"/>
        </w:rPr>
        <w:t>重庆市枳丹石城市建设开发有限公司</w:t>
      </w:r>
    </w:p>
    <w:p w14:paraId="41A75D50">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jc w:val="both"/>
        <w:textAlignment w:val="auto"/>
        <w:rPr>
          <w:rFonts w:hint="default" w:ascii="Times New Roman" w:hAnsi="Times New Roman" w:eastAsia="方正仿宋_GBK" w:cs="Times New Roman"/>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 xml:space="preserve">   </w:t>
      </w:r>
      <w:r>
        <w:rPr>
          <w:rFonts w:hint="eastAsia" w:ascii="方正黑体_GBK" w:hAnsi="方正黑体_GBK" w:eastAsia="方正黑体_GBK" w:cs="方正黑体_GBK"/>
          <w:sz w:val="32"/>
          <w:szCs w:val="32"/>
          <w:highlight w:val="none"/>
          <w:lang w:val="en-US" w:eastAsia="zh-CN"/>
        </w:rPr>
        <w:t xml:space="preserve"> 二、</w:t>
      </w:r>
      <w:r>
        <w:rPr>
          <w:rFonts w:hint="eastAsia" w:ascii="方正黑体_GBK" w:hAnsi="方正黑体_GBK" w:eastAsia="方正黑体_GBK" w:cs="方正黑体_GBK"/>
          <w:sz w:val="32"/>
          <w:szCs w:val="32"/>
          <w:highlight w:val="none"/>
          <w:lang w:eastAsia="zh-CN"/>
        </w:rPr>
        <w:t>建设地点：</w:t>
      </w:r>
      <w:r>
        <w:rPr>
          <w:rFonts w:hint="default" w:ascii="Times New Roman" w:hAnsi="Times New Roman" w:eastAsia="方正仿宋_GBK" w:cs="Times New Roman"/>
          <w:sz w:val="32"/>
          <w:szCs w:val="32"/>
          <w:highlight w:val="none"/>
          <w:lang w:val="en-US" w:eastAsia="zh-CN"/>
        </w:rPr>
        <w:t>黔江区冯家街道</w:t>
      </w:r>
    </w:p>
    <w:p w14:paraId="5FB4F94B">
      <w:pPr>
        <w:pStyle w:val="2"/>
        <w:keepNext w:val="0"/>
        <w:keepLines w:val="0"/>
        <w:pageBreakBefore w:val="0"/>
        <w:widowControl w:val="0"/>
        <w:numPr>
          <w:ilvl w:val="0"/>
          <w:numId w:val="0"/>
        </w:numPr>
        <w:kinsoku/>
        <w:wordWrap/>
        <w:overflowPunct/>
        <w:topLinePunct w:val="0"/>
        <w:autoSpaceDE/>
        <w:autoSpaceDN/>
        <w:bidi w:val="0"/>
        <w:adjustRightInd/>
        <w:snapToGrid/>
        <w:spacing w:after="0" w:line="575"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三</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val="en-US" w:eastAsia="zh-CN"/>
        </w:rPr>
        <w:t>主要建设内容及规模：</w:t>
      </w:r>
      <w:r>
        <w:rPr>
          <w:rFonts w:hint="default" w:ascii="Times New Roman" w:hAnsi="Times New Roman" w:eastAsia="方正仿宋_GBK" w:cs="Times New Roman"/>
          <w:kern w:val="2"/>
          <w:sz w:val="32"/>
          <w:szCs w:val="32"/>
          <w:highlight w:val="none"/>
          <w:lang w:val="en-US" w:eastAsia="zh-CN" w:bidi="ar-SA"/>
        </w:rPr>
        <w:t>项目涉及渔电街60号（包含桂花路106号）等老旧小区1个，居民住户35户，房屋2栋。主要建设内容包括小区内道路提升改造约1.8万平方米、小区外与城市主干网衔接的道路提升改造约1.8万平方米，改造居住小区内供水管网3200米、消防管网1120米，新增居住小区内雨水管网320米，绿化改造2410平方米，智能化路灯改造146盏、智能化壁灯改造30盏，停车场改造约7800平方米，消防设施改造16个，分类垃圾收集点改造6处及农贸市场、篮球场改造等便民配套设施。</w:t>
      </w:r>
    </w:p>
    <w:p w14:paraId="570161E9">
      <w:pPr>
        <w:pStyle w:val="2"/>
        <w:keepNext w:val="0"/>
        <w:keepLines w:val="0"/>
        <w:pageBreakBefore w:val="0"/>
        <w:widowControl w:val="0"/>
        <w:kinsoku/>
        <w:wordWrap/>
        <w:overflowPunct/>
        <w:topLinePunct w:val="0"/>
        <w:autoSpaceDE/>
        <w:autoSpaceDN/>
        <w:bidi w:val="0"/>
        <w:spacing w:after="0" w:line="575" w:lineRule="exact"/>
        <w:ind w:left="40" w:right="116" w:firstLine="639"/>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方正黑体_GBK" w:hAnsi="方正黑体_GBK" w:eastAsia="方正黑体_GBK" w:cs="方正黑体_GBK"/>
          <w:sz w:val="32"/>
          <w:szCs w:val="32"/>
          <w:highlight w:val="none"/>
          <w:lang w:val="en-US" w:eastAsia="zh-CN"/>
        </w:rPr>
        <w:t>四</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color w:val="auto"/>
          <w:kern w:val="2"/>
          <w:sz w:val="32"/>
          <w:szCs w:val="32"/>
          <w:highlight w:val="none"/>
          <w:lang w:val="en-US" w:eastAsia="zh-CN" w:bidi="ar-SA"/>
        </w:rPr>
        <w:t>项目总投资及资金来源：</w:t>
      </w:r>
      <w:r>
        <w:rPr>
          <w:rFonts w:hint="default" w:ascii="Times New Roman" w:hAnsi="Times New Roman" w:eastAsia="方正仿宋_GBK" w:cs="Times New Roman"/>
          <w:color w:val="auto"/>
          <w:kern w:val="2"/>
          <w:sz w:val="32"/>
          <w:szCs w:val="32"/>
          <w:highlight w:val="none"/>
          <w:lang w:val="en-US" w:eastAsia="zh-CN" w:bidi="ar-SA"/>
        </w:rPr>
        <w:t>项目估算总投资4154.09 万元，其中工程费用3595.22万元，工程建设其他费用361.06 万元，预备费197.81 万元。资金来源为申请国市补助资金，不足部分业主自筹。</w:t>
      </w:r>
    </w:p>
    <w:p w14:paraId="7A7B6E23">
      <w:pPr>
        <w:pStyle w:val="5"/>
        <w:keepNext w:val="0"/>
        <w:keepLines w:val="0"/>
        <w:pageBreakBefore w:val="0"/>
        <w:widowControl w:val="0"/>
        <w:kinsoku/>
        <w:wordWrap/>
        <w:overflowPunct/>
        <w:topLinePunct w:val="0"/>
        <w:autoSpaceDE/>
        <w:autoSpaceDN/>
        <w:bidi w:val="0"/>
        <w:spacing w:line="575" w:lineRule="exact"/>
        <w:textAlignment w:val="auto"/>
        <w:outlineLvl w:val="9"/>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rPr>
        <w:t>五、</w:t>
      </w:r>
      <w:r>
        <w:rPr>
          <w:rFonts w:hint="eastAsia" w:ascii="方正黑体_GBK" w:hAnsi="方正黑体_GBK" w:eastAsia="方正黑体_GBK" w:cs="方正黑体_GBK"/>
          <w:sz w:val="32"/>
          <w:szCs w:val="32"/>
          <w:highlight w:val="none"/>
          <w:lang w:val="en-US" w:eastAsia="zh-CN"/>
        </w:rPr>
        <w:t>建设工期：</w:t>
      </w:r>
      <w:r>
        <w:rPr>
          <w:rFonts w:hint="default" w:ascii="Times New Roman" w:hAnsi="Times New Roman" w:eastAsia="方正仿宋_GBK" w:cs="Times New Roman"/>
          <w:kern w:val="2"/>
          <w:sz w:val="32"/>
          <w:szCs w:val="32"/>
          <w:highlight w:val="none"/>
          <w:lang w:val="en-US" w:eastAsia="zh-CN" w:bidi="ar-SA"/>
        </w:rPr>
        <w:t>24个月。</w:t>
      </w:r>
    </w:p>
    <w:p w14:paraId="2FCF4559">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方正黑体_GBK" w:hAnsi="方正黑体_GBK" w:eastAsia="方正黑体_GBK" w:cs="方正黑体_GBK"/>
          <w:sz w:val="32"/>
          <w:szCs w:val="32"/>
          <w:highlight w:val="none"/>
          <w:lang w:eastAsia="zh-CN"/>
        </w:rPr>
        <w:t>六</w:t>
      </w:r>
      <w:r>
        <w:rPr>
          <w:rFonts w:hint="eastAsia" w:ascii="方正黑体_GBK" w:hAnsi="方正黑体_GBK" w:eastAsia="方正黑体_GBK" w:cs="方正黑体_GBK"/>
          <w:sz w:val="32"/>
          <w:szCs w:val="32"/>
          <w:highlight w:val="none"/>
        </w:rPr>
        <w:t>、招标核准：</w:t>
      </w:r>
      <w:r>
        <w:rPr>
          <w:rFonts w:hint="default" w:ascii="Times New Roman" w:hAnsi="Times New Roman" w:eastAsia="方正仿宋_GBK" w:cs="Times New Roman"/>
          <w:sz w:val="32"/>
          <w:szCs w:val="32"/>
          <w:highlight w:val="none"/>
        </w:rPr>
        <w:t>本项目的招标范围为工程施工，勘察、设计、监理等与工程建设有关的服务，以及与工程建设有关的重要设备、材料的采购等。</w:t>
      </w:r>
      <w:r>
        <w:rPr>
          <w:rFonts w:hint="default" w:ascii="Times New Roman" w:hAnsi="Times New Roman" w:eastAsia="方正仿宋_GBK" w:cs="Times New Roman"/>
          <w:sz w:val="32"/>
          <w:szCs w:val="32"/>
          <w:highlight w:val="none"/>
          <w:lang w:eastAsia="zh-CN"/>
        </w:rPr>
        <w:t>按照招标投标法相关规定，依法必须招标的，</w:t>
      </w:r>
      <w:r>
        <w:rPr>
          <w:rFonts w:hint="default" w:ascii="Times New Roman" w:hAnsi="Times New Roman" w:eastAsia="方正仿宋_GBK" w:cs="Times New Roman"/>
          <w:sz w:val="32"/>
          <w:szCs w:val="32"/>
          <w:highlight w:val="none"/>
        </w:rPr>
        <w:t>招标方式为公开招标，招标组织形式为委托招标。招标公告在指定媒介公开发布。</w:t>
      </w:r>
    </w:p>
    <w:p w14:paraId="6F804004">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方正黑体_GBK" w:hAnsi="方正黑体_GBK" w:eastAsia="方正黑体_GBK" w:cs="方正黑体_GBK"/>
          <w:sz w:val="32"/>
          <w:szCs w:val="32"/>
          <w:highlight w:val="none"/>
          <w:lang w:eastAsia="zh-CN"/>
        </w:rPr>
        <w:t>七</w:t>
      </w:r>
      <w:r>
        <w:rPr>
          <w:rFonts w:hint="eastAsia" w:ascii="方正黑体_GBK" w:hAnsi="方正黑体_GBK" w:eastAsia="方正黑体_GBK" w:cs="方正黑体_GBK"/>
          <w:sz w:val="32"/>
          <w:szCs w:val="32"/>
          <w:highlight w:val="none"/>
        </w:rPr>
        <w:t>、有关事项：</w:t>
      </w:r>
      <w:r>
        <w:rPr>
          <w:rFonts w:hint="default" w:ascii="Times New Roman" w:hAnsi="Times New Roman" w:eastAsia="方正仿宋_GBK" w:cs="Times New Roman"/>
          <w:sz w:val="32"/>
          <w:szCs w:val="32"/>
          <w:highlight w:val="none"/>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78BABD45">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p>
    <w:p w14:paraId="74B1DF95">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outlineLvl w:val="9"/>
        <w:rPr>
          <w:rFonts w:hint="default" w:ascii="Times New Roman" w:hAnsi="Times New Roman" w:eastAsia="方正仿宋_GBK" w:cs="Times New Roman"/>
          <w:kern w:val="2"/>
          <w:sz w:val="32"/>
          <w:szCs w:val="32"/>
          <w:highlight w:val="none"/>
          <w:lang w:val="en-US" w:eastAsia="zh-CN"/>
        </w:rPr>
      </w:pPr>
      <w:r>
        <w:rPr>
          <w:rFonts w:hint="default" w:ascii="Times New Roman" w:hAnsi="Times New Roman" w:eastAsia="方正仿宋_GBK" w:cs="Times New Roman"/>
          <w:kern w:val="2"/>
          <w:sz w:val="32"/>
          <w:szCs w:val="32"/>
          <w:highlight w:val="none"/>
          <w:lang w:val="en-US" w:eastAsia="zh-CN"/>
        </w:rPr>
        <w:t>附件：</w:t>
      </w:r>
      <w:r>
        <w:rPr>
          <w:rFonts w:hint="default" w:ascii="Times New Roman" w:hAnsi="Times New Roman" w:eastAsia="方正仿宋_GBK" w:cs="Times New Roman"/>
          <w:sz w:val="32"/>
          <w:szCs w:val="32"/>
          <w:highlight w:val="none"/>
          <w:lang w:val="en-US" w:eastAsia="zh-CN"/>
        </w:rPr>
        <w:t>黔江区冯家街道老旧小区配套基础设施改造项目</w:t>
      </w:r>
      <w:r>
        <w:rPr>
          <w:rFonts w:hint="default" w:ascii="Times New Roman" w:hAnsi="Times New Roman" w:eastAsia="方正仿宋_GBK" w:cs="Times New Roman"/>
          <w:kern w:val="2"/>
          <w:sz w:val="32"/>
          <w:szCs w:val="32"/>
          <w:highlight w:val="none"/>
          <w:lang w:val="en-US" w:eastAsia="zh-CN"/>
        </w:rPr>
        <w:t>投资</w:t>
      </w:r>
    </w:p>
    <w:p w14:paraId="06C74DA3">
      <w:pPr>
        <w:keepNext w:val="0"/>
        <w:keepLines w:val="0"/>
        <w:pageBreakBefore w:val="0"/>
        <w:widowControl w:val="0"/>
        <w:kinsoku/>
        <w:wordWrap/>
        <w:overflowPunct/>
        <w:topLinePunct w:val="0"/>
        <w:autoSpaceDE/>
        <w:autoSpaceDN/>
        <w:bidi w:val="0"/>
        <w:adjustRightInd w:val="0"/>
        <w:snapToGrid w:val="0"/>
        <w:spacing w:line="575" w:lineRule="exact"/>
        <w:ind w:firstLine="1600" w:firstLineChars="500"/>
        <w:textAlignment w:val="auto"/>
        <w:outlineLvl w:val="9"/>
        <w:rPr>
          <w:rFonts w:hint="default" w:ascii="Times New Roman" w:hAnsi="Times New Roman" w:eastAsia="方正仿宋_GBK" w:cs="Times New Roman"/>
          <w:kern w:val="2"/>
          <w:sz w:val="32"/>
          <w:szCs w:val="32"/>
          <w:highlight w:val="none"/>
          <w:lang w:val="en-US" w:eastAsia="zh-CN"/>
        </w:rPr>
      </w:pPr>
      <w:r>
        <w:rPr>
          <w:rFonts w:hint="default" w:ascii="Times New Roman" w:hAnsi="Times New Roman" w:eastAsia="方正仿宋_GBK" w:cs="Times New Roman"/>
          <w:kern w:val="2"/>
          <w:sz w:val="32"/>
          <w:szCs w:val="32"/>
          <w:highlight w:val="none"/>
          <w:lang w:val="en-US" w:eastAsia="zh-CN"/>
        </w:rPr>
        <w:t>估算表</w:t>
      </w:r>
    </w:p>
    <w:p w14:paraId="7F34B0CE">
      <w:pPr>
        <w:keepNext w:val="0"/>
        <w:keepLines w:val="0"/>
        <w:pageBreakBefore w:val="0"/>
        <w:widowControl w:val="0"/>
        <w:kinsoku/>
        <w:wordWrap/>
        <w:overflowPunct/>
        <w:topLinePunct w:val="0"/>
        <w:autoSpaceDE/>
        <w:autoSpaceDN/>
        <w:bidi w:val="0"/>
        <w:adjustRightInd w:val="0"/>
        <w:snapToGrid w:val="0"/>
        <w:spacing w:line="575" w:lineRule="exact"/>
        <w:textAlignment w:val="auto"/>
        <w:outlineLvl w:val="9"/>
        <w:rPr>
          <w:rFonts w:hint="default" w:ascii="Times New Roman" w:hAnsi="Times New Roman" w:eastAsia="方正仿宋_GBK" w:cs="Times New Roman"/>
          <w:bCs/>
          <w:sz w:val="32"/>
          <w:szCs w:val="32"/>
          <w:highlight w:val="none"/>
        </w:rPr>
      </w:pPr>
    </w:p>
    <w:p w14:paraId="2A5708C6">
      <w:pPr>
        <w:pStyle w:val="5"/>
        <w:keepNext w:val="0"/>
        <w:keepLines w:val="0"/>
        <w:pageBreakBefore w:val="0"/>
        <w:widowControl w:val="0"/>
        <w:kinsoku/>
        <w:wordWrap/>
        <w:overflowPunct/>
        <w:topLinePunct w:val="0"/>
        <w:autoSpaceDE/>
        <w:autoSpaceDN/>
        <w:bidi w:val="0"/>
        <w:spacing w:line="575" w:lineRule="exact"/>
        <w:ind w:left="0" w:leftChars="0" w:firstLine="3520" w:firstLineChars="1100"/>
        <w:textAlignment w:val="auto"/>
        <w:outlineLvl w:val="9"/>
        <w:rPr>
          <w:rFonts w:hint="default" w:ascii="Times New Roman" w:hAnsi="Times New Roman" w:eastAsia="方正仿宋_GBK" w:cs="Times New Roman"/>
          <w:bCs/>
          <w:sz w:val="32"/>
          <w:szCs w:val="32"/>
          <w:highlight w:val="none"/>
          <w:lang w:val="en-US" w:eastAsia="zh-CN"/>
        </w:rPr>
      </w:pPr>
      <w:r>
        <w:rPr>
          <w:rFonts w:hint="default" w:ascii="Times New Roman" w:hAnsi="Times New Roman" w:eastAsia="方正仿宋_GBK" w:cs="Times New Roman"/>
          <w:bCs/>
          <w:sz w:val="32"/>
          <w:szCs w:val="32"/>
          <w:highlight w:val="none"/>
          <w:lang w:val="en-US" w:eastAsia="zh-CN"/>
        </w:rPr>
        <w:t>重庆市黔江区发展和改革委员会</w:t>
      </w:r>
    </w:p>
    <w:p w14:paraId="02B379D8">
      <w:pPr>
        <w:pStyle w:val="5"/>
        <w:keepNext w:val="0"/>
        <w:keepLines w:val="0"/>
        <w:pageBreakBefore w:val="0"/>
        <w:widowControl w:val="0"/>
        <w:kinsoku/>
        <w:wordWrap/>
        <w:overflowPunct/>
        <w:topLinePunct w:val="0"/>
        <w:autoSpaceDE/>
        <w:autoSpaceDN/>
        <w:bidi w:val="0"/>
        <w:spacing w:line="575" w:lineRule="exact"/>
        <w:ind w:left="0" w:leftChars="0" w:firstLine="4480" w:firstLineChars="1400"/>
        <w:textAlignment w:val="auto"/>
        <w:outlineLvl w:val="9"/>
        <w:rPr>
          <w:rFonts w:hint="default" w:ascii="Times New Roman" w:hAnsi="Times New Roman" w:eastAsia="方正仿宋_GBK" w:cs="Times New Roman"/>
          <w:bCs/>
          <w:sz w:val="32"/>
          <w:szCs w:val="32"/>
          <w:highlight w:val="none"/>
          <w:lang w:val="en-US" w:eastAsia="zh-CN"/>
        </w:rPr>
      </w:pPr>
      <w:r>
        <w:rPr>
          <w:rFonts w:hint="default" w:ascii="Times New Roman" w:hAnsi="Times New Roman" w:eastAsia="方正仿宋_GBK" w:cs="Times New Roman"/>
          <w:bCs/>
          <w:sz w:val="32"/>
          <w:szCs w:val="32"/>
          <w:highlight w:val="none"/>
          <w:lang w:val="en-US" w:eastAsia="zh-CN"/>
        </w:rPr>
        <w:t>2025年12月2</w:t>
      </w:r>
      <w:r>
        <w:rPr>
          <w:rFonts w:hint="eastAsia" w:eastAsia="方正仿宋_GBK" w:cs="Times New Roman"/>
          <w:bCs/>
          <w:sz w:val="32"/>
          <w:szCs w:val="32"/>
          <w:highlight w:val="none"/>
          <w:lang w:val="en-US" w:eastAsia="zh-CN"/>
        </w:rPr>
        <w:t>6</w:t>
      </w:r>
      <w:r>
        <w:rPr>
          <w:rFonts w:hint="default" w:ascii="Times New Roman" w:hAnsi="Times New Roman" w:eastAsia="方正仿宋_GBK" w:cs="Times New Roman"/>
          <w:bCs/>
          <w:sz w:val="32"/>
          <w:szCs w:val="32"/>
          <w:highlight w:val="none"/>
          <w:lang w:val="en-US" w:eastAsia="zh-CN"/>
        </w:rPr>
        <w:t>日</w:t>
      </w:r>
    </w:p>
    <w:p w14:paraId="3008183F">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770EF590">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394E8A5">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2A36286F">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1F122CA6">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04683176">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2BEE221F">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451DA607">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118CE6B">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7F9588B8">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2E75EAD8">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44CE2564">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7762987B">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32"/>
          <w:szCs w:val="32"/>
          <w:highlight w:val="none"/>
        </w:rPr>
      </w:pPr>
      <w:r>
        <w:rPr>
          <w:rFonts w:hint="default" w:ascii="Times New Roman" w:hAnsi="Times New Roman" w:eastAsia="方正黑体_GBK" w:cs="Times New Roman"/>
          <w:kern w:val="0"/>
          <w:sz w:val="32"/>
          <w:szCs w:val="32"/>
          <w:highlight w:val="none"/>
        </w:rPr>
        <w:t>附件</w:t>
      </w:r>
    </w:p>
    <w:p w14:paraId="1E9D4684">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kern w:val="0"/>
          <w:sz w:val="36"/>
          <w:szCs w:val="36"/>
          <w:highlight w:val="none"/>
          <w:lang w:val="en-US" w:eastAsia="zh-CN"/>
        </w:rPr>
      </w:pPr>
      <w:r>
        <w:rPr>
          <w:rFonts w:hint="default" w:ascii="Times New Roman" w:hAnsi="Times New Roman" w:eastAsia="方正小标宋_GBK" w:cs="Times New Roman"/>
          <w:kern w:val="0"/>
          <w:sz w:val="36"/>
          <w:szCs w:val="36"/>
          <w:highlight w:val="none"/>
          <w:lang w:val="en-US" w:eastAsia="zh-CN"/>
        </w:rPr>
        <w:t>黔江区冯家街道老旧小区配套基础设施改造项目</w:t>
      </w:r>
    </w:p>
    <w:p w14:paraId="3A27C020">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kern w:val="0"/>
          <w:sz w:val="36"/>
          <w:szCs w:val="36"/>
          <w:highlight w:val="none"/>
        </w:rPr>
      </w:pPr>
      <w:r>
        <w:rPr>
          <w:rFonts w:hint="default" w:ascii="Times New Roman" w:hAnsi="Times New Roman" w:eastAsia="方正小标宋_GBK" w:cs="Times New Roman"/>
          <w:kern w:val="0"/>
          <w:sz w:val="36"/>
          <w:szCs w:val="36"/>
          <w:highlight w:val="none"/>
          <w:lang w:val="zh-CN"/>
        </w:rPr>
        <w:t>投资估算表</w:t>
      </w:r>
    </w:p>
    <w:p w14:paraId="76758CF8">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kern w:val="0"/>
          <w:sz w:val="24"/>
          <w:szCs w:val="24"/>
          <w:highlight w:val="none"/>
          <w:lang w:eastAsia="zh-CN"/>
        </w:rPr>
      </w:pPr>
    </w:p>
    <w:tbl>
      <w:tblPr>
        <w:tblStyle w:val="13"/>
        <w:tblW w:w="8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5"/>
        <w:gridCol w:w="4635"/>
        <w:gridCol w:w="2946"/>
      </w:tblGrid>
      <w:tr w14:paraId="0D2BE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6D37">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序号</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2077">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名称</w:t>
            </w:r>
          </w:p>
        </w:tc>
        <w:tc>
          <w:tcPr>
            <w:tcW w:w="2946" w:type="dxa"/>
            <w:tcBorders>
              <w:top w:val="single" w:color="000000" w:sz="4" w:space="0"/>
              <w:left w:val="single" w:color="000000" w:sz="4" w:space="0"/>
              <w:right w:val="single" w:color="000000" w:sz="4" w:space="0"/>
            </w:tcBorders>
            <w:shd w:val="clear" w:color="auto" w:fill="auto"/>
            <w:vAlign w:val="center"/>
          </w:tcPr>
          <w:p w14:paraId="453FBBBF">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审定金额（万元）</w:t>
            </w:r>
          </w:p>
        </w:tc>
      </w:tr>
      <w:tr w14:paraId="6600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362A">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一</w:t>
            </w:r>
          </w:p>
        </w:tc>
        <w:tc>
          <w:tcPr>
            <w:tcW w:w="4635" w:type="dxa"/>
            <w:tcBorders>
              <w:top w:val="single" w:color="000000" w:sz="4" w:space="0"/>
              <w:left w:val="single" w:color="000000" w:sz="4" w:space="0"/>
              <w:bottom w:val="single" w:color="000000" w:sz="4" w:space="0"/>
            </w:tcBorders>
            <w:shd w:val="clear" w:color="auto" w:fill="auto"/>
            <w:vAlign w:val="center"/>
          </w:tcPr>
          <w:p w14:paraId="4C35D65B">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工程费用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0151">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3595.22 </w:t>
            </w:r>
          </w:p>
        </w:tc>
      </w:tr>
      <w:tr w14:paraId="4605A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849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74C60B64">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道路提升改造工程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03149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916.12 </w:t>
            </w:r>
          </w:p>
        </w:tc>
      </w:tr>
      <w:tr w14:paraId="5971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7617">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0CEE202D">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绿化整改提升工程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8A22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248.69 </w:t>
            </w:r>
          </w:p>
        </w:tc>
      </w:tr>
      <w:tr w14:paraId="5C6A1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0A1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419F301A">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供电设施改造工程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12A8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121.30 </w:t>
            </w:r>
          </w:p>
        </w:tc>
      </w:tr>
      <w:tr w14:paraId="49111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B5B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6C92C9AA">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管网设施改造工程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D229A">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409.60 </w:t>
            </w:r>
          </w:p>
        </w:tc>
      </w:tr>
      <w:tr w14:paraId="1702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BA4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22BBCF4D">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服务设施改造工程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87A8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1899.51 </w:t>
            </w:r>
          </w:p>
        </w:tc>
      </w:tr>
      <w:tr w14:paraId="1938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left w:val="single" w:color="000000" w:sz="4" w:space="0"/>
              <w:bottom w:val="single" w:color="000000" w:sz="4" w:space="0"/>
              <w:right w:val="single" w:color="000000" w:sz="4" w:space="0"/>
            </w:tcBorders>
            <w:shd w:val="clear" w:color="auto" w:fill="auto"/>
            <w:vAlign w:val="center"/>
          </w:tcPr>
          <w:p w14:paraId="209509EB">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二</w:t>
            </w:r>
          </w:p>
        </w:tc>
        <w:tc>
          <w:tcPr>
            <w:tcW w:w="4635" w:type="dxa"/>
            <w:tcBorders>
              <w:left w:val="single" w:color="000000" w:sz="4" w:space="0"/>
              <w:bottom w:val="single" w:color="000000" w:sz="4" w:space="0"/>
              <w:right w:val="single" w:color="000000" w:sz="4" w:space="0"/>
            </w:tcBorders>
            <w:shd w:val="clear" w:color="auto" w:fill="auto"/>
            <w:vAlign w:val="center"/>
          </w:tcPr>
          <w:p w14:paraId="06EDFAB0">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工程建设其他费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05D0">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361.06 </w:t>
            </w:r>
          </w:p>
        </w:tc>
      </w:tr>
      <w:tr w14:paraId="053F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25E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3F5EC0AF">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场地准备及临时设施费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270A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17.98 </w:t>
            </w:r>
          </w:p>
        </w:tc>
      </w:tr>
      <w:tr w14:paraId="0F013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54EA">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4A6979AF">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项目建设管理费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8A43A">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67.31 </w:t>
            </w:r>
          </w:p>
        </w:tc>
      </w:tr>
      <w:tr w14:paraId="36DD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4B72">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2839DF66">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工程建设监理费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153DD2">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61.12 </w:t>
            </w:r>
          </w:p>
        </w:tc>
      </w:tr>
      <w:tr w14:paraId="603B3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0F9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631D88ED">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招标代理服务费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60DD4E">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10.95 </w:t>
            </w:r>
          </w:p>
        </w:tc>
      </w:tr>
      <w:tr w14:paraId="5785A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1FE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573C69FF">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可行性研究费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9B52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14.90 </w:t>
            </w:r>
          </w:p>
        </w:tc>
      </w:tr>
      <w:tr w14:paraId="14D6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DE3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w:t>
            </w:r>
          </w:p>
        </w:tc>
        <w:tc>
          <w:tcPr>
            <w:tcW w:w="4635" w:type="dxa"/>
            <w:tcBorders>
              <w:top w:val="single" w:color="000000" w:sz="4" w:space="0"/>
              <w:left w:val="single" w:color="000000" w:sz="4" w:space="0"/>
              <w:bottom w:val="single" w:color="000000" w:sz="4" w:space="0"/>
            </w:tcBorders>
            <w:shd w:val="clear" w:color="FFFFFF" w:fill="FFFFFF"/>
            <w:vAlign w:val="center"/>
          </w:tcPr>
          <w:p w14:paraId="4D177F74">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工程勘察设计费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CF8C7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104.26 </w:t>
            </w:r>
          </w:p>
        </w:tc>
      </w:tr>
      <w:tr w14:paraId="73C8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B78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7</w:t>
            </w:r>
          </w:p>
        </w:tc>
        <w:tc>
          <w:tcPr>
            <w:tcW w:w="4635" w:type="dxa"/>
            <w:tcBorders>
              <w:top w:val="single" w:color="000000" w:sz="4" w:space="0"/>
              <w:left w:val="single" w:color="000000" w:sz="4" w:space="0"/>
              <w:bottom w:val="single" w:color="000000" w:sz="4" w:space="0"/>
            </w:tcBorders>
            <w:shd w:val="clear" w:color="FFFFFF" w:fill="FFFFFF"/>
            <w:vAlign w:val="center"/>
          </w:tcPr>
          <w:p w14:paraId="67A03590">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施工图审查费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7890A">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8.63 </w:t>
            </w:r>
          </w:p>
        </w:tc>
      </w:tr>
      <w:tr w14:paraId="0B15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B2B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8</w:t>
            </w:r>
          </w:p>
        </w:tc>
        <w:tc>
          <w:tcPr>
            <w:tcW w:w="4635" w:type="dxa"/>
            <w:tcBorders>
              <w:top w:val="single" w:color="000000" w:sz="4" w:space="0"/>
              <w:left w:val="single" w:color="000000" w:sz="4" w:space="0"/>
              <w:bottom w:val="single" w:color="000000" w:sz="4" w:space="0"/>
            </w:tcBorders>
            <w:shd w:val="clear" w:color="FFFFFF" w:fill="FFFFFF"/>
            <w:vAlign w:val="center"/>
          </w:tcPr>
          <w:p w14:paraId="6FD016BB">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工程造价咨询费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B9DF77">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41.46 </w:t>
            </w:r>
          </w:p>
        </w:tc>
      </w:tr>
      <w:tr w14:paraId="7EC3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36D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9</w:t>
            </w:r>
          </w:p>
        </w:tc>
        <w:tc>
          <w:tcPr>
            <w:tcW w:w="4635" w:type="dxa"/>
            <w:tcBorders>
              <w:top w:val="single" w:color="000000" w:sz="4" w:space="0"/>
              <w:left w:val="single" w:color="000000" w:sz="4" w:space="0"/>
              <w:bottom w:val="single" w:color="000000" w:sz="4" w:space="0"/>
            </w:tcBorders>
            <w:shd w:val="clear" w:color="FFFFFF" w:fill="FFFFFF"/>
            <w:vAlign w:val="center"/>
          </w:tcPr>
          <w:p w14:paraId="2541AEBA">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环境影响评价费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5C208">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5.68 </w:t>
            </w:r>
          </w:p>
        </w:tc>
      </w:tr>
      <w:tr w14:paraId="31DE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C3E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10</w:t>
            </w:r>
          </w:p>
        </w:tc>
        <w:tc>
          <w:tcPr>
            <w:tcW w:w="4635" w:type="dxa"/>
            <w:tcBorders>
              <w:top w:val="single" w:color="000000" w:sz="4" w:space="0"/>
              <w:left w:val="single" w:color="000000" w:sz="4" w:space="0"/>
              <w:bottom w:val="single" w:color="000000" w:sz="4" w:space="0"/>
            </w:tcBorders>
            <w:shd w:val="clear" w:color="FFFFFF" w:fill="FFFFFF"/>
            <w:vAlign w:val="center"/>
          </w:tcPr>
          <w:p w14:paraId="2C6AAAB5">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工程保险费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3284DE">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10.79 </w:t>
            </w:r>
          </w:p>
        </w:tc>
      </w:tr>
      <w:tr w14:paraId="6275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D22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11</w:t>
            </w:r>
          </w:p>
        </w:tc>
        <w:tc>
          <w:tcPr>
            <w:tcW w:w="4635" w:type="dxa"/>
            <w:tcBorders>
              <w:top w:val="single" w:color="000000" w:sz="4" w:space="0"/>
              <w:left w:val="single" w:color="000000" w:sz="4" w:space="0"/>
              <w:bottom w:val="single" w:color="000000" w:sz="4" w:space="0"/>
            </w:tcBorders>
            <w:shd w:val="clear" w:color="FFFFFF" w:fill="FFFFFF"/>
            <w:vAlign w:val="center"/>
          </w:tcPr>
          <w:p w14:paraId="36A3182D">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安全生产保障费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1A348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17.98 </w:t>
            </w:r>
          </w:p>
        </w:tc>
      </w:tr>
      <w:tr w14:paraId="248D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5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6F10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第一、二部分费用总和</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4C95E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2"/>
                <w:szCs w:val="22"/>
                <w:u w:val="none"/>
                <w:lang w:val="en-US" w:eastAsia="zh-CN" w:bidi="ar"/>
              </w:rPr>
              <w:t xml:space="preserve">3956.28 </w:t>
            </w:r>
          </w:p>
        </w:tc>
      </w:tr>
      <w:tr w14:paraId="4B4F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6B7F">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三</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FEAA">
            <w:pPr>
              <w:keepNext w:val="0"/>
              <w:keepLines w:val="0"/>
              <w:widowControl/>
              <w:suppressLineNumbers w:val="0"/>
              <w:jc w:val="center"/>
              <w:textAlignment w:val="center"/>
            </w:pPr>
            <w:r>
              <w:rPr>
                <w:rFonts w:hint="eastAsia" w:ascii="方正楷体_GBK" w:hAnsi="方正楷体_GBK" w:eastAsia="方正楷体_GBK" w:cs="方正楷体_GBK"/>
                <w:b/>
                <w:i w:val="0"/>
                <w:color w:val="000000"/>
                <w:kern w:val="0"/>
                <w:sz w:val="24"/>
                <w:szCs w:val="24"/>
                <w:u w:val="none"/>
                <w:lang w:val="en-US" w:eastAsia="zh-CN" w:bidi="ar"/>
              </w:rPr>
              <w:t>预备费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CD113">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eastAsia" w:ascii="方正楷体_GBK" w:hAnsi="方正楷体_GBK" w:eastAsia="方正楷体_GBK" w:cs="方正楷体_GBK"/>
                <w:b/>
                <w:i w:val="0"/>
                <w:color w:val="000000"/>
                <w:kern w:val="0"/>
                <w:sz w:val="22"/>
                <w:szCs w:val="22"/>
                <w:u w:val="none"/>
                <w:lang w:val="en-US" w:eastAsia="zh-CN" w:bidi="ar"/>
              </w:rPr>
              <w:t xml:space="preserve">197.81 </w:t>
            </w:r>
          </w:p>
        </w:tc>
      </w:tr>
      <w:tr w14:paraId="4568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1A01">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四</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35BB">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估算总投资</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795F4C">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eastAsia" w:ascii="方正楷体_GBK" w:hAnsi="方正楷体_GBK" w:eastAsia="方正楷体_GBK" w:cs="方正楷体_GBK"/>
                <w:b/>
                <w:i w:val="0"/>
                <w:color w:val="000000"/>
                <w:kern w:val="0"/>
                <w:sz w:val="24"/>
                <w:szCs w:val="24"/>
                <w:u w:val="none"/>
                <w:lang w:val="en-US" w:eastAsia="zh-CN" w:bidi="ar"/>
              </w:rPr>
              <w:t xml:space="preserve">4154.09 </w:t>
            </w:r>
          </w:p>
        </w:tc>
      </w:tr>
    </w:tbl>
    <w:p w14:paraId="1ABFD07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cs="Times New Roman"/>
          <w:highlight w:val="none"/>
        </w:rPr>
      </w:pPr>
    </w:p>
    <w:p w14:paraId="78E45BDA"/>
    <w:p w14:paraId="330A0EAC">
      <w:pPr>
        <w:pStyle w:val="2"/>
      </w:pPr>
    </w:p>
    <w:p w14:paraId="658E2B80">
      <w:pPr>
        <w:pStyle w:val="3"/>
      </w:pPr>
    </w:p>
    <w:p w14:paraId="03EDD429"/>
    <w:p w14:paraId="2BC65B87">
      <w:pPr>
        <w:pStyle w:val="2"/>
      </w:pPr>
    </w:p>
    <w:p w14:paraId="251E959C">
      <w:pPr>
        <w:pStyle w:val="3"/>
      </w:pPr>
    </w:p>
    <w:p w14:paraId="59DE05B2"/>
    <w:p w14:paraId="74EC1A97">
      <w:pPr>
        <w:pStyle w:val="2"/>
      </w:pPr>
    </w:p>
    <w:p w14:paraId="196E4E18">
      <w:pPr>
        <w:pStyle w:val="3"/>
      </w:pPr>
    </w:p>
    <w:p w14:paraId="27482073"/>
    <w:p w14:paraId="257293DE">
      <w:pPr>
        <w:pStyle w:val="2"/>
      </w:pPr>
    </w:p>
    <w:p w14:paraId="72E4F04E">
      <w:bookmarkStart w:id="0" w:name="_GoBack"/>
      <w:bookmarkEnd w:id="0"/>
    </w:p>
    <w:p w14:paraId="728A6BB9">
      <w:pPr>
        <w:pStyle w:val="3"/>
      </w:pPr>
    </w:p>
    <w:p w14:paraId="0FA8645A">
      <w:pPr>
        <w:pStyle w:val="2"/>
      </w:pPr>
    </w:p>
    <w:p w14:paraId="059CEDDA">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1300F9B5">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61674513">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F1FD">
    <w:pPr>
      <w:pStyle w:val="10"/>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5BF44625">
    <w:pPr>
      <w:pStyle w:val="10"/>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1B30">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28F17F9"/>
    <w:rsid w:val="05C83A13"/>
    <w:rsid w:val="0667064D"/>
    <w:rsid w:val="07B06523"/>
    <w:rsid w:val="097D3A1F"/>
    <w:rsid w:val="09FA769E"/>
    <w:rsid w:val="0A147769"/>
    <w:rsid w:val="0A5B12BC"/>
    <w:rsid w:val="0B7A378A"/>
    <w:rsid w:val="0C141BC7"/>
    <w:rsid w:val="0C4A4FFD"/>
    <w:rsid w:val="0CFC0645"/>
    <w:rsid w:val="0D37421D"/>
    <w:rsid w:val="0D425D87"/>
    <w:rsid w:val="0D9232F6"/>
    <w:rsid w:val="0E090617"/>
    <w:rsid w:val="14CA633F"/>
    <w:rsid w:val="151D3100"/>
    <w:rsid w:val="15636F5B"/>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4F4584B"/>
    <w:rsid w:val="250A598D"/>
    <w:rsid w:val="254A0970"/>
    <w:rsid w:val="257A093C"/>
    <w:rsid w:val="26665275"/>
    <w:rsid w:val="26A308B8"/>
    <w:rsid w:val="26B916B0"/>
    <w:rsid w:val="28D139F4"/>
    <w:rsid w:val="291927B7"/>
    <w:rsid w:val="29E472ED"/>
    <w:rsid w:val="2AD46A97"/>
    <w:rsid w:val="2B094DE5"/>
    <w:rsid w:val="2B383B20"/>
    <w:rsid w:val="2B7E34FB"/>
    <w:rsid w:val="2C5772AA"/>
    <w:rsid w:val="2CEF100B"/>
    <w:rsid w:val="2E801A58"/>
    <w:rsid w:val="2F1523C9"/>
    <w:rsid w:val="304920DF"/>
    <w:rsid w:val="30CC2C3C"/>
    <w:rsid w:val="31A56320"/>
    <w:rsid w:val="329611F7"/>
    <w:rsid w:val="32A50F33"/>
    <w:rsid w:val="32D300BF"/>
    <w:rsid w:val="32F04218"/>
    <w:rsid w:val="339A574D"/>
    <w:rsid w:val="343455C9"/>
    <w:rsid w:val="351152EB"/>
    <w:rsid w:val="35E849AF"/>
    <w:rsid w:val="38657C26"/>
    <w:rsid w:val="39705D78"/>
    <w:rsid w:val="397671E0"/>
    <w:rsid w:val="398C37FF"/>
    <w:rsid w:val="3A5C509D"/>
    <w:rsid w:val="3E9905B9"/>
    <w:rsid w:val="3EF47EDA"/>
    <w:rsid w:val="3FED15ED"/>
    <w:rsid w:val="40CB4FDA"/>
    <w:rsid w:val="41B542C3"/>
    <w:rsid w:val="41BE7770"/>
    <w:rsid w:val="42BC4BDD"/>
    <w:rsid w:val="42F57923"/>
    <w:rsid w:val="439C7BEA"/>
    <w:rsid w:val="44EA464F"/>
    <w:rsid w:val="45105EDB"/>
    <w:rsid w:val="485311A6"/>
    <w:rsid w:val="487D33E1"/>
    <w:rsid w:val="48876104"/>
    <w:rsid w:val="490948F4"/>
    <w:rsid w:val="497E790A"/>
    <w:rsid w:val="4BF61160"/>
    <w:rsid w:val="4F41146A"/>
    <w:rsid w:val="4F735634"/>
    <w:rsid w:val="4FA80033"/>
    <w:rsid w:val="50575F45"/>
    <w:rsid w:val="50A469FF"/>
    <w:rsid w:val="534C1EA2"/>
    <w:rsid w:val="534E1E00"/>
    <w:rsid w:val="53901E9A"/>
    <w:rsid w:val="54870E45"/>
    <w:rsid w:val="55087A4C"/>
    <w:rsid w:val="5621502B"/>
    <w:rsid w:val="581F2BBB"/>
    <w:rsid w:val="5B4D5604"/>
    <w:rsid w:val="5B985278"/>
    <w:rsid w:val="5C7C31E9"/>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0141305"/>
    <w:rsid w:val="71E628B1"/>
    <w:rsid w:val="722929DF"/>
    <w:rsid w:val="72AF5315"/>
    <w:rsid w:val="742B5A1B"/>
    <w:rsid w:val="76E535BA"/>
    <w:rsid w:val="77C816DC"/>
    <w:rsid w:val="78624336"/>
    <w:rsid w:val="798F3B70"/>
    <w:rsid w:val="79BC4EE7"/>
    <w:rsid w:val="7A494110"/>
    <w:rsid w:val="7A757CD5"/>
    <w:rsid w:val="7A9639EB"/>
    <w:rsid w:val="7AED1855"/>
    <w:rsid w:val="7C0A2E6F"/>
    <w:rsid w:val="7CE16A13"/>
    <w:rsid w:val="7EA877E8"/>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5">
    <w:name w:val="Body Text Indent"/>
    <w:basedOn w:val="1"/>
    <w:qFormat/>
    <w:uiPriority w:val="0"/>
    <w:pPr>
      <w:ind w:firstLine="640" w:firstLineChars="200"/>
    </w:pPr>
    <w:rPr>
      <w:rFonts w:eastAsia="仿宋_GB2312"/>
      <w:sz w:val="32"/>
    </w:rPr>
  </w:style>
  <w:style w:type="paragraph" w:styleId="6">
    <w:name w:val="toc 5"/>
    <w:basedOn w:val="1"/>
    <w:next w:val="1"/>
    <w:qFormat/>
    <w:uiPriority w:val="0"/>
    <w:pPr>
      <w:ind w:left="840"/>
    </w:pPr>
    <w:rPr>
      <w:sz w:val="18"/>
      <w:szCs w:val="18"/>
    </w:rPr>
  </w:style>
  <w:style w:type="paragraph" w:styleId="7">
    <w:name w:val="Plain Text"/>
    <w:basedOn w:val="1"/>
    <w:unhideWhenUsed/>
    <w:qFormat/>
    <w:uiPriority w:val="99"/>
    <w:rPr>
      <w:rFonts w:ascii="宋体" w:hAnsi="Courier New"/>
    </w:rPr>
  </w:style>
  <w:style w:type="paragraph" w:styleId="8">
    <w:name w:val="Body Text Indent 2"/>
    <w:basedOn w:val="1"/>
    <w:qFormat/>
    <w:uiPriority w:val="0"/>
    <w:pPr>
      <w:ind w:firstLine="645"/>
    </w:pPr>
    <w:rPr>
      <w:rFonts w:ascii="黑体" w:eastAsia="黑体"/>
      <w:sz w:val="32"/>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2"/>
    <w:unhideWhenUsed/>
    <w:qFormat/>
    <w:uiPriority w:val="99"/>
    <w:pPr>
      <w:ind w:firstLine="420" w:firstLineChars="1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qFormat/>
    <w:uiPriority w:val="0"/>
  </w:style>
  <w:style w:type="character" w:customStyle="1" w:styleId="18">
    <w:name w:val="页眉 Char"/>
    <w:link w:val="11"/>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5</Pages>
  <Words>1140</Words>
  <Characters>1340</Characters>
  <Lines>11</Lines>
  <Paragraphs>3</Paragraphs>
  <TotalTime>1</TotalTime>
  <ScaleCrop>false</ScaleCrop>
  <LinksUpToDate>false</LinksUpToDate>
  <CharactersWithSpaces>1473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2025-12-22T03:16:00Z</cp:lastPrinted>
  <dcterms:modified xsi:type="dcterms:W3CDTF">2025-12-31T09:22:52Z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