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247</w:t>
      </w:r>
      <w:r>
        <w:rPr>
          <w:rFonts w:eastAsia="方正仿宋_GBK"/>
          <w:sz w:val="32"/>
          <w:szCs w:val="32"/>
        </w:rPr>
        <w:t>号</w:t>
      </w:r>
    </w:p>
    <w:p w14:paraId="4F39DB1E">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7BE38109">
      <w:pPr>
        <w:spacing w:line="560" w:lineRule="exact"/>
        <w:jc w:val="center"/>
        <w:rPr>
          <w:rFonts w:eastAsia="方正小标宋_GBK"/>
          <w:sz w:val="44"/>
          <w:szCs w:val="44"/>
        </w:rPr>
      </w:pPr>
      <w:r>
        <w:rPr>
          <w:rFonts w:eastAsia="方正小标宋_GBK"/>
          <w:sz w:val="44"/>
          <w:szCs w:val="44"/>
        </w:rPr>
        <w:t>关于黔江区城市危旧房、预制板房、地震易发区房屋改造解危加固工程（一期）可行性研究报告的批复</w:t>
      </w:r>
    </w:p>
    <w:p w14:paraId="58CDB874">
      <w:pPr>
        <w:spacing w:line="560" w:lineRule="exact"/>
        <w:ind w:right="23" w:rightChars="11" w:firstLine="110" w:firstLineChars="50"/>
        <w:rPr>
          <w:sz w:val="22"/>
          <w:szCs w:val="36"/>
        </w:rPr>
      </w:pPr>
    </w:p>
    <w:p w14:paraId="491025FC">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区住房城乡建委</w:t>
      </w:r>
      <w:r>
        <w:rPr>
          <w:rFonts w:hint="eastAsia" w:ascii="方正仿宋_GBK" w:hAnsi="方正仿宋_GBK" w:eastAsia="方正仿宋_GBK" w:cs="方正仿宋_GBK"/>
          <w:sz w:val="32"/>
          <w:szCs w:val="32"/>
        </w:rPr>
        <w:t>：</w:t>
      </w:r>
    </w:p>
    <w:p w14:paraId="07DC6168">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关于审查黔江区城市危旧房、预制板房、地震易发区房屋改造解危加固工程（一期）可行性研究报告的函（黔江建函〔2025〕312号）》收悉，结合区政府投资项目前期工作服务中心的评审意见，经研究，同意实施黔江区城市危旧房、预制板房、地震易发区房屋改造解危加固工程（一期）（项目代码：</w:t>
      </w:r>
      <w:r>
        <w:rPr>
          <w:rFonts w:hint="default" w:ascii="Times New Roman" w:hAnsi="Times New Roman" w:eastAsia="方正仿宋_GBK" w:cs="Times New Roman"/>
          <w:color w:val="000000"/>
          <w:sz w:val="32"/>
          <w:szCs w:val="32"/>
        </w:rPr>
        <w:t>2512-500114-04-01-695581</w:t>
      </w:r>
      <w:r>
        <w:rPr>
          <w:rFonts w:hint="default" w:ascii="Times New Roman" w:hAnsi="Times New Roman" w:eastAsia="方正仿宋_GBK" w:cs="Times New Roman"/>
          <w:sz w:val="32"/>
          <w:szCs w:val="32"/>
        </w:rPr>
        <w:t>）。现将该项目可行性研究报告批复如下：</w:t>
      </w:r>
    </w:p>
    <w:p w14:paraId="509CB5B2">
      <w:pPr>
        <w:keepNext w:val="0"/>
        <w:keepLines w:val="0"/>
        <w:pageBreakBefore w:val="0"/>
        <w:widowControl w:val="0"/>
        <w:numPr>
          <w:numId w:val="0"/>
        </w:numPr>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项目业主：</w:t>
      </w:r>
      <w:r>
        <w:rPr>
          <w:rFonts w:hint="default" w:ascii="Times New Roman" w:hAnsi="Times New Roman" w:eastAsia="方正仿宋_GBK" w:cs="Times New Roman"/>
          <w:color w:val="000000"/>
          <w:sz w:val="32"/>
          <w:szCs w:val="32"/>
        </w:rPr>
        <w:t>重庆市黔江区住房和城乡建设委员会</w:t>
      </w:r>
    </w:p>
    <w:p w14:paraId="01ECBB66">
      <w:pPr>
        <w:keepNext w:val="0"/>
        <w:keepLines w:val="0"/>
        <w:pageBreakBefore w:val="0"/>
        <w:widowControl w:val="0"/>
        <w:kinsoku/>
        <w:wordWrap/>
        <w:overflowPunct/>
        <w:topLinePunct w:val="0"/>
        <w:autoSpaceDE/>
        <w:autoSpaceDN/>
        <w:bidi w:val="0"/>
        <w:spacing w:line="575" w:lineRule="exact"/>
        <w:ind w:firstLine="1280" w:firstLineChars="400"/>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sz w:val="32"/>
          <w:szCs w:val="32"/>
        </w:rPr>
        <w:t>代建单位：</w:t>
      </w:r>
      <w:r>
        <w:rPr>
          <w:rFonts w:hint="default" w:ascii="Times New Roman" w:hAnsi="Times New Roman" w:eastAsia="方正仿宋_GBK" w:cs="Times New Roman"/>
          <w:color w:val="000000"/>
          <w:sz w:val="32"/>
          <w:szCs w:val="32"/>
        </w:rPr>
        <w:t>重庆市枳丹石城市建设开发有限公司</w:t>
      </w:r>
    </w:p>
    <w:p w14:paraId="7FD4F2A6">
      <w:pPr>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sz w:val="32"/>
          <w:szCs w:val="32"/>
        </w:rPr>
        <w:t xml:space="preserve"> 二、建设地点：</w:t>
      </w:r>
      <w:r>
        <w:rPr>
          <w:rFonts w:hint="default" w:ascii="Times New Roman" w:hAnsi="Times New Roman" w:eastAsia="方正仿宋_GBK" w:cs="Times New Roman"/>
          <w:sz w:val="32"/>
          <w:szCs w:val="32"/>
        </w:rPr>
        <w:t>黔江城区</w:t>
      </w:r>
    </w:p>
    <w:p w14:paraId="6D3208A0">
      <w:pPr>
        <w:pStyle w:val="2"/>
        <w:keepNext w:val="0"/>
        <w:keepLines w:val="0"/>
        <w:pageBreakBefore w:val="0"/>
        <w:widowControl w:val="0"/>
        <w:kinsoku/>
        <w:wordWrap/>
        <w:overflowPunct/>
        <w:topLinePunct w:val="0"/>
        <w:autoSpaceDE/>
        <w:autoSpaceDN/>
        <w:bidi w:val="0"/>
        <w:spacing w:after="0"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三、主要建设内容及规模：</w:t>
      </w:r>
      <w:r>
        <w:rPr>
          <w:rFonts w:hint="default" w:ascii="Times New Roman" w:hAnsi="Times New Roman" w:eastAsia="方正仿宋_GBK" w:cs="Times New Roman"/>
          <w:sz w:val="32"/>
          <w:szCs w:val="32"/>
        </w:rPr>
        <w:t>对黔江区政府所属产权约11000平方米城市危旧房、预制板房、地震易发区房屋进行拆除重建，并对片区约5620平方米环境进行整治。主要建设内容包括拆除工程、主体工程、安装工程、总图工程、环境整治工程等。</w:t>
      </w:r>
    </w:p>
    <w:p w14:paraId="583B5FFB">
      <w:pPr>
        <w:pStyle w:val="2"/>
        <w:keepNext w:val="0"/>
        <w:keepLines w:val="0"/>
        <w:pageBreakBefore w:val="0"/>
        <w:widowControl w:val="0"/>
        <w:kinsoku/>
        <w:wordWrap/>
        <w:overflowPunct/>
        <w:topLinePunct w:val="0"/>
        <w:autoSpaceDE/>
        <w:autoSpaceDN/>
        <w:bidi w:val="0"/>
        <w:spacing w:after="0" w:line="575" w:lineRule="exact"/>
        <w:ind w:left="40" w:right="116" w:firstLine="639"/>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四、项目总投资及资金来源：</w:t>
      </w:r>
      <w:r>
        <w:rPr>
          <w:rFonts w:hint="default" w:ascii="Times New Roman" w:hAnsi="Times New Roman" w:eastAsia="方正仿宋_GBK" w:cs="Times New Roman"/>
          <w:sz w:val="32"/>
          <w:szCs w:val="32"/>
        </w:rPr>
        <w:t>项目估算总投资</w:t>
      </w:r>
      <w:r>
        <w:rPr>
          <w:rFonts w:hint="default" w:ascii="Times New Roman" w:hAnsi="Times New Roman" w:eastAsia="方正仿宋_GBK" w:cs="Times New Roman"/>
          <w:sz w:val="32"/>
          <w:szCs w:val="32"/>
          <w:lang w:val="en-US" w:eastAsia="zh-CN"/>
        </w:rPr>
        <w:t xml:space="preserve">4787.94 </w:t>
      </w:r>
      <w:r>
        <w:rPr>
          <w:rFonts w:hint="default" w:ascii="Times New Roman" w:hAnsi="Times New Roman" w:eastAsia="方正仿宋_GBK" w:cs="Times New Roman"/>
          <w:sz w:val="32"/>
          <w:szCs w:val="32"/>
        </w:rPr>
        <w:t>万元，其中：工程费用4146.80万元，工程建设其他费用</w:t>
      </w:r>
      <w:r>
        <w:rPr>
          <w:rFonts w:hint="default" w:ascii="Times New Roman" w:hAnsi="Times New Roman" w:eastAsia="方正仿宋_GBK" w:cs="Times New Roman"/>
          <w:sz w:val="32"/>
          <w:szCs w:val="32"/>
          <w:lang w:val="en-US" w:eastAsia="zh-CN"/>
        </w:rPr>
        <w:t xml:space="preserve">413.14 </w:t>
      </w:r>
      <w:r>
        <w:rPr>
          <w:rFonts w:hint="default" w:ascii="Times New Roman" w:hAnsi="Times New Roman" w:eastAsia="方正仿宋_GBK" w:cs="Times New Roman"/>
          <w:sz w:val="32"/>
          <w:szCs w:val="32"/>
        </w:rPr>
        <w:t>万元，预备费</w:t>
      </w:r>
      <w:r>
        <w:rPr>
          <w:rFonts w:hint="default" w:ascii="Times New Roman" w:hAnsi="Times New Roman" w:eastAsia="方正仿宋_GBK" w:cs="Times New Roman"/>
          <w:sz w:val="32"/>
          <w:szCs w:val="32"/>
          <w:lang w:val="en-US" w:eastAsia="zh-CN"/>
        </w:rPr>
        <w:t xml:space="preserve">228.00 </w:t>
      </w:r>
      <w:r>
        <w:rPr>
          <w:rFonts w:hint="default" w:ascii="Times New Roman" w:hAnsi="Times New Roman" w:eastAsia="方正仿宋_GBK" w:cs="Times New Roman"/>
          <w:sz w:val="32"/>
          <w:szCs w:val="32"/>
        </w:rPr>
        <w:t>万元。资金来源为申请国市补助资金，不足部分业主自筹。</w:t>
      </w:r>
    </w:p>
    <w:p w14:paraId="666850AC">
      <w:pPr>
        <w:pStyle w:val="5"/>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五、建设工期：</w:t>
      </w:r>
      <w:r>
        <w:rPr>
          <w:rFonts w:hint="default" w:ascii="Times New Roman" w:hAnsi="Times New Roman" w:eastAsia="方正仿宋_GBK" w:cs="Times New Roman"/>
          <w:sz w:val="32"/>
          <w:szCs w:val="32"/>
        </w:rPr>
        <w:t>24个月。</w:t>
      </w:r>
    </w:p>
    <w:p w14:paraId="7F1AA3D6">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按照招标投标法相关规定，依法必须招标的，招标方式为公开招标，招标组织形式为委托招标。招标公告在指定媒介公开发布。</w:t>
      </w:r>
    </w:p>
    <w:p w14:paraId="14BFA5B7">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7C415871">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p>
    <w:p w14:paraId="56A3277B">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附件：黔江区城市危旧房、预制板房、地震易发区房屋改造</w:t>
      </w:r>
    </w:p>
    <w:p w14:paraId="53198F10">
      <w:pPr>
        <w:keepNext w:val="0"/>
        <w:keepLines w:val="0"/>
        <w:pageBreakBefore w:val="0"/>
        <w:widowControl w:val="0"/>
        <w:kinsoku/>
        <w:wordWrap/>
        <w:overflowPunct/>
        <w:topLinePunct w:val="0"/>
        <w:autoSpaceDE/>
        <w:autoSpaceDN/>
        <w:bidi w:val="0"/>
        <w:adjustRightInd w:val="0"/>
        <w:snapToGrid w:val="0"/>
        <w:spacing w:line="575"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解危加固工程投资估算表</w:t>
      </w:r>
    </w:p>
    <w:p w14:paraId="35A2A118">
      <w:pPr>
        <w:adjustRightInd w:val="0"/>
        <w:snapToGrid w:val="0"/>
        <w:spacing w:line="560" w:lineRule="exact"/>
        <w:rPr>
          <w:rFonts w:hint="default" w:ascii="Times New Roman" w:hAnsi="Times New Roman" w:cs="Times New Roman"/>
          <w:bCs/>
          <w:szCs w:val="32"/>
        </w:rPr>
      </w:pPr>
    </w:p>
    <w:p w14:paraId="5DAB7FB7">
      <w:pPr>
        <w:pStyle w:val="2"/>
        <w:rPr>
          <w:rFonts w:hint="default"/>
        </w:rPr>
      </w:pPr>
    </w:p>
    <w:p w14:paraId="114ABFBB">
      <w:pPr>
        <w:pStyle w:val="5"/>
        <w:spacing w:line="560" w:lineRule="exact"/>
        <w:ind w:firstLine="3520" w:firstLineChars="1100"/>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重庆市黔江区发展和改革委员会</w:t>
      </w:r>
    </w:p>
    <w:p w14:paraId="213993B3">
      <w:pPr>
        <w:pStyle w:val="5"/>
        <w:spacing w:line="560" w:lineRule="exact"/>
        <w:ind w:firstLine="4480" w:firstLineChars="1400"/>
        <w:rPr>
          <w:rFonts w:eastAsia="方正仿宋_GBK"/>
          <w:bCs/>
          <w:szCs w:val="32"/>
        </w:rPr>
      </w:pPr>
      <w:r>
        <w:rPr>
          <w:rFonts w:hint="default" w:ascii="Times New Roman" w:hAnsi="Times New Roman" w:eastAsia="方正仿宋_GBK" w:cs="Times New Roman"/>
          <w:bCs/>
          <w:szCs w:val="32"/>
        </w:rPr>
        <w:t>2025年12月26</w:t>
      </w:r>
      <w:r>
        <w:rPr>
          <w:rFonts w:eastAsia="方正仿宋_GBK"/>
          <w:bCs/>
          <w:szCs w:val="32"/>
        </w:rPr>
        <w:t>日</w:t>
      </w:r>
    </w:p>
    <w:p w14:paraId="677D6469">
      <w:pPr>
        <w:pStyle w:val="19"/>
        <w:spacing w:line="600" w:lineRule="exact"/>
        <w:rPr>
          <w:rFonts w:ascii="Times New Roman" w:hAnsi="Times New Roman" w:eastAsia="方正仿宋_GBK" w:cs="Times New Roman"/>
          <w:sz w:val="28"/>
          <w:szCs w:val="28"/>
        </w:rPr>
      </w:pPr>
    </w:p>
    <w:p w14:paraId="4032A7BD">
      <w:pPr>
        <w:pStyle w:val="19"/>
        <w:spacing w:line="600" w:lineRule="exact"/>
        <w:rPr>
          <w:rFonts w:ascii="Times New Roman" w:hAnsi="Times New Roman" w:eastAsia="方正黑体_GBK" w:cs="Times New Roman"/>
          <w:sz w:val="28"/>
          <w:szCs w:val="28"/>
        </w:rPr>
      </w:pPr>
    </w:p>
    <w:p w14:paraId="2DC27AE0">
      <w:pPr>
        <w:pStyle w:val="19"/>
        <w:spacing w:line="600" w:lineRule="exact"/>
        <w:rPr>
          <w:rFonts w:ascii="Times New Roman" w:hAnsi="Times New Roman" w:eastAsia="方正黑体_GBK" w:cs="Times New Roman"/>
          <w:sz w:val="28"/>
          <w:szCs w:val="28"/>
        </w:rPr>
      </w:pPr>
    </w:p>
    <w:p w14:paraId="33835113">
      <w:pPr>
        <w:pStyle w:val="19"/>
        <w:spacing w:line="600" w:lineRule="exact"/>
        <w:rPr>
          <w:rFonts w:ascii="Times New Roman" w:hAnsi="Times New Roman" w:eastAsia="方正黑体_GBK" w:cs="Times New Roman"/>
          <w:sz w:val="28"/>
          <w:szCs w:val="28"/>
        </w:rPr>
      </w:pPr>
    </w:p>
    <w:p w14:paraId="47F33D9F">
      <w:pPr>
        <w:pStyle w:val="19"/>
        <w:spacing w:line="600" w:lineRule="exact"/>
        <w:rPr>
          <w:rFonts w:ascii="Times New Roman" w:hAnsi="Times New Roman" w:eastAsia="方正黑体_GBK" w:cs="Times New Roman"/>
          <w:sz w:val="28"/>
          <w:szCs w:val="28"/>
        </w:rPr>
      </w:pPr>
    </w:p>
    <w:p w14:paraId="6FB61797">
      <w:pPr>
        <w:pStyle w:val="19"/>
        <w:spacing w:line="600" w:lineRule="exact"/>
        <w:rPr>
          <w:rFonts w:ascii="Times New Roman" w:hAnsi="Times New Roman" w:eastAsia="方正黑体_GBK" w:cs="Times New Roman"/>
          <w:sz w:val="28"/>
          <w:szCs w:val="28"/>
        </w:rPr>
      </w:pPr>
    </w:p>
    <w:p w14:paraId="2E3C96E8">
      <w:pPr>
        <w:pStyle w:val="19"/>
        <w:spacing w:line="600" w:lineRule="exact"/>
        <w:rPr>
          <w:rFonts w:ascii="Times New Roman" w:hAnsi="Times New Roman" w:eastAsia="方正黑体_GBK" w:cs="Times New Roman"/>
          <w:sz w:val="28"/>
          <w:szCs w:val="28"/>
        </w:rPr>
      </w:pPr>
    </w:p>
    <w:p w14:paraId="236E68C6">
      <w:pPr>
        <w:pStyle w:val="19"/>
        <w:spacing w:line="600" w:lineRule="exact"/>
        <w:rPr>
          <w:rFonts w:ascii="Times New Roman" w:hAnsi="Times New Roman" w:eastAsia="方正黑体_GBK" w:cs="Times New Roman"/>
          <w:sz w:val="28"/>
          <w:szCs w:val="28"/>
        </w:rPr>
      </w:pPr>
    </w:p>
    <w:p w14:paraId="60671628">
      <w:pPr>
        <w:pStyle w:val="19"/>
        <w:spacing w:line="600" w:lineRule="exact"/>
        <w:rPr>
          <w:rFonts w:ascii="Times New Roman" w:hAnsi="Times New Roman" w:eastAsia="方正黑体_GBK" w:cs="Times New Roman"/>
          <w:sz w:val="28"/>
          <w:szCs w:val="28"/>
        </w:rPr>
      </w:pPr>
    </w:p>
    <w:p w14:paraId="0B4A0D46">
      <w:pPr>
        <w:pStyle w:val="19"/>
        <w:spacing w:line="600" w:lineRule="exact"/>
        <w:rPr>
          <w:rFonts w:ascii="Times New Roman" w:hAnsi="Times New Roman" w:eastAsia="方正黑体_GBK" w:cs="Times New Roman"/>
          <w:sz w:val="28"/>
          <w:szCs w:val="28"/>
        </w:rPr>
      </w:pPr>
    </w:p>
    <w:p w14:paraId="4BC1E974">
      <w:pPr>
        <w:pStyle w:val="19"/>
        <w:spacing w:line="600" w:lineRule="exact"/>
        <w:rPr>
          <w:rFonts w:ascii="Times New Roman" w:hAnsi="Times New Roman" w:eastAsia="方正黑体_GBK" w:cs="Times New Roman"/>
          <w:sz w:val="28"/>
          <w:szCs w:val="28"/>
        </w:rPr>
      </w:pPr>
    </w:p>
    <w:p w14:paraId="4BF4A362">
      <w:pPr>
        <w:pStyle w:val="19"/>
        <w:spacing w:line="600" w:lineRule="exact"/>
        <w:rPr>
          <w:rFonts w:ascii="Times New Roman" w:hAnsi="Times New Roman" w:eastAsia="方正黑体_GBK" w:cs="Times New Roman"/>
          <w:sz w:val="28"/>
          <w:szCs w:val="28"/>
        </w:rPr>
      </w:pPr>
    </w:p>
    <w:p w14:paraId="2136F15A">
      <w:pPr>
        <w:pStyle w:val="19"/>
        <w:spacing w:line="600" w:lineRule="exact"/>
        <w:rPr>
          <w:rFonts w:ascii="Times New Roman" w:hAnsi="Times New Roman" w:eastAsia="方正黑体_GBK" w:cs="Times New Roman"/>
          <w:sz w:val="28"/>
          <w:szCs w:val="28"/>
        </w:rPr>
      </w:pPr>
    </w:p>
    <w:p w14:paraId="04EE534A">
      <w:pPr>
        <w:pStyle w:val="19"/>
        <w:spacing w:line="600" w:lineRule="exact"/>
        <w:rPr>
          <w:rFonts w:ascii="Times New Roman" w:hAnsi="Times New Roman" w:eastAsia="方正黑体_GBK" w:cs="Times New Roman"/>
          <w:sz w:val="28"/>
          <w:szCs w:val="28"/>
        </w:rPr>
      </w:pPr>
    </w:p>
    <w:p w14:paraId="725E9608">
      <w:pPr>
        <w:pStyle w:val="19"/>
        <w:spacing w:line="600" w:lineRule="exact"/>
        <w:rPr>
          <w:rFonts w:ascii="Times New Roman" w:hAnsi="Times New Roman" w:eastAsia="方正黑体_GBK" w:cs="Times New Roman"/>
          <w:sz w:val="28"/>
          <w:szCs w:val="28"/>
        </w:rPr>
      </w:pPr>
    </w:p>
    <w:p w14:paraId="261A2F94">
      <w:pPr>
        <w:pStyle w:val="19"/>
        <w:spacing w:line="60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14:paraId="16C173F1">
      <w:pPr>
        <w:pStyle w:val="7"/>
        <w:spacing w:line="520" w:lineRule="exact"/>
        <w:jc w:val="center"/>
        <w:rPr>
          <w:rFonts w:ascii="Times New Roman" w:hAnsi="Times New Roman" w:eastAsia="方正小标宋_GBK"/>
          <w:kern w:val="0"/>
          <w:sz w:val="24"/>
          <w:szCs w:val="24"/>
        </w:rPr>
      </w:pPr>
      <w:r>
        <w:rPr>
          <w:rFonts w:ascii="Times New Roman" w:hAnsi="Times New Roman" w:eastAsia="方正小标宋_GBK"/>
          <w:kern w:val="0"/>
          <w:sz w:val="36"/>
          <w:szCs w:val="36"/>
        </w:rPr>
        <w:t>黔江区城市危旧房、预制板房、地震易发区房屋改造解危加固工程</w:t>
      </w:r>
      <w:r>
        <w:rPr>
          <w:rFonts w:ascii="Times New Roman" w:hAnsi="Times New Roman" w:eastAsia="方正小标宋_GBK"/>
          <w:kern w:val="0"/>
          <w:sz w:val="36"/>
          <w:szCs w:val="36"/>
          <w:lang w:val="zh-CN"/>
        </w:rPr>
        <w:t>投资估算表</w:t>
      </w:r>
    </w:p>
    <w:tbl>
      <w:tblPr>
        <w:tblStyle w:val="13"/>
        <w:tblW w:w="8736" w:type="dxa"/>
        <w:tblInd w:w="0" w:type="dxa"/>
        <w:tblLayout w:type="fixed"/>
        <w:tblCellMar>
          <w:top w:w="15" w:type="dxa"/>
          <w:left w:w="15" w:type="dxa"/>
          <w:bottom w:w="15" w:type="dxa"/>
          <w:right w:w="15" w:type="dxa"/>
        </w:tblCellMar>
      </w:tblPr>
      <w:tblGrid>
        <w:gridCol w:w="1155"/>
        <w:gridCol w:w="4635"/>
        <w:gridCol w:w="2946"/>
      </w:tblGrid>
      <w:tr w14:paraId="37F32867">
        <w:tblPrEx>
          <w:tblCellMar>
            <w:top w:w="15" w:type="dxa"/>
            <w:left w:w="15" w:type="dxa"/>
            <w:bottom w:w="15" w:type="dxa"/>
            <w:right w:w="15" w:type="dxa"/>
          </w:tblCellMar>
        </w:tblPrEx>
        <w:trPr>
          <w:trHeight w:val="680"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0697">
            <w:pPr>
              <w:widowControl/>
              <w:jc w:val="center"/>
              <w:textAlignment w:val="center"/>
              <w:rPr>
                <w:rFonts w:eastAsia="宋体"/>
                <w:b/>
                <w:color w:val="000000"/>
                <w:sz w:val="24"/>
                <w:szCs w:val="24"/>
              </w:rPr>
            </w:pPr>
            <w:r>
              <w:rPr>
                <w:rFonts w:eastAsia="宋体"/>
                <w:b/>
                <w:color w:val="000000"/>
                <w:kern w:val="0"/>
                <w:sz w:val="24"/>
                <w:szCs w:val="24"/>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E6D8">
            <w:pPr>
              <w:widowControl/>
              <w:jc w:val="center"/>
              <w:textAlignment w:val="center"/>
              <w:rPr>
                <w:rFonts w:eastAsia="宋体"/>
                <w:b/>
                <w:color w:val="000000"/>
                <w:sz w:val="24"/>
                <w:szCs w:val="24"/>
              </w:rPr>
            </w:pPr>
            <w:r>
              <w:rPr>
                <w:rFonts w:eastAsia="宋体"/>
                <w:b/>
                <w:color w:val="000000"/>
                <w:kern w:val="0"/>
                <w:sz w:val="24"/>
                <w:szCs w:val="24"/>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42C23632">
            <w:pPr>
              <w:widowControl/>
              <w:jc w:val="center"/>
              <w:textAlignment w:val="center"/>
              <w:rPr>
                <w:rFonts w:eastAsia="宋体"/>
                <w:b/>
                <w:color w:val="000000"/>
                <w:sz w:val="20"/>
                <w:szCs w:val="20"/>
              </w:rPr>
            </w:pPr>
            <w:r>
              <w:rPr>
                <w:rFonts w:eastAsia="宋体"/>
                <w:b/>
                <w:color w:val="000000"/>
                <w:kern w:val="0"/>
                <w:sz w:val="24"/>
                <w:szCs w:val="24"/>
              </w:rPr>
              <w:t>审定金额（万元）</w:t>
            </w:r>
          </w:p>
        </w:tc>
      </w:tr>
      <w:tr w14:paraId="2113CAA3">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3E4">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1A089C2A">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30A">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4146.80 </w:t>
            </w:r>
          </w:p>
        </w:tc>
      </w:tr>
      <w:tr w14:paraId="31A09A28">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1DEA">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79B1ED6E">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危旧住房改造工程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91C6B">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4034.40 </w:t>
            </w:r>
          </w:p>
        </w:tc>
      </w:tr>
      <w:tr w14:paraId="6B90F58C">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4B1">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6C30DDA1">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基础设施工程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284DC">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112.40 </w:t>
            </w:r>
          </w:p>
        </w:tc>
      </w:tr>
      <w:tr w14:paraId="20CFEA45">
        <w:tblPrEx>
          <w:tblCellMar>
            <w:top w:w="15" w:type="dxa"/>
            <w:left w:w="15" w:type="dxa"/>
            <w:bottom w:w="15" w:type="dxa"/>
            <w:right w:w="15" w:type="dxa"/>
          </w:tblCellMar>
        </w:tblPrEx>
        <w:trPr>
          <w:trHeight w:val="680" w:hRule="exact"/>
        </w:trPr>
        <w:tc>
          <w:tcPr>
            <w:tcW w:w="1155" w:type="dxa"/>
            <w:tcBorders>
              <w:left w:val="single" w:color="000000" w:sz="4" w:space="0"/>
              <w:bottom w:val="single" w:color="000000" w:sz="4" w:space="0"/>
              <w:right w:val="single" w:color="000000" w:sz="4" w:space="0"/>
            </w:tcBorders>
            <w:shd w:val="clear" w:color="auto" w:fill="auto"/>
            <w:vAlign w:val="center"/>
          </w:tcPr>
          <w:p w14:paraId="5DBB9654">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0F5A4081">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D8D2">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413.14 </w:t>
            </w:r>
          </w:p>
        </w:tc>
      </w:tr>
      <w:tr w14:paraId="41D31779">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21DD">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453CAA2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770DD">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20.73 </w:t>
            </w:r>
          </w:p>
        </w:tc>
      </w:tr>
      <w:tr w14:paraId="04E85CA4">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7A6">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3D9CA18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DC0D0">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76.82 </w:t>
            </w:r>
          </w:p>
        </w:tc>
      </w:tr>
      <w:tr w14:paraId="2B0FE029">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E9F">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7766448B">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E047D">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70.50 </w:t>
            </w:r>
          </w:p>
        </w:tc>
      </w:tr>
      <w:tr w14:paraId="26A19D37">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3D27">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3DD7E79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8ABB1">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12.30 </w:t>
            </w:r>
          </w:p>
        </w:tc>
      </w:tr>
      <w:tr w14:paraId="01C150D9">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14D">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3CF97CE6">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EC0FC">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16.20 </w:t>
            </w:r>
          </w:p>
        </w:tc>
      </w:tr>
      <w:tr w14:paraId="6911D304">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2092">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0EC6E93F">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0F6FB">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120.26 </w:t>
            </w:r>
          </w:p>
        </w:tc>
      </w:tr>
      <w:tr w14:paraId="30E0DB45">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3AB">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0C513046">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BC26F">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9.95 </w:t>
            </w:r>
          </w:p>
        </w:tc>
      </w:tr>
      <w:tr w14:paraId="194C5391">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59D3">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475F64E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18C28">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47.37 </w:t>
            </w:r>
          </w:p>
        </w:tc>
      </w:tr>
      <w:tr w14:paraId="5F38635D">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0C6A">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03F19833">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AC478">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5.84 </w:t>
            </w:r>
          </w:p>
        </w:tc>
      </w:tr>
      <w:tr w14:paraId="655597F6">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E9A2">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033446FB">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13FB2">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12.44 </w:t>
            </w:r>
          </w:p>
        </w:tc>
      </w:tr>
      <w:tr w14:paraId="1932DE1D">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867">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3336B9A7">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E2F2F">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20.73 </w:t>
            </w:r>
          </w:p>
        </w:tc>
      </w:tr>
      <w:tr w14:paraId="7876ED26">
        <w:tblPrEx>
          <w:tblCellMar>
            <w:top w:w="15" w:type="dxa"/>
            <w:left w:w="15" w:type="dxa"/>
            <w:bottom w:w="15" w:type="dxa"/>
            <w:right w:w="15" w:type="dxa"/>
          </w:tblCellMar>
        </w:tblPrEx>
        <w:trPr>
          <w:trHeight w:val="680"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77125">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E4D2C">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b/>
                <w:i w:val="0"/>
                <w:color w:val="000000"/>
                <w:kern w:val="0"/>
                <w:sz w:val="22"/>
                <w:szCs w:val="22"/>
                <w:u w:val="none"/>
                <w:lang w:val="en-US" w:eastAsia="zh-CN" w:bidi="ar"/>
              </w:rPr>
              <w:t xml:space="preserve">4559.94 </w:t>
            </w:r>
          </w:p>
        </w:tc>
      </w:tr>
      <w:tr w14:paraId="2419DE09">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668E">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81D9">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7C75A">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2"/>
                <w:szCs w:val="22"/>
                <w:u w:val="none"/>
                <w:lang w:val="en-US" w:eastAsia="zh-CN" w:bidi="ar"/>
              </w:rPr>
              <w:t xml:space="preserve">228.00 </w:t>
            </w:r>
          </w:p>
        </w:tc>
      </w:tr>
      <w:tr w14:paraId="15BC91BC">
        <w:tblPrEx>
          <w:tblCellMar>
            <w:top w:w="15" w:type="dxa"/>
            <w:left w:w="15" w:type="dxa"/>
            <w:bottom w:w="15" w:type="dxa"/>
            <w:right w:w="15" w:type="dxa"/>
          </w:tblCellMar>
        </w:tblPrEx>
        <w:trPr>
          <w:trHeight w:val="68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6A99">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74B">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42C3D">
            <w:pPr>
              <w:keepNext w:val="0"/>
              <w:keepLines w:val="0"/>
              <w:widowControl/>
              <w:suppressLineNumbers w:val="0"/>
              <w:jc w:val="center"/>
              <w:textAlignment w:val="center"/>
              <w:rPr>
                <w:rFonts w:eastAsia="宋体"/>
                <w:b/>
                <w:bCs/>
                <w:color w:val="000000"/>
                <w:sz w:val="22"/>
              </w:rPr>
            </w:pPr>
            <w:r>
              <w:rPr>
                <w:rFonts w:hint="eastAsia" w:ascii="方正楷体_GBK" w:hAnsi="方正楷体_GBK" w:eastAsia="方正楷体_GBK" w:cs="方正楷体_GBK"/>
                <w:b/>
                <w:i w:val="0"/>
                <w:color w:val="000000"/>
                <w:kern w:val="0"/>
                <w:sz w:val="24"/>
                <w:szCs w:val="24"/>
                <w:u w:val="none"/>
                <w:lang w:val="en-US" w:eastAsia="zh-CN" w:bidi="ar"/>
              </w:rPr>
              <w:t xml:space="preserve">4787.94 </w:t>
            </w:r>
          </w:p>
        </w:tc>
      </w:tr>
    </w:tbl>
    <w:p w14:paraId="32E3358A">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p w14:paraId="38B433B2"/>
    <w:p w14:paraId="257293DE">
      <w:pPr>
        <w:pStyle w:val="2"/>
      </w:pPr>
    </w:p>
    <w:p w14:paraId="72E4F04E"/>
    <w:p w14:paraId="728A6BB9">
      <w:pPr>
        <w:pStyle w:val="3"/>
      </w:pPr>
    </w:p>
    <w:p w14:paraId="57D083B1"/>
    <w:p w14:paraId="5765E47C">
      <w:pPr>
        <w:pStyle w:val="2"/>
      </w:pPr>
    </w:p>
    <w:p w14:paraId="0703F19E">
      <w:pPr>
        <w:pStyle w:val="3"/>
      </w:pPr>
    </w:p>
    <w:p w14:paraId="51D51D1D"/>
    <w:p w14:paraId="788EBEA4">
      <w:pPr>
        <w:pStyle w:val="2"/>
      </w:pPr>
    </w:p>
    <w:p w14:paraId="528320F6">
      <w:pPr>
        <w:pStyle w:val="3"/>
      </w:pPr>
    </w:p>
    <w:p w14:paraId="1EB5ADFC"/>
    <w:p w14:paraId="75599BDC">
      <w:pPr>
        <w:pStyle w:val="2"/>
      </w:pPr>
      <w:bookmarkStart w:id="0" w:name="_GoBack"/>
      <w:bookmarkEnd w:id="0"/>
    </w:p>
    <w:p w14:paraId="0FA8645A">
      <w:pPr>
        <w:pStyle w:val="2"/>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147769"/>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1152EB"/>
    <w:rsid w:val="35E849AF"/>
    <w:rsid w:val="38657C26"/>
    <w:rsid w:val="39705D78"/>
    <w:rsid w:val="397671E0"/>
    <w:rsid w:val="398C37FF"/>
    <w:rsid w:val="3A5C509D"/>
    <w:rsid w:val="3E9905B9"/>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41146A"/>
    <w:rsid w:val="4F735634"/>
    <w:rsid w:val="4FA80033"/>
    <w:rsid w:val="50575F45"/>
    <w:rsid w:val="50A469FF"/>
    <w:rsid w:val="534C1EA2"/>
    <w:rsid w:val="534E1E00"/>
    <w:rsid w:val="53901E9A"/>
    <w:rsid w:val="54870E45"/>
    <w:rsid w:val="55087A4C"/>
    <w:rsid w:val="5621502B"/>
    <w:rsid w:val="581F2BBB"/>
    <w:rsid w:val="5B4D5604"/>
    <w:rsid w:val="5B985278"/>
    <w:rsid w:val="5C7C31E9"/>
    <w:rsid w:val="5E4C76D1"/>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0141305"/>
    <w:rsid w:val="71E628B1"/>
    <w:rsid w:val="722929DF"/>
    <w:rsid w:val="72AF5315"/>
    <w:rsid w:val="742B5A1B"/>
    <w:rsid w:val="76E535BA"/>
    <w:rsid w:val="77C816DC"/>
    <w:rsid w:val="78624336"/>
    <w:rsid w:val="798F3B70"/>
    <w:rsid w:val="79BC4EE7"/>
    <w:rsid w:val="7A494110"/>
    <w:rsid w:val="7A757CD5"/>
    <w:rsid w:val="7A9639EB"/>
    <w:rsid w:val="7AED1855"/>
    <w:rsid w:val="7C0A2E6F"/>
    <w:rsid w:val="7CE16A13"/>
    <w:rsid w:val="7EA877E8"/>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1104</Words>
  <Characters>1295</Characters>
  <Lines>11</Lines>
  <Paragraphs>3</Paragraphs>
  <TotalTime>1</TotalTime>
  <ScaleCrop>false</ScaleCrop>
  <LinksUpToDate>false</LinksUpToDate>
  <CharactersWithSpaces>1428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2025-12-31T09:25:42Z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