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25399E">
      <w:pPr>
        <w:tabs>
          <w:tab w:val="left" w:pos="8181"/>
          <w:tab w:val="left" w:pos="8733"/>
        </w:tabs>
        <w:spacing w:line="580" w:lineRule="exact"/>
        <w:ind w:right="-193" w:rightChars="-92" w:firstLine="160" w:firstLineChars="50"/>
        <w:rPr>
          <w:rFonts w:hint="eastAsia" w:eastAsia="方正仿宋_GBK"/>
          <w:sz w:val="32"/>
          <w:szCs w:val="32"/>
        </w:rPr>
      </w:pPr>
      <w:r>
        <w:rPr>
          <w:rFonts w:eastAsia="方正仿宋_GBK"/>
          <w:sz w:val="32"/>
          <w:szCs w:val="32"/>
        </w:rPr>
        <mc:AlternateContent>
          <mc:Choice Requires="wps">
            <w:drawing>
              <wp:anchor distT="0" distB="0" distL="114300" distR="114300" simplePos="0" relativeHeight="251660288" behindDoc="0" locked="0" layoutInCell="1" allowOverlap="1">
                <wp:simplePos x="0" y="0"/>
                <wp:positionH relativeFrom="page">
                  <wp:posOffset>972185</wp:posOffset>
                </wp:positionH>
                <wp:positionV relativeFrom="margin">
                  <wp:posOffset>2971800</wp:posOffset>
                </wp:positionV>
                <wp:extent cx="5636895" cy="22225"/>
                <wp:effectExtent l="0" t="10795" r="1905" b="24130"/>
                <wp:wrapNone/>
                <wp:docPr id="1" name="Line 9"/>
                <wp:cNvGraphicFramePr/>
                <a:graphic xmlns:a="http://schemas.openxmlformats.org/drawingml/2006/main">
                  <a:graphicData uri="http://schemas.microsoft.com/office/word/2010/wordprocessingShape">
                    <wps:wsp>
                      <wps:cNvCnPr/>
                      <wps:spPr>
                        <a:xfrm flipV="1">
                          <a:off x="0" y="0"/>
                          <a:ext cx="5636895" cy="22225"/>
                        </a:xfrm>
                        <a:prstGeom prst="line">
                          <a:avLst/>
                        </a:prstGeom>
                        <a:ln w="22225" cap="flat" cmpd="sng">
                          <a:solidFill>
                            <a:srgbClr val="FF0000"/>
                          </a:solidFill>
                          <a:prstDash val="solid"/>
                          <a:headEnd type="none" w="med" len="med"/>
                          <a:tailEnd type="none" w="med" len="med"/>
                        </a:ln>
                      </wps:spPr>
                      <wps:bodyPr upright="1"/>
                    </wps:wsp>
                  </a:graphicData>
                </a:graphic>
              </wp:anchor>
            </w:drawing>
          </mc:Choice>
          <mc:Fallback>
            <w:pict>
              <v:line id="Line 9" o:spid="_x0000_s1026" o:spt="20" style="position:absolute;left:0pt;flip:y;margin-left:76.55pt;margin-top:234pt;height:1.75pt;width:443.85pt;mso-position-horizontal-relative:page;mso-position-vertical-relative:margin;z-index:251660288;mso-width-relative:page;mso-height-relative:page;" filled="f" stroked="t" coordsize="21600,21600" o:gfxdata="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EtWF9XaAAAA&#10;DAEAAA8AAAAAAAAAAQAgAAAAIgAAAGRycy9kb3ducmV2LnhtbFBLAQIUABQAAAAIAIdO4kASw8wU&#10;4gEAAOgDAAAOAAAAAAAAAAEAIAAAACkBAABkcnMvZTJvRG9jLnhtbFBLBQYAAAAABgAGAFkBAAB9&#10;BQAAAAA=&#10;">
                <v:fill on="f" focussize="0,0"/>
                <v:stroke weight="1.75pt" color="#FF0000" joinstyle="round"/>
                <v:imagedata o:title=""/>
                <o:lock v:ext="edit" aspectratio="f"/>
              </v:line>
            </w:pict>
          </mc:Fallback>
        </mc:AlternateContent>
      </w:r>
      <w:r>
        <w:rPr>
          <w:rFonts w:eastAsia="方正仿宋_GBK"/>
          <w:sz w:val="32"/>
          <w:szCs w:val="32"/>
        </w:rPr>
        <w:pict>
          <v:shape id="AutoShape 8" o:spid="_x0000_s1032" o:spt="136" type="#_x0000_t136" style="position:absolute;left:0pt;margin-left:92.3pt;margin-top:86.85pt;height:52.45pt;width:411pt;mso-position-horizontal-relative:page;mso-position-vertical-relative:margin;z-index:251659264;mso-width-relative:page;mso-height-relative:page;" fillcolor="#FF0000" filled="t" stroked="f" coordsize="21600,21600">
            <v:path/>
            <v:fill on="t" focussize="0,0"/>
            <v:stroke on="f"/>
            <v:imagedata o:title=""/>
            <o:lock v:ext="edit" grouping="f" rotation="f" text="f" aspectratio="f"/>
            <v:textpath on="t" fitshape="t" fitpath="t" trim="t" xscale="f" string="重庆市黔江区发展和改革委员会文件" style="font-family:方正小标宋_GBK;font-size:36pt;font-weight:bold;v-text-align:center;"/>
          </v:shape>
        </w:pict>
      </w:r>
    </w:p>
    <w:p w14:paraId="4A96B6FB">
      <w:pPr>
        <w:tabs>
          <w:tab w:val="left" w:pos="8181"/>
          <w:tab w:val="left" w:pos="8733"/>
        </w:tabs>
        <w:spacing w:line="580" w:lineRule="exact"/>
        <w:ind w:right="-193" w:rightChars="-92" w:firstLine="160" w:firstLineChars="50"/>
        <w:rPr>
          <w:rFonts w:hint="eastAsia" w:eastAsia="方正仿宋_GBK"/>
          <w:sz w:val="32"/>
          <w:szCs w:val="32"/>
        </w:rPr>
      </w:pPr>
    </w:p>
    <w:p w14:paraId="6B2B8314">
      <w:pPr>
        <w:tabs>
          <w:tab w:val="left" w:pos="8181"/>
          <w:tab w:val="left" w:pos="8733"/>
        </w:tabs>
        <w:spacing w:line="580" w:lineRule="exact"/>
        <w:ind w:right="-193" w:rightChars="-92" w:firstLine="160" w:firstLineChars="50"/>
        <w:rPr>
          <w:rFonts w:hint="eastAsia" w:eastAsia="方正仿宋_GBK"/>
          <w:sz w:val="32"/>
          <w:szCs w:val="32"/>
        </w:rPr>
      </w:pPr>
    </w:p>
    <w:p w14:paraId="55351317">
      <w:pPr>
        <w:tabs>
          <w:tab w:val="left" w:pos="8181"/>
          <w:tab w:val="left" w:pos="8733"/>
        </w:tabs>
        <w:spacing w:line="580" w:lineRule="exact"/>
        <w:ind w:right="-193" w:rightChars="-92" w:firstLine="160" w:firstLineChars="50"/>
        <w:rPr>
          <w:rFonts w:hint="eastAsia" w:eastAsia="方正仿宋_GBK"/>
          <w:sz w:val="32"/>
          <w:szCs w:val="32"/>
        </w:rPr>
      </w:pPr>
    </w:p>
    <w:p w14:paraId="19DBB79D">
      <w:pPr>
        <w:tabs>
          <w:tab w:val="left" w:pos="8181"/>
          <w:tab w:val="left" w:pos="8733"/>
        </w:tabs>
        <w:spacing w:line="580" w:lineRule="exact"/>
        <w:ind w:right="-193" w:rightChars="-92" w:firstLine="160" w:firstLineChars="50"/>
        <w:rPr>
          <w:rFonts w:hint="eastAsia" w:eastAsia="方正仿宋_GBK"/>
          <w:sz w:val="32"/>
          <w:szCs w:val="32"/>
        </w:rPr>
      </w:pPr>
    </w:p>
    <w:p w14:paraId="3FA267A6">
      <w:pPr>
        <w:tabs>
          <w:tab w:val="left" w:pos="8181"/>
          <w:tab w:val="left" w:pos="8733"/>
        </w:tabs>
        <w:spacing w:line="580" w:lineRule="exact"/>
        <w:ind w:right="-193" w:rightChars="-92" w:firstLine="160" w:firstLineChars="50"/>
        <w:rPr>
          <w:rFonts w:hint="eastAsia" w:eastAsia="方正仿宋_GBK"/>
          <w:sz w:val="32"/>
          <w:szCs w:val="32"/>
        </w:rPr>
      </w:pPr>
      <w:r>
        <w:rPr>
          <w:rFonts w:hint="eastAsia" w:eastAsia="方正仿宋_GBK"/>
          <w:sz w:val="32"/>
          <w:szCs w:val="32"/>
        </w:rPr>
        <w:t xml:space="preserve"> </w:t>
      </w:r>
    </w:p>
    <w:p w14:paraId="2382DB48">
      <w:pPr>
        <w:tabs>
          <w:tab w:val="left" w:pos="8181"/>
          <w:tab w:val="left" w:pos="8733"/>
        </w:tabs>
        <w:spacing w:line="500" w:lineRule="exact"/>
        <w:ind w:right="-193" w:rightChars="-92" w:firstLine="160" w:firstLineChars="50"/>
        <w:rPr>
          <w:rFonts w:hint="eastAsia" w:eastAsia="方正仿宋_GBK"/>
          <w:sz w:val="32"/>
          <w:szCs w:val="32"/>
        </w:rPr>
      </w:pPr>
    </w:p>
    <w:p w14:paraId="59D3440D">
      <w:pPr>
        <w:tabs>
          <w:tab w:val="left" w:pos="8181"/>
          <w:tab w:val="left" w:pos="8733"/>
        </w:tabs>
        <w:spacing w:line="200" w:lineRule="exact"/>
        <w:ind w:right="-193" w:rightChars="-92" w:firstLine="160" w:firstLineChars="50"/>
        <w:rPr>
          <w:rFonts w:hint="eastAsia" w:eastAsia="方正仿宋_GBK"/>
          <w:sz w:val="32"/>
          <w:szCs w:val="32"/>
        </w:rPr>
      </w:pPr>
    </w:p>
    <w:p w14:paraId="3F3348EA">
      <w:pPr>
        <w:spacing w:line="520" w:lineRule="exact"/>
        <w:jc w:val="center"/>
        <w:rPr>
          <w:rFonts w:hint="eastAsia" w:eastAsia="方正仿宋_GBK"/>
          <w:sz w:val="32"/>
          <w:szCs w:val="32"/>
        </w:rPr>
      </w:pPr>
      <w:r>
        <w:rPr>
          <w:rFonts w:eastAsia="方正仿宋_GBK"/>
          <w:sz w:val="32"/>
          <w:szCs w:val="32"/>
        </w:rPr>
        <w:t>黔江发改委</w:t>
      </w:r>
      <w:r>
        <w:rPr>
          <w:rFonts w:hint="eastAsia" w:eastAsia="方正仿宋_GBK"/>
          <w:sz w:val="32"/>
          <w:szCs w:val="32"/>
        </w:rPr>
        <w:t>发</w:t>
      </w:r>
      <w:r>
        <w:rPr>
          <w:rFonts w:eastAsia="方正仿宋_GBK"/>
          <w:sz w:val="32"/>
          <w:szCs w:val="32"/>
        </w:rPr>
        <w:t>〔20</w:t>
      </w:r>
      <w:r>
        <w:rPr>
          <w:rFonts w:hint="eastAsia" w:eastAsia="方正仿宋_GBK"/>
          <w:sz w:val="32"/>
          <w:szCs w:val="32"/>
        </w:rPr>
        <w:t>2</w:t>
      </w:r>
      <w:r>
        <w:rPr>
          <w:rFonts w:hint="eastAsia" w:eastAsia="方正仿宋_GBK"/>
          <w:sz w:val="32"/>
          <w:szCs w:val="32"/>
          <w:lang w:val="en-US" w:eastAsia="zh-CN"/>
        </w:rPr>
        <w:t>6</w:t>
      </w:r>
      <w:r>
        <w:rPr>
          <w:rFonts w:eastAsia="方正仿宋_GBK"/>
          <w:sz w:val="32"/>
          <w:szCs w:val="32"/>
        </w:rPr>
        <w:t>〕</w:t>
      </w:r>
      <w:r>
        <w:rPr>
          <w:rFonts w:hint="eastAsia" w:eastAsia="方正仿宋_GBK"/>
          <w:sz w:val="32"/>
          <w:szCs w:val="32"/>
          <w:lang w:val="en-US" w:eastAsia="zh-CN"/>
        </w:rPr>
        <w:t>6</w:t>
      </w:r>
      <w:r>
        <w:rPr>
          <w:rFonts w:eastAsia="方正仿宋_GBK"/>
          <w:sz w:val="32"/>
          <w:szCs w:val="32"/>
        </w:rPr>
        <w:t>号</w:t>
      </w:r>
    </w:p>
    <w:p w14:paraId="27FF3180">
      <w:pPr>
        <w:keepNext w:val="0"/>
        <w:keepLines w:val="0"/>
        <w:pageBreakBefore w:val="0"/>
        <w:widowControl w:val="0"/>
        <w:kinsoku/>
        <w:wordWrap/>
        <w:overflowPunct/>
        <w:topLinePunct w:val="0"/>
        <w:autoSpaceDE/>
        <w:autoSpaceDN/>
        <w:bidi w:val="0"/>
        <w:adjustRightInd/>
        <w:snapToGrid/>
        <w:spacing w:line="575" w:lineRule="exact"/>
        <w:textAlignment w:val="auto"/>
        <w:rPr>
          <w:rFonts w:hint="eastAsia"/>
        </w:rPr>
      </w:pPr>
      <w:r>
        <w:rPr>
          <w:rFonts w:hint="eastAsia" w:eastAsia="方正仿宋_GBK"/>
          <w:sz w:val="32"/>
          <w:szCs w:val="32"/>
        </w:rPr>
        <w:t xml:space="preserve"> </w:t>
      </w:r>
    </w:p>
    <w:p w14:paraId="19296513">
      <w:pPr>
        <w:keepNext w:val="0"/>
        <w:keepLines w:val="0"/>
        <w:pageBreakBefore w:val="0"/>
        <w:widowControl w:val="0"/>
        <w:kinsoku/>
        <w:wordWrap/>
        <w:overflowPunct/>
        <w:topLinePunct w:val="0"/>
        <w:autoSpaceDE/>
        <w:autoSpaceDN/>
        <w:bidi w:val="0"/>
        <w:adjustRightInd/>
        <w:snapToGrid/>
        <w:spacing w:line="575" w:lineRule="exact"/>
        <w:jc w:val="center"/>
        <w:textAlignment w:val="auto"/>
        <w:rPr>
          <w:rFonts w:hint="eastAsia" w:ascii="方正小标宋_GBK" w:eastAsia="方正小标宋_GBK"/>
          <w:sz w:val="44"/>
          <w:szCs w:val="44"/>
        </w:rPr>
      </w:pPr>
      <w:r>
        <w:rPr>
          <w:rFonts w:hint="eastAsia" w:ascii="方正小标宋_GBK" w:eastAsia="方正小标宋_GBK"/>
          <w:sz w:val="44"/>
          <w:szCs w:val="44"/>
        </w:rPr>
        <w:t>重庆市黔江区发展和改革</w:t>
      </w:r>
      <w:bookmarkStart w:id="1" w:name="_GoBack"/>
      <w:bookmarkEnd w:id="1"/>
      <w:r>
        <w:rPr>
          <w:rFonts w:hint="eastAsia" w:ascii="方正小标宋_GBK" w:eastAsia="方正小标宋_GBK"/>
          <w:sz w:val="44"/>
          <w:szCs w:val="44"/>
        </w:rPr>
        <w:t>委员会</w:t>
      </w:r>
    </w:p>
    <w:p w14:paraId="18BA9642">
      <w:pPr>
        <w:snapToGrid w:val="0"/>
        <w:spacing w:line="595" w:lineRule="exact"/>
        <w:ind w:firstLine="200"/>
        <w:jc w:val="center"/>
        <w:rPr>
          <w:rFonts w:hint="eastAsia" w:eastAsia="方正小标宋_GBK"/>
          <w:sz w:val="44"/>
          <w:szCs w:val="44"/>
        </w:rPr>
      </w:pPr>
      <w:r>
        <w:rPr>
          <w:rFonts w:hint="eastAsia" w:eastAsia="方正小标宋_GBK"/>
          <w:sz w:val="44"/>
          <w:szCs w:val="44"/>
          <w:lang w:eastAsia="zh-CN"/>
        </w:rPr>
        <w:t>关于</w:t>
      </w:r>
      <w:r>
        <w:rPr>
          <w:rFonts w:hint="eastAsia" w:eastAsia="方正小标宋_GBK"/>
          <w:sz w:val="44"/>
          <w:szCs w:val="44"/>
          <w:lang w:val="zh-CN"/>
        </w:rPr>
        <w:t>黔江区2025年S203线K39+452—K39+478等路段应急抢险处治工程</w:t>
      </w:r>
      <w:r>
        <w:rPr>
          <w:rFonts w:hint="eastAsia" w:eastAsia="方正小标宋_GBK"/>
          <w:sz w:val="44"/>
          <w:szCs w:val="44"/>
        </w:rPr>
        <w:t>可行性</w:t>
      </w:r>
    </w:p>
    <w:p w14:paraId="18B53925">
      <w:pPr>
        <w:snapToGrid w:val="0"/>
        <w:spacing w:line="595" w:lineRule="exact"/>
        <w:ind w:firstLine="200"/>
        <w:jc w:val="center"/>
        <w:rPr>
          <w:rFonts w:eastAsia="方正小标宋_GBK"/>
          <w:sz w:val="44"/>
          <w:szCs w:val="44"/>
        </w:rPr>
      </w:pPr>
      <w:r>
        <w:rPr>
          <w:rFonts w:hint="eastAsia" w:eastAsia="方正小标宋_GBK"/>
          <w:sz w:val="44"/>
          <w:szCs w:val="44"/>
        </w:rPr>
        <w:t>研究报告</w:t>
      </w:r>
      <w:r>
        <w:rPr>
          <w:rFonts w:eastAsia="方正小标宋_GBK"/>
          <w:sz w:val="44"/>
          <w:szCs w:val="44"/>
        </w:rPr>
        <w:t>的批复</w:t>
      </w:r>
    </w:p>
    <w:p w14:paraId="72268D34">
      <w:pPr>
        <w:spacing w:line="595" w:lineRule="exact"/>
        <w:rPr>
          <w:szCs w:val="32"/>
        </w:rPr>
      </w:pPr>
    </w:p>
    <w:p w14:paraId="7DB1B0FD">
      <w:pPr>
        <w:spacing w:line="500" w:lineRule="exact"/>
        <w:rPr>
          <w:rFonts w:eastAsia="方正仿宋_GBK"/>
          <w:sz w:val="32"/>
          <w:szCs w:val="32"/>
        </w:rPr>
      </w:pPr>
      <w:r>
        <w:rPr>
          <w:rFonts w:hint="eastAsia" w:eastAsia="方正仿宋_GBK"/>
          <w:sz w:val="32"/>
          <w:szCs w:val="32"/>
          <w:lang w:eastAsia="zh-CN"/>
        </w:rPr>
        <w:t>区公路中心</w:t>
      </w:r>
      <w:r>
        <w:rPr>
          <w:rFonts w:eastAsia="方正仿宋_GBK"/>
          <w:sz w:val="32"/>
          <w:szCs w:val="32"/>
        </w:rPr>
        <w:t>：</w:t>
      </w:r>
    </w:p>
    <w:p w14:paraId="27D8CCD9">
      <w:pPr>
        <w:pStyle w:val="4"/>
        <w:spacing w:line="500" w:lineRule="exact"/>
        <w:ind w:firstLine="640" w:firstLineChars="200"/>
        <w:rPr>
          <w:rFonts w:hint="default" w:ascii="Times New Roman" w:hAnsi="Times New Roman" w:eastAsia="方正仿宋_GBK" w:cs="Times New Roman"/>
          <w:szCs w:val="32"/>
        </w:rPr>
      </w:pPr>
      <w:r>
        <w:rPr>
          <w:rFonts w:hint="eastAsia" w:ascii="方正仿宋_GBK" w:hAnsi="方正仿宋_GBK" w:eastAsia="方正仿宋_GBK" w:cs="方正仿宋_GBK"/>
          <w:szCs w:val="32"/>
          <w:lang w:eastAsia="zh-CN"/>
        </w:rPr>
        <w:t>你单位《关于审查</w:t>
      </w:r>
      <w:r>
        <w:rPr>
          <w:rFonts w:hint="eastAsia" w:ascii="方正仿宋_GBK" w:hAnsi="方正仿宋_GBK" w:eastAsia="方正仿宋_GBK" w:cs="方正仿宋_GBK"/>
          <w:szCs w:val="32"/>
          <w:lang w:val="zh-CN" w:eastAsia="zh-CN"/>
        </w:rPr>
        <w:t>黔</w:t>
      </w:r>
      <w:r>
        <w:rPr>
          <w:rFonts w:hint="default" w:ascii="Times New Roman" w:hAnsi="Times New Roman" w:eastAsia="方正仿宋_GBK" w:cs="Times New Roman"/>
          <w:szCs w:val="32"/>
          <w:lang w:val="zh-CN" w:eastAsia="zh-CN"/>
        </w:rPr>
        <w:t>江区2025年S203线K39+452—K39+478等路段应急抢险处治工程可</w:t>
      </w:r>
      <w:r>
        <w:rPr>
          <w:rFonts w:hint="default" w:ascii="Times New Roman" w:hAnsi="Times New Roman" w:eastAsia="方正仿宋_GBK" w:cs="Times New Roman"/>
          <w:szCs w:val="32"/>
          <w:lang w:eastAsia="zh-CN"/>
        </w:rPr>
        <w:t>行性研究报告的请示</w:t>
      </w:r>
      <w:r>
        <w:rPr>
          <w:rFonts w:hint="default" w:ascii="Times New Roman" w:hAnsi="Times New Roman" w:eastAsia="方正仿宋_GBK" w:cs="Times New Roman"/>
          <w:szCs w:val="32"/>
        </w:rPr>
        <w:t>》（</w:t>
      </w:r>
      <w:r>
        <w:rPr>
          <w:rFonts w:hint="default" w:ascii="Times New Roman" w:hAnsi="Times New Roman" w:eastAsia="方正仿宋_GBK" w:cs="Times New Roman"/>
          <w:szCs w:val="32"/>
          <w:lang w:eastAsia="zh-CN"/>
        </w:rPr>
        <w:t>黔路中心文</w:t>
      </w:r>
      <w:r>
        <w:rPr>
          <w:rFonts w:hint="default" w:ascii="Times New Roman" w:hAnsi="Times New Roman" w:eastAsia="方正小标宋_GBK" w:cs="Times New Roman"/>
          <w:szCs w:val="32"/>
        </w:rPr>
        <w:t>〔</w:t>
      </w:r>
      <w:r>
        <w:rPr>
          <w:rFonts w:hint="default" w:ascii="Times New Roman" w:hAnsi="Times New Roman" w:eastAsia="方正仿宋_GBK" w:cs="Times New Roman"/>
          <w:szCs w:val="32"/>
        </w:rPr>
        <w:t>202</w:t>
      </w:r>
      <w:r>
        <w:rPr>
          <w:rFonts w:hint="default" w:ascii="Times New Roman" w:hAnsi="Times New Roman" w:eastAsia="方正仿宋_GBK" w:cs="Times New Roman"/>
          <w:szCs w:val="32"/>
          <w:lang w:val="en-US" w:eastAsia="zh-CN"/>
        </w:rPr>
        <w:t>5</w:t>
      </w:r>
      <w:r>
        <w:rPr>
          <w:rFonts w:hint="default" w:ascii="Times New Roman" w:hAnsi="Times New Roman" w:eastAsia="方正仿宋_GBK" w:cs="Times New Roman"/>
          <w:szCs w:val="32"/>
        </w:rPr>
        <w:t>〕</w:t>
      </w:r>
      <w:r>
        <w:rPr>
          <w:rFonts w:hint="default" w:ascii="Times New Roman" w:hAnsi="Times New Roman" w:eastAsia="方正仿宋_GBK" w:cs="Times New Roman"/>
          <w:szCs w:val="32"/>
          <w:lang w:val="en-US" w:eastAsia="zh-CN"/>
        </w:rPr>
        <w:t>78</w:t>
      </w:r>
      <w:r>
        <w:rPr>
          <w:rFonts w:hint="default" w:ascii="Times New Roman" w:hAnsi="Times New Roman" w:eastAsia="方正仿宋_GBK" w:cs="Times New Roman"/>
          <w:szCs w:val="32"/>
        </w:rPr>
        <w:t>号）收悉。结合黔江区政府投资</w:t>
      </w:r>
      <w:r>
        <w:rPr>
          <w:rFonts w:hint="default" w:ascii="Times New Roman" w:hAnsi="Times New Roman" w:eastAsia="方正仿宋_GBK" w:cs="Times New Roman"/>
          <w:szCs w:val="32"/>
          <w:lang w:eastAsia="zh-CN"/>
        </w:rPr>
        <w:t>项目前期工作服务</w:t>
      </w:r>
      <w:r>
        <w:rPr>
          <w:rFonts w:hint="default" w:ascii="Times New Roman" w:hAnsi="Times New Roman" w:eastAsia="方正仿宋_GBK" w:cs="Times New Roman"/>
          <w:szCs w:val="32"/>
        </w:rPr>
        <w:t>中心的评</w:t>
      </w:r>
      <w:r>
        <w:rPr>
          <w:rFonts w:hint="default" w:ascii="Times New Roman" w:hAnsi="Times New Roman" w:eastAsia="方正仿宋_GBK" w:cs="Times New Roman"/>
          <w:szCs w:val="32"/>
          <w:lang w:eastAsia="zh-CN"/>
        </w:rPr>
        <w:t>审</w:t>
      </w:r>
      <w:r>
        <w:rPr>
          <w:rFonts w:hint="default" w:ascii="Times New Roman" w:hAnsi="Times New Roman" w:eastAsia="方正仿宋_GBK" w:cs="Times New Roman"/>
          <w:szCs w:val="32"/>
        </w:rPr>
        <w:t>意见，经研究，同意实施</w:t>
      </w:r>
      <w:r>
        <w:rPr>
          <w:rFonts w:hint="default" w:ascii="Times New Roman" w:hAnsi="Times New Roman" w:eastAsia="方正仿宋_GBK" w:cs="Times New Roman"/>
          <w:szCs w:val="32"/>
          <w:lang w:val="zh-CN" w:eastAsia="zh-CN"/>
        </w:rPr>
        <w:t>黔江区2025年S203线K39+452—K39+478等路段应急抢险处治工程</w:t>
      </w:r>
      <w:r>
        <w:rPr>
          <w:rFonts w:hint="default" w:ascii="Times New Roman" w:hAnsi="Times New Roman" w:eastAsia="方正仿宋_GBK" w:cs="Times New Roman"/>
          <w:szCs w:val="32"/>
        </w:rPr>
        <w:t>（项目代码：25</w:t>
      </w:r>
      <w:r>
        <w:rPr>
          <w:rFonts w:hint="default" w:ascii="Times New Roman" w:hAnsi="Times New Roman" w:eastAsia="方正仿宋_GBK" w:cs="Times New Roman"/>
          <w:szCs w:val="32"/>
          <w:lang w:val="en-US" w:eastAsia="zh-CN"/>
        </w:rPr>
        <w:t>12</w:t>
      </w:r>
      <w:r>
        <w:rPr>
          <w:rFonts w:hint="eastAsia" w:ascii="方正仿宋_GBK" w:hAnsi="方正仿宋_GBK" w:eastAsia="方正仿宋_GBK" w:cs="方正仿宋_GBK"/>
          <w:szCs w:val="32"/>
        </w:rPr>
        <w:t>-</w:t>
      </w:r>
      <w:r>
        <w:rPr>
          <w:rFonts w:hint="default" w:ascii="Times New Roman" w:hAnsi="Times New Roman" w:eastAsia="方正仿宋_GBK" w:cs="Times New Roman"/>
          <w:szCs w:val="32"/>
        </w:rPr>
        <w:t>500114</w:t>
      </w:r>
      <w:r>
        <w:rPr>
          <w:rFonts w:hint="eastAsia" w:ascii="方正仿宋_GBK" w:hAnsi="方正仿宋_GBK" w:eastAsia="方正仿宋_GBK" w:cs="方正仿宋_GBK"/>
          <w:szCs w:val="32"/>
        </w:rPr>
        <w:t>-</w:t>
      </w:r>
      <w:r>
        <w:rPr>
          <w:rFonts w:hint="default" w:ascii="Times New Roman" w:hAnsi="Times New Roman" w:eastAsia="方正仿宋_GBK" w:cs="Times New Roman"/>
          <w:szCs w:val="32"/>
        </w:rPr>
        <w:t>04</w:t>
      </w:r>
      <w:r>
        <w:rPr>
          <w:rFonts w:hint="eastAsia" w:ascii="方正仿宋_GBK" w:hAnsi="方正仿宋_GBK" w:eastAsia="方正仿宋_GBK" w:cs="方正仿宋_GBK"/>
          <w:szCs w:val="32"/>
        </w:rPr>
        <w:t>-</w:t>
      </w:r>
      <w:r>
        <w:rPr>
          <w:rFonts w:hint="default" w:ascii="Times New Roman" w:hAnsi="Times New Roman" w:eastAsia="方正仿宋_GBK" w:cs="Times New Roman"/>
          <w:szCs w:val="32"/>
        </w:rPr>
        <w:t>0</w:t>
      </w:r>
      <w:r>
        <w:rPr>
          <w:rFonts w:hint="default" w:ascii="Times New Roman" w:hAnsi="Times New Roman" w:eastAsia="方正仿宋_GBK" w:cs="Times New Roman"/>
          <w:szCs w:val="32"/>
          <w:lang w:val="en-US" w:eastAsia="zh-CN"/>
        </w:rPr>
        <w:t>5</w:t>
      </w:r>
      <w:r>
        <w:rPr>
          <w:rFonts w:hint="eastAsia" w:ascii="方正仿宋_GBK" w:hAnsi="方正仿宋_GBK" w:eastAsia="方正仿宋_GBK" w:cs="方正仿宋_GBK"/>
          <w:szCs w:val="32"/>
        </w:rPr>
        <w:t>-</w:t>
      </w:r>
      <w:r>
        <w:rPr>
          <w:rFonts w:hint="default" w:ascii="Times New Roman" w:hAnsi="Times New Roman" w:eastAsia="方正仿宋_GBK" w:cs="Times New Roman"/>
          <w:szCs w:val="32"/>
          <w:lang w:val="en-US" w:eastAsia="zh-CN"/>
        </w:rPr>
        <w:t>874667</w:t>
      </w:r>
      <w:r>
        <w:rPr>
          <w:rFonts w:hint="default" w:ascii="Times New Roman" w:hAnsi="Times New Roman" w:eastAsia="方正仿宋_GBK" w:cs="Times New Roman"/>
          <w:szCs w:val="32"/>
        </w:rPr>
        <w:t>）。现将项目可行性研究报告批复如下：</w:t>
      </w:r>
    </w:p>
    <w:p w14:paraId="319DB820">
      <w:pPr>
        <w:spacing w:line="595" w:lineRule="exact"/>
        <w:ind w:firstLine="640" w:firstLineChars="200"/>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黑体_GBK" w:cs="Times New Roman"/>
          <w:sz w:val="32"/>
          <w:szCs w:val="32"/>
          <w:lang w:eastAsia="zh-CN"/>
        </w:rPr>
        <w:t>一</w:t>
      </w:r>
      <w:r>
        <w:rPr>
          <w:rFonts w:hint="default" w:ascii="Times New Roman" w:hAnsi="Times New Roman" w:eastAsia="方正黑体_GBK" w:cs="Times New Roman"/>
          <w:sz w:val="32"/>
          <w:szCs w:val="32"/>
          <w:lang w:val="en-US" w:eastAsia="zh-CN"/>
        </w:rPr>
        <w:t>、</w:t>
      </w:r>
      <w:r>
        <w:rPr>
          <w:rFonts w:hint="default" w:ascii="Times New Roman" w:hAnsi="Times New Roman" w:eastAsia="方正黑体_GBK" w:cs="Times New Roman"/>
          <w:sz w:val="32"/>
          <w:szCs w:val="32"/>
        </w:rPr>
        <w:t>项目</w:t>
      </w:r>
      <w:r>
        <w:rPr>
          <w:rFonts w:hint="default" w:ascii="Times New Roman" w:hAnsi="Times New Roman" w:eastAsia="方正黑体_GBK" w:cs="Times New Roman"/>
          <w:sz w:val="32"/>
          <w:szCs w:val="32"/>
          <w:lang w:eastAsia="zh-CN"/>
        </w:rPr>
        <w:t>业主</w:t>
      </w:r>
      <w:r>
        <w:rPr>
          <w:rFonts w:hint="default" w:ascii="Times New Roman" w:hAnsi="Times New Roman" w:eastAsia="方正黑体_GBK" w:cs="Times New Roman"/>
          <w:sz w:val="32"/>
          <w:szCs w:val="32"/>
          <w:lang w:val="en-US" w:eastAsia="zh-CN"/>
        </w:rPr>
        <w:t>：</w:t>
      </w:r>
      <w:r>
        <w:rPr>
          <w:rFonts w:hint="default" w:ascii="Times New Roman" w:hAnsi="Times New Roman" w:eastAsia="方正仿宋_GBK" w:cs="Times New Roman"/>
          <w:kern w:val="2"/>
          <w:sz w:val="32"/>
          <w:szCs w:val="32"/>
          <w:lang w:val="en-US" w:eastAsia="zh-CN" w:bidi="ar-SA"/>
        </w:rPr>
        <w:t>黔江区公路事务中心</w:t>
      </w:r>
    </w:p>
    <w:p w14:paraId="32F42040">
      <w:pPr>
        <w:spacing w:line="595" w:lineRule="exact"/>
        <w:ind w:firstLine="640" w:firstLineChars="200"/>
        <w:rPr>
          <w:rFonts w:hint="default" w:ascii="Times New Roman" w:hAnsi="Times New Roman" w:eastAsia="方正仿宋_GBK" w:cs="Times New Roman"/>
          <w:kern w:val="2"/>
          <w:sz w:val="32"/>
          <w:szCs w:val="32"/>
          <w:lang w:val="zh-CN" w:eastAsia="zh-CN" w:bidi="ar-SA"/>
        </w:rPr>
      </w:pPr>
      <w:r>
        <w:rPr>
          <w:rFonts w:hint="default" w:ascii="Times New Roman" w:hAnsi="Times New Roman" w:eastAsia="方正黑体_GBK" w:cs="Times New Roman"/>
          <w:sz w:val="32"/>
          <w:szCs w:val="32"/>
          <w:lang w:eastAsia="zh-CN"/>
        </w:rPr>
        <w:t>二</w:t>
      </w:r>
      <w:r>
        <w:rPr>
          <w:rFonts w:hint="default" w:ascii="Times New Roman" w:hAnsi="Times New Roman" w:eastAsia="方正黑体_GBK" w:cs="Times New Roman"/>
          <w:sz w:val="32"/>
          <w:szCs w:val="32"/>
        </w:rPr>
        <w:t>、建设地点：</w:t>
      </w:r>
      <w:r>
        <w:rPr>
          <w:rFonts w:hint="default" w:ascii="Times New Roman" w:hAnsi="Times New Roman" w:eastAsia="方正仿宋_GBK" w:cs="Times New Roman"/>
          <w:kern w:val="2"/>
          <w:sz w:val="32"/>
          <w:szCs w:val="32"/>
          <w:lang w:val="en-US" w:eastAsia="zh-CN" w:bidi="ar-SA"/>
        </w:rPr>
        <w:t>黔江区</w:t>
      </w:r>
    </w:p>
    <w:p w14:paraId="0723BB49">
      <w:pPr>
        <w:autoSpaceDE w:val="0"/>
        <w:autoSpaceDN w:val="0"/>
        <w:adjustRightInd w:val="0"/>
        <w:spacing w:line="580" w:lineRule="exact"/>
        <w:ind w:firstLine="640" w:firstLineChars="200"/>
        <w:rPr>
          <w:rFonts w:hint="default" w:ascii="Times New Roman" w:hAnsi="Times New Roman" w:eastAsia="方正仿宋_GBK" w:cs="Times New Roman"/>
          <w:kern w:val="2"/>
          <w:sz w:val="32"/>
          <w:szCs w:val="32"/>
          <w:lang w:val="zh-CN" w:eastAsia="zh-CN" w:bidi="ar-SA"/>
        </w:rPr>
      </w:pPr>
      <w:r>
        <w:rPr>
          <w:rFonts w:hint="default" w:ascii="Times New Roman" w:hAnsi="Times New Roman" w:eastAsia="方正黑体_GBK" w:cs="Times New Roman"/>
          <w:sz w:val="32"/>
          <w:szCs w:val="32"/>
          <w:lang w:eastAsia="zh-CN"/>
        </w:rPr>
        <w:t>三</w:t>
      </w:r>
      <w:r>
        <w:rPr>
          <w:rFonts w:hint="default" w:ascii="Times New Roman" w:hAnsi="Times New Roman" w:eastAsia="方正黑体_GBK" w:cs="Times New Roman"/>
          <w:sz w:val="32"/>
          <w:szCs w:val="32"/>
        </w:rPr>
        <w:t>、主要建设内容及规模</w:t>
      </w:r>
      <w:r>
        <w:rPr>
          <w:rFonts w:hint="default" w:ascii="Times New Roman" w:hAnsi="Times New Roman" w:eastAsia="方正仿宋_GBK" w:cs="Times New Roman"/>
          <w:kern w:val="2"/>
          <w:sz w:val="32"/>
          <w:szCs w:val="32"/>
          <w:lang w:val="en-US" w:eastAsia="zh-CN" w:bidi="ar-SA"/>
        </w:rPr>
        <w:t>：对S203线、S304线、S523线、S524 线、X906线部分路段进行应急抢险处治。主要包括边坡整治、路基路面、涵洞工程、交安设施等建设内容。</w:t>
      </w:r>
    </w:p>
    <w:p w14:paraId="33DDCE99">
      <w:pPr>
        <w:spacing w:line="5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lang w:eastAsia="zh-CN"/>
        </w:rPr>
        <w:t>四</w:t>
      </w:r>
      <w:r>
        <w:rPr>
          <w:rFonts w:hint="default" w:ascii="Times New Roman" w:hAnsi="Times New Roman" w:eastAsia="方正黑体_GBK" w:cs="Times New Roman"/>
          <w:sz w:val="32"/>
          <w:szCs w:val="32"/>
        </w:rPr>
        <w:t>、建设工期：</w:t>
      </w:r>
      <w:r>
        <w:rPr>
          <w:rFonts w:hint="default" w:ascii="Times New Roman" w:hAnsi="Times New Roman" w:eastAsia="方正黑体_GBK" w:cs="Times New Roman"/>
          <w:sz w:val="32"/>
          <w:szCs w:val="32"/>
          <w:lang w:val="en-US" w:eastAsia="zh-CN"/>
        </w:rPr>
        <w:t>3</w:t>
      </w:r>
      <w:r>
        <w:rPr>
          <w:rFonts w:hint="default" w:ascii="Times New Roman" w:hAnsi="Times New Roman" w:eastAsia="方正仿宋_GBK" w:cs="Times New Roman"/>
          <w:sz w:val="32"/>
          <w:szCs w:val="32"/>
        </w:rPr>
        <w:t>个月。</w:t>
      </w:r>
    </w:p>
    <w:p w14:paraId="78050A43">
      <w:pPr>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rPr>
          <w:rFonts w:hint="default" w:ascii="Times New Roman" w:hAnsi="Times New Roman" w:eastAsia="方正仿宋_GBK" w:cs="Times New Roman"/>
          <w:sz w:val="32"/>
          <w:szCs w:val="32"/>
          <w:lang w:val="zh-CN" w:eastAsia="zh-CN"/>
        </w:rPr>
      </w:pPr>
      <w:r>
        <w:rPr>
          <w:rFonts w:hint="default" w:ascii="Times New Roman" w:hAnsi="Times New Roman" w:eastAsia="方正黑体_GBK" w:cs="Times New Roman"/>
          <w:sz w:val="32"/>
          <w:szCs w:val="32"/>
          <w:lang w:val="en-US" w:eastAsia="zh-CN"/>
        </w:rPr>
        <w:t>五、项目总投资及资金来源：</w:t>
      </w:r>
      <w:r>
        <w:rPr>
          <w:rFonts w:hint="default" w:ascii="Times New Roman" w:hAnsi="Times New Roman" w:eastAsia="方正仿宋_GBK" w:cs="Times New Roman"/>
          <w:kern w:val="2"/>
          <w:sz w:val="32"/>
          <w:szCs w:val="32"/>
          <w:lang w:val="en-US" w:eastAsia="zh-CN" w:bidi="ar-SA"/>
        </w:rPr>
        <w:t>项目估算总投资412.47万元，其中：</w:t>
      </w:r>
      <w:bookmarkStart w:id="0" w:name="_Hlk133242824"/>
      <w:r>
        <w:rPr>
          <w:rFonts w:hint="default" w:ascii="Times New Roman" w:hAnsi="Times New Roman" w:eastAsia="方正仿宋_GBK" w:cs="Times New Roman"/>
          <w:kern w:val="2"/>
          <w:sz w:val="32"/>
          <w:szCs w:val="32"/>
          <w:lang w:val="en-US" w:eastAsia="zh-CN" w:bidi="ar-SA"/>
        </w:rPr>
        <w:t>工程费用357.97万元，</w:t>
      </w:r>
      <w:bookmarkEnd w:id="0"/>
      <w:r>
        <w:rPr>
          <w:rFonts w:hint="default" w:ascii="Times New Roman" w:hAnsi="Times New Roman" w:eastAsia="方正仿宋_GBK" w:cs="Times New Roman"/>
          <w:kern w:val="2"/>
          <w:sz w:val="32"/>
          <w:szCs w:val="32"/>
          <w:lang w:val="en-US" w:eastAsia="zh-CN" w:bidi="ar-SA"/>
        </w:rPr>
        <w:t>工程建设其他费34.86万元，预备费19.64万元。资金来源为市级补助资金，不足部分由业主自</w:t>
      </w:r>
      <w:r>
        <w:rPr>
          <w:rFonts w:hint="default" w:ascii="Times New Roman" w:hAnsi="Times New Roman" w:eastAsia="方正仿宋_GBK" w:cs="Times New Roman"/>
          <w:sz w:val="32"/>
          <w:szCs w:val="32"/>
          <w:lang w:val="en-US" w:eastAsia="zh-CN"/>
        </w:rPr>
        <w:t>筹。</w:t>
      </w:r>
    </w:p>
    <w:p w14:paraId="164FE217">
      <w:pPr>
        <w:keepNext w:val="0"/>
        <w:keepLines w:val="0"/>
        <w:pageBreakBefore w:val="0"/>
        <w:widowControl w:val="0"/>
        <w:kinsoku/>
        <w:wordWrap/>
        <w:overflowPunct/>
        <w:topLinePunct w:val="0"/>
        <w:autoSpaceDE/>
        <w:autoSpaceDN/>
        <w:bidi w:val="0"/>
        <w:adjustRightInd/>
        <w:snapToGrid/>
        <w:spacing w:line="600" w:lineRule="exact"/>
        <w:ind w:left="0" w:right="0" w:rightChars="0" w:firstLine="640"/>
        <w:jc w:val="both"/>
        <w:textAlignment w:val="auto"/>
        <w:outlineLvl w:val="9"/>
        <w:rPr>
          <w:rFonts w:hint="eastAsia" w:ascii="Times New Roman" w:hAnsi="Times New Roman" w:eastAsia="方正仿宋_GBK"/>
          <w:sz w:val="32"/>
          <w:szCs w:val="32"/>
        </w:rPr>
      </w:pPr>
      <w:r>
        <w:rPr>
          <w:rFonts w:hint="default" w:ascii="Times New Roman" w:hAnsi="Times New Roman" w:eastAsia="方正黑体_GBK" w:cs="Times New Roman"/>
          <w:sz w:val="32"/>
          <w:szCs w:val="32"/>
          <w:lang w:eastAsia="zh-CN"/>
        </w:rPr>
        <w:t>六</w:t>
      </w:r>
      <w:r>
        <w:rPr>
          <w:rFonts w:hint="default" w:ascii="Times New Roman" w:hAnsi="Times New Roman" w:eastAsia="方正黑体_GBK" w:cs="Times New Roman"/>
          <w:sz w:val="32"/>
          <w:szCs w:val="32"/>
        </w:rPr>
        <w:t>、招标核准：</w:t>
      </w:r>
      <w:r>
        <w:rPr>
          <w:rFonts w:hint="default" w:ascii="Times New Roman" w:hAnsi="Times New Roman" w:eastAsia="方正仿宋_GBK" w:cs="Times New Roman"/>
          <w:color w:val="auto"/>
          <w:spacing w:val="0"/>
          <w:position w:val="0"/>
          <w:sz w:val="32"/>
          <w:shd w:val="clear" w:color="auto" w:fill="auto"/>
        </w:rPr>
        <w:t>招标范</w:t>
      </w:r>
      <w:r>
        <w:rPr>
          <w:rFonts w:ascii="方正仿宋_GBK" w:hAnsi="方正仿宋_GBK" w:eastAsia="方正仿宋_GBK" w:cs="方正仿宋_GBK"/>
          <w:color w:val="auto"/>
          <w:spacing w:val="0"/>
          <w:position w:val="0"/>
          <w:sz w:val="32"/>
          <w:shd w:val="clear" w:color="auto" w:fill="auto"/>
        </w:rPr>
        <w:t>围、招标方式及招标组织形式严格按照《中华人民共和国招标投标法实施条例》及相关法律规定组织实施。</w:t>
      </w:r>
    </w:p>
    <w:p w14:paraId="58E8A575">
      <w:pPr>
        <w:pStyle w:val="6"/>
        <w:spacing w:line="520" w:lineRule="exact"/>
        <w:ind w:firstLine="640" w:firstLineChars="200"/>
        <w:rPr>
          <w:rFonts w:hint="eastAsia" w:ascii="Times New Roman" w:hAnsi="Times New Roman" w:eastAsia="方正仿宋_GBK"/>
          <w:sz w:val="32"/>
          <w:szCs w:val="32"/>
        </w:rPr>
      </w:pPr>
      <w:r>
        <w:rPr>
          <w:rFonts w:hint="eastAsia" w:ascii="方正黑体_GBK" w:hAnsi="方正黑体_GBK" w:eastAsia="方正黑体_GBK" w:cs="方正黑体_GBK"/>
          <w:sz w:val="32"/>
          <w:szCs w:val="32"/>
          <w:lang w:eastAsia="zh-CN"/>
        </w:rPr>
        <w:t>七</w:t>
      </w:r>
      <w:r>
        <w:rPr>
          <w:rFonts w:hint="eastAsia" w:ascii="方正黑体_GBK" w:hAnsi="方正黑体_GBK" w:eastAsia="方正黑体_GBK" w:cs="方正黑体_GBK"/>
          <w:sz w:val="32"/>
          <w:szCs w:val="32"/>
        </w:rPr>
        <w:t>、有关事项：</w:t>
      </w:r>
      <w:r>
        <w:rPr>
          <w:rFonts w:hint="default" w:ascii="方正仿宋_GBK" w:hAnsi="方正仿宋_GBK" w:eastAsia="方正仿宋_GBK" w:cs="方正仿宋_GBK"/>
          <w:color w:val="auto"/>
          <w:spacing w:val="0"/>
          <w:kern w:val="2"/>
          <w:position w:val="0"/>
          <w:sz w:val="32"/>
          <w:szCs w:val="22"/>
          <w:shd w:val="clear" w:color="auto" w:fill="auto"/>
          <w:lang w:val="en-US" w:eastAsia="zh-CN" w:bidi="ar-SA"/>
        </w:rPr>
        <w:t>请你单位根据本批复，结合项目可行性研究报告评估意见</w:t>
      </w:r>
      <w:r>
        <w:rPr>
          <w:rFonts w:hint="eastAsia" w:ascii="Times New Roman" w:hAnsi="Times New Roman" w:eastAsia="方正仿宋_GBK"/>
          <w:sz w:val="32"/>
          <w:szCs w:val="32"/>
          <w:lang w:val="en-US" w:eastAsia="zh-CN"/>
        </w:rPr>
        <w:t>，抓紧开展下步工作。要严格执行项目法人责任制、招标投标制、工程监理制、合同管理制，严格控制工程投资标准，防止工程超过审定投资。</w:t>
      </w:r>
    </w:p>
    <w:p w14:paraId="64126ACD">
      <w:pPr>
        <w:pStyle w:val="6"/>
        <w:spacing w:line="500" w:lineRule="exact"/>
        <w:rPr>
          <w:rFonts w:hint="eastAsia" w:ascii="Times New Roman" w:hAnsi="Times New Roman" w:eastAsia="方正仿宋_GBK"/>
          <w:sz w:val="32"/>
          <w:szCs w:val="32"/>
        </w:rPr>
      </w:pPr>
    </w:p>
    <w:p w14:paraId="28E1EF84">
      <w:pPr>
        <w:pStyle w:val="6"/>
        <w:spacing w:line="520" w:lineRule="exact"/>
        <w:ind w:left="1598" w:leftChars="304" w:hanging="960" w:hangingChars="300"/>
        <w:rPr>
          <w:rFonts w:hint="eastAsia" w:ascii="Times New Roman" w:hAnsi="Times New Roman" w:eastAsia="方正仿宋_GBK"/>
          <w:sz w:val="32"/>
          <w:szCs w:val="32"/>
          <w:lang w:val="zh-CN" w:eastAsia="zh-CN"/>
        </w:rPr>
      </w:pPr>
      <w:r>
        <w:rPr>
          <w:rFonts w:hint="eastAsia" w:ascii="Times New Roman" w:hAnsi="Times New Roman" w:eastAsia="方正仿宋_GBK"/>
          <w:sz w:val="32"/>
          <w:szCs w:val="32"/>
        </w:rPr>
        <w:t>附件：</w:t>
      </w:r>
      <w:r>
        <w:rPr>
          <w:rFonts w:hint="eastAsia" w:ascii="Times New Roman" w:hAnsi="Times New Roman" w:eastAsia="方正仿宋_GBK"/>
          <w:sz w:val="32"/>
          <w:szCs w:val="32"/>
          <w:lang w:val="zh-CN" w:eastAsia="zh-CN"/>
        </w:rPr>
        <w:t>黔江区2025年S203线K39+452—K39+478等路段应</w:t>
      </w:r>
    </w:p>
    <w:p w14:paraId="4A623D46">
      <w:pPr>
        <w:pStyle w:val="6"/>
        <w:spacing w:line="520" w:lineRule="exact"/>
        <w:ind w:left="0" w:leftChars="0" w:firstLine="1478" w:firstLineChars="462"/>
        <w:rPr>
          <w:rFonts w:hint="eastAsia" w:ascii="Times New Roman" w:hAnsi="Times New Roman" w:eastAsia="方正仿宋_GBK"/>
          <w:sz w:val="32"/>
          <w:szCs w:val="32"/>
        </w:rPr>
      </w:pPr>
      <w:r>
        <w:rPr>
          <w:rFonts w:hint="eastAsia" w:ascii="Times New Roman" w:hAnsi="Times New Roman" w:eastAsia="方正仿宋_GBK"/>
          <w:sz w:val="32"/>
          <w:szCs w:val="32"/>
          <w:lang w:val="zh-CN" w:eastAsia="zh-CN"/>
        </w:rPr>
        <w:t>急抢险处治工程</w:t>
      </w:r>
      <w:r>
        <w:rPr>
          <w:rFonts w:hint="eastAsia" w:ascii="Times New Roman" w:hAnsi="Times New Roman" w:eastAsia="方正仿宋_GBK"/>
          <w:sz w:val="32"/>
          <w:szCs w:val="32"/>
        </w:rPr>
        <w:t>投资估算表</w:t>
      </w:r>
    </w:p>
    <w:p w14:paraId="074E499A">
      <w:pPr>
        <w:pStyle w:val="6"/>
        <w:spacing w:line="520" w:lineRule="exact"/>
        <w:rPr>
          <w:rFonts w:hint="eastAsia" w:ascii="Times New Roman" w:hAnsi="Times New Roman" w:eastAsia="方正仿宋_GBK"/>
          <w:sz w:val="32"/>
          <w:szCs w:val="32"/>
        </w:rPr>
      </w:pPr>
    </w:p>
    <w:p w14:paraId="698BC9D5">
      <w:pPr>
        <w:pStyle w:val="6"/>
        <w:spacing w:line="520" w:lineRule="exact"/>
        <w:rPr>
          <w:rFonts w:hint="eastAsia" w:ascii="Times New Roman" w:hAnsi="Times New Roman" w:eastAsia="方正仿宋_GBK"/>
          <w:sz w:val="32"/>
          <w:szCs w:val="32"/>
        </w:rPr>
      </w:pPr>
    </w:p>
    <w:p w14:paraId="3226EA7A">
      <w:pPr>
        <w:spacing w:line="500" w:lineRule="exact"/>
        <w:ind w:firstLine="3520" w:firstLineChars="1100"/>
        <w:rPr>
          <w:rFonts w:eastAsia="方正仿宋_GBK"/>
          <w:sz w:val="32"/>
          <w:szCs w:val="32"/>
        </w:rPr>
      </w:pPr>
      <w:r>
        <w:rPr>
          <w:rFonts w:eastAsia="方正仿宋_GBK"/>
          <w:sz w:val="32"/>
          <w:szCs w:val="32"/>
        </w:rPr>
        <w:t>重庆市黔江区发展和改革委员会</w:t>
      </w:r>
    </w:p>
    <w:p w14:paraId="0C048FD2">
      <w:pPr>
        <w:pStyle w:val="4"/>
        <w:spacing w:line="500" w:lineRule="exact"/>
        <w:ind w:firstLine="640" w:firstLineChars="200"/>
        <w:rPr>
          <w:rFonts w:eastAsia="方正仿宋_GBK"/>
        </w:rPr>
      </w:pPr>
      <w:r>
        <w:rPr>
          <w:rFonts w:eastAsia="方正仿宋_GBK"/>
          <w:szCs w:val="32"/>
        </w:rPr>
        <w:t xml:space="preserve">                </w:t>
      </w:r>
      <w:r>
        <w:rPr>
          <w:rFonts w:hint="eastAsia" w:eastAsia="方正仿宋_GBK"/>
          <w:szCs w:val="32"/>
        </w:rPr>
        <w:t xml:space="preserve">        202</w:t>
      </w:r>
      <w:r>
        <w:rPr>
          <w:rFonts w:hint="eastAsia" w:eastAsia="方正仿宋_GBK"/>
          <w:szCs w:val="32"/>
          <w:lang w:val="en-US" w:eastAsia="zh-CN"/>
        </w:rPr>
        <w:t>6</w:t>
      </w:r>
      <w:r>
        <w:rPr>
          <w:rFonts w:eastAsia="方正仿宋_GBK"/>
        </w:rPr>
        <w:t>年</w:t>
      </w:r>
      <w:r>
        <w:rPr>
          <w:rFonts w:hint="eastAsia" w:eastAsia="方正仿宋_GBK"/>
          <w:lang w:val="en-US" w:eastAsia="zh-CN"/>
        </w:rPr>
        <w:t>1</w:t>
      </w:r>
      <w:r>
        <w:rPr>
          <w:rFonts w:eastAsia="方正仿宋_GBK"/>
        </w:rPr>
        <w:t>月</w:t>
      </w:r>
      <w:r>
        <w:rPr>
          <w:rFonts w:hint="eastAsia" w:eastAsia="方正仿宋_GBK"/>
          <w:lang w:val="en-US" w:eastAsia="zh-CN"/>
        </w:rPr>
        <w:t>6</w:t>
      </w:r>
      <w:r>
        <w:rPr>
          <w:rFonts w:eastAsia="方正仿宋_GBK"/>
        </w:rPr>
        <w:t>日</w:t>
      </w:r>
    </w:p>
    <w:p w14:paraId="21D9B7E4">
      <w:pPr>
        <w:pStyle w:val="6"/>
        <w:jc w:val="left"/>
        <w:rPr>
          <w:rFonts w:hint="eastAsia" w:ascii="方正小标宋_GBK" w:hAnsi="方正小标宋_GBK" w:eastAsia="方正小标宋_GBK" w:cs="方正小标宋_GBK"/>
          <w:sz w:val="36"/>
          <w:szCs w:val="36"/>
        </w:rPr>
      </w:pPr>
      <w:r>
        <w:rPr>
          <w:rFonts w:hint="eastAsia" w:ascii="方正黑体_GBK" w:hAnsi="方正黑体_GBK" w:eastAsia="方正黑体_GBK" w:cs="方正黑体_GBK"/>
          <w:sz w:val="32"/>
          <w:szCs w:val="32"/>
        </w:rPr>
        <w:t>附件</w:t>
      </w:r>
    </w:p>
    <w:p w14:paraId="5B0C1098">
      <w:pPr>
        <w:pStyle w:val="6"/>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_GBK" w:hAnsi="方正小标宋_GBK" w:eastAsia="方正小标宋_GBK" w:cs="方正小标宋_GBK"/>
          <w:sz w:val="36"/>
          <w:szCs w:val="36"/>
          <w:lang w:val="zh-CN" w:eastAsia="zh-CN"/>
        </w:rPr>
      </w:pPr>
      <w:r>
        <w:rPr>
          <w:rFonts w:hint="eastAsia" w:ascii="方正小标宋_GBK" w:hAnsi="方正小标宋_GBK" w:eastAsia="方正小标宋_GBK" w:cs="方正小标宋_GBK"/>
          <w:sz w:val="36"/>
          <w:szCs w:val="36"/>
          <w:lang w:val="zh-CN" w:eastAsia="zh-CN"/>
        </w:rPr>
        <w:t>黔江区2025年S203线K39+452—K39+478等路段</w:t>
      </w:r>
    </w:p>
    <w:p w14:paraId="1ADEA471">
      <w:pPr>
        <w:pStyle w:val="6"/>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lang w:val="zh-CN" w:eastAsia="zh-CN"/>
        </w:rPr>
        <w:t>应急抢险处治工程</w:t>
      </w:r>
      <w:r>
        <w:rPr>
          <w:rFonts w:hint="eastAsia" w:ascii="方正小标宋_GBK" w:hAnsi="方正小标宋_GBK" w:eastAsia="方正小标宋_GBK" w:cs="方正小标宋_GBK"/>
          <w:sz w:val="36"/>
          <w:szCs w:val="36"/>
        </w:rPr>
        <w:t>投资估算表</w:t>
      </w:r>
    </w:p>
    <w:tbl>
      <w:tblPr>
        <w:tblStyle w:val="1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025"/>
        <w:gridCol w:w="5445"/>
        <w:gridCol w:w="2460"/>
      </w:tblGrid>
      <w:tr w14:paraId="6C298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80" w:hRule="atLeast"/>
        </w:trPr>
        <w:tc>
          <w:tcPr>
            <w:tcW w:w="1025" w:type="dxa"/>
            <w:tcBorders>
              <w:top w:val="single" w:color="000000" w:sz="4" w:space="0"/>
              <w:left w:val="single" w:color="000000" w:sz="4" w:space="0"/>
              <w:bottom w:val="single" w:color="000000" w:sz="4" w:space="0"/>
              <w:right w:val="single" w:color="000000" w:sz="4" w:space="0"/>
            </w:tcBorders>
            <w:noWrap w:val="0"/>
            <w:vAlign w:val="center"/>
          </w:tcPr>
          <w:p w14:paraId="6691BA30">
            <w:pPr>
              <w:keepNext w:val="0"/>
              <w:keepLines w:val="0"/>
              <w:widowControl/>
              <w:suppressLineNumbers w:val="0"/>
              <w:jc w:val="center"/>
              <w:textAlignment w:val="center"/>
              <w:rPr>
                <w:rFonts w:hint="default" w:ascii="Times New Roman" w:hAnsi="Times New Roman" w:eastAsia="方正黑体_GBK" w:cs="Times New Roman"/>
                <w:i w:val="0"/>
                <w:color w:val="000000"/>
                <w:sz w:val="28"/>
                <w:szCs w:val="28"/>
                <w:u w:val="none"/>
              </w:rPr>
            </w:pPr>
            <w:r>
              <w:rPr>
                <w:rFonts w:hint="default" w:ascii="Times New Roman" w:hAnsi="Times New Roman" w:eastAsia="方正黑体_GBK" w:cs="Times New Roman"/>
                <w:i w:val="0"/>
                <w:color w:val="000000"/>
                <w:kern w:val="0"/>
                <w:sz w:val="28"/>
                <w:szCs w:val="28"/>
                <w:u w:val="none"/>
                <w:lang w:val="en-US" w:eastAsia="zh-CN" w:bidi="ar"/>
              </w:rPr>
              <w:t>序 号</w:t>
            </w:r>
          </w:p>
        </w:tc>
        <w:tc>
          <w:tcPr>
            <w:tcW w:w="5445" w:type="dxa"/>
            <w:tcBorders>
              <w:top w:val="single" w:color="000000" w:sz="4" w:space="0"/>
              <w:left w:val="single" w:color="000000" w:sz="4" w:space="0"/>
              <w:bottom w:val="single" w:color="000000" w:sz="4" w:space="0"/>
              <w:right w:val="single" w:color="000000" w:sz="4" w:space="0"/>
            </w:tcBorders>
            <w:noWrap w:val="0"/>
            <w:vAlign w:val="center"/>
          </w:tcPr>
          <w:p w14:paraId="7A8FFCDC">
            <w:pPr>
              <w:keepNext w:val="0"/>
              <w:keepLines w:val="0"/>
              <w:widowControl/>
              <w:suppressLineNumbers w:val="0"/>
              <w:jc w:val="center"/>
              <w:textAlignment w:val="center"/>
              <w:rPr>
                <w:rFonts w:hint="default" w:ascii="Times New Roman" w:hAnsi="Times New Roman" w:eastAsia="方正黑体_GBK" w:cs="Times New Roman"/>
                <w:i w:val="0"/>
                <w:color w:val="000000"/>
                <w:sz w:val="28"/>
                <w:szCs w:val="28"/>
                <w:u w:val="none"/>
              </w:rPr>
            </w:pPr>
            <w:r>
              <w:rPr>
                <w:rFonts w:hint="default" w:ascii="Times New Roman" w:hAnsi="Times New Roman" w:eastAsia="方正黑体_GBK" w:cs="Times New Roman"/>
                <w:i w:val="0"/>
                <w:color w:val="000000"/>
                <w:kern w:val="0"/>
                <w:sz w:val="28"/>
                <w:szCs w:val="28"/>
                <w:u w:val="none"/>
                <w:lang w:val="en-US" w:eastAsia="zh-CN" w:bidi="ar"/>
              </w:rPr>
              <w:t>工程或费用名称</w:t>
            </w:r>
          </w:p>
        </w:tc>
        <w:tc>
          <w:tcPr>
            <w:tcW w:w="2460" w:type="dxa"/>
            <w:tcBorders>
              <w:top w:val="single" w:color="000000" w:sz="4" w:space="0"/>
              <w:left w:val="single" w:color="000000" w:sz="4" w:space="0"/>
              <w:bottom w:val="single" w:color="000000" w:sz="4" w:space="0"/>
              <w:right w:val="single" w:color="000000" w:sz="4" w:space="0"/>
            </w:tcBorders>
            <w:noWrap w:val="0"/>
            <w:vAlign w:val="center"/>
          </w:tcPr>
          <w:p w14:paraId="04423694">
            <w:pPr>
              <w:keepNext w:val="0"/>
              <w:keepLines w:val="0"/>
              <w:widowControl/>
              <w:suppressLineNumbers w:val="0"/>
              <w:jc w:val="center"/>
              <w:textAlignment w:val="center"/>
              <w:rPr>
                <w:rFonts w:hint="default" w:ascii="Times New Roman" w:hAnsi="Times New Roman" w:eastAsia="方正黑体_GBK" w:cs="Times New Roman"/>
                <w:i w:val="0"/>
                <w:color w:val="000000"/>
                <w:sz w:val="28"/>
                <w:szCs w:val="28"/>
                <w:u w:val="none"/>
              </w:rPr>
            </w:pPr>
            <w:r>
              <w:rPr>
                <w:rFonts w:hint="default" w:ascii="Times New Roman" w:hAnsi="Times New Roman" w:eastAsia="方正黑体_GBK" w:cs="Times New Roman"/>
                <w:i w:val="0"/>
                <w:color w:val="000000"/>
                <w:kern w:val="0"/>
                <w:sz w:val="28"/>
                <w:szCs w:val="28"/>
                <w:u w:val="none"/>
                <w:lang w:val="en-US" w:eastAsia="zh-CN" w:bidi="ar"/>
              </w:rPr>
              <w:t>金额（万元）</w:t>
            </w:r>
          </w:p>
        </w:tc>
      </w:tr>
      <w:tr w14:paraId="2C589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80" w:hRule="atLeast"/>
        </w:trPr>
        <w:tc>
          <w:tcPr>
            <w:tcW w:w="1025" w:type="dxa"/>
            <w:tcBorders>
              <w:top w:val="single" w:color="000000" w:sz="4" w:space="0"/>
              <w:left w:val="single" w:color="000000" w:sz="4" w:space="0"/>
              <w:bottom w:val="single" w:color="000000" w:sz="4" w:space="0"/>
              <w:right w:val="single" w:color="000000" w:sz="4" w:space="0"/>
            </w:tcBorders>
            <w:noWrap w:val="0"/>
            <w:vAlign w:val="center"/>
          </w:tcPr>
          <w:p w14:paraId="07A136E1">
            <w:pPr>
              <w:keepNext w:val="0"/>
              <w:keepLines w:val="0"/>
              <w:widowControl/>
              <w:suppressLineNumbers w:val="0"/>
              <w:jc w:val="center"/>
              <w:textAlignment w:val="center"/>
              <w:rPr>
                <w:rFonts w:hint="default" w:ascii="Times New Roman" w:hAnsi="Times New Roman" w:eastAsia="方正楷体_GBK" w:cs="Times New Roman"/>
                <w:b/>
                <w:i w:val="0"/>
                <w:color w:val="000000"/>
                <w:sz w:val="28"/>
                <w:szCs w:val="28"/>
                <w:u w:val="none"/>
              </w:rPr>
            </w:pPr>
            <w:r>
              <w:rPr>
                <w:rFonts w:hint="default" w:ascii="Times New Roman" w:hAnsi="Times New Roman" w:eastAsia="方正楷体_GBK" w:cs="Times New Roman"/>
                <w:b/>
                <w:i w:val="0"/>
                <w:color w:val="000000"/>
                <w:kern w:val="0"/>
                <w:sz w:val="28"/>
                <w:szCs w:val="28"/>
                <w:u w:val="none"/>
                <w:lang w:val="en-US" w:eastAsia="zh-CN" w:bidi="ar"/>
              </w:rPr>
              <w:t>一</w:t>
            </w:r>
          </w:p>
        </w:tc>
        <w:tc>
          <w:tcPr>
            <w:tcW w:w="5445" w:type="dxa"/>
            <w:tcBorders>
              <w:top w:val="single" w:color="000000" w:sz="4" w:space="0"/>
              <w:left w:val="single" w:color="000000" w:sz="4" w:space="0"/>
              <w:bottom w:val="single" w:color="000000" w:sz="4" w:space="0"/>
              <w:right w:val="single" w:color="000000" w:sz="4" w:space="0"/>
            </w:tcBorders>
            <w:noWrap w:val="0"/>
            <w:vAlign w:val="center"/>
          </w:tcPr>
          <w:p w14:paraId="19B048DF">
            <w:pPr>
              <w:keepNext w:val="0"/>
              <w:keepLines w:val="0"/>
              <w:widowControl/>
              <w:suppressLineNumbers w:val="0"/>
              <w:jc w:val="center"/>
              <w:textAlignment w:val="center"/>
              <w:rPr>
                <w:rFonts w:hint="default" w:ascii="Times New Roman" w:hAnsi="Times New Roman" w:eastAsia="方正楷体_GBK" w:cs="Times New Roman"/>
                <w:b/>
                <w:i w:val="0"/>
                <w:color w:val="000000"/>
                <w:sz w:val="28"/>
                <w:szCs w:val="28"/>
                <w:u w:val="none"/>
              </w:rPr>
            </w:pPr>
            <w:r>
              <w:rPr>
                <w:rFonts w:hint="default" w:ascii="Times New Roman" w:hAnsi="Times New Roman" w:eastAsia="方正楷体_GBK" w:cs="Times New Roman"/>
                <w:b/>
                <w:i w:val="0"/>
                <w:color w:val="000000"/>
                <w:kern w:val="0"/>
                <w:sz w:val="28"/>
                <w:szCs w:val="28"/>
                <w:u w:val="none"/>
                <w:lang w:val="en-US" w:eastAsia="zh-CN" w:bidi="ar"/>
              </w:rPr>
              <w:t>工程费用</w:t>
            </w:r>
          </w:p>
        </w:tc>
        <w:tc>
          <w:tcPr>
            <w:tcW w:w="2460" w:type="dxa"/>
            <w:tcBorders>
              <w:top w:val="single" w:color="000000" w:sz="4" w:space="0"/>
              <w:left w:val="single" w:color="000000" w:sz="4" w:space="0"/>
              <w:bottom w:val="single" w:color="000000" w:sz="4" w:space="0"/>
              <w:right w:val="single" w:color="000000" w:sz="4" w:space="0"/>
            </w:tcBorders>
            <w:noWrap w:val="0"/>
            <w:vAlign w:val="center"/>
          </w:tcPr>
          <w:p w14:paraId="71D0DFCB">
            <w:pPr>
              <w:keepNext w:val="0"/>
              <w:keepLines w:val="0"/>
              <w:widowControl/>
              <w:suppressLineNumbers w:val="0"/>
              <w:jc w:val="center"/>
              <w:textAlignment w:val="center"/>
              <w:rPr>
                <w:rFonts w:hint="default" w:ascii="Times New Roman" w:hAnsi="Times New Roman" w:eastAsia="方正楷体_GBK" w:cs="Times New Roman"/>
                <w:b/>
                <w:i w:val="0"/>
                <w:color w:val="000000"/>
                <w:sz w:val="28"/>
                <w:szCs w:val="28"/>
                <w:u w:val="none"/>
              </w:rPr>
            </w:pPr>
            <w:r>
              <w:rPr>
                <w:rFonts w:hint="default" w:ascii="Times New Roman" w:hAnsi="Times New Roman" w:eastAsia="方正楷体_GBK" w:cs="Times New Roman"/>
                <w:b/>
                <w:i w:val="0"/>
                <w:color w:val="000000"/>
                <w:kern w:val="0"/>
                <w:sz w:val="28"/>
                <w:szCs w:val="28"/>
                <w:u w:val="none"/>
                <w:lang w:val="en-US" w:eastAsia="zh-CN" w:bidi="ar"/>
              </w:rPr>
              <w:t xml:space="preserve">357.97 </w:t>
            </w:r>
          </w:p>
        </w:tc>
      </w:tr>
      <w:tr w14:paraId="6C5CC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80" w:hRule="atLeast"/>
        </w:trPr>
        <w:tc>
          <w:tcPr>
            <w:tcW w:w="10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E13CED">
            <w:pPr>
              <w:keepNext w:val="0"/>
              <w:keepLines w:val="0"/>
              <w:widowControl/>
              <w:suppressLineNumbers w:val="0"/>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1</w:t>
            </w:r>
          </w:p>
        </w:tc>
        <w:tc>
          <w:tcPr>
            <w:tcW w:w="54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9E43FF">
            <w:pPr>
              <w:keepNext w:val="0"/>
              <w:keepLines w:val="0"/>
              <w:widowControl/>
              <w:suppressLineNumbers w:val="0"/>
              <w:jc w:val="left"/>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黔江区2025年S203线K39+452—K39+478等路段应急抢险处治工程</w:t>
            </w:r>
          </w:p>
        </w:tc>
        <w:tc>
          <w:tcPr>
            <w:tcW w:w="24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0E55C3E">
            <w:pPr>
              <w:keepNext w:val="0"/>
              <w:keepLines w:val="0"/>
              <w:widowControl/>
              <w:suppressLineNumbers w:val="0"/>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 xml:space="preserve">357.97 </w:t>
            </w:r>
          </w:p>
        </w:tc>
      </w:tr>
      <w:tr w14:paraId="05F62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exact"/>
        </w:trPr>
        <w:tc>
          <w:tcPr>
            <w:tcW w:w="1025" w:type="dxa"/>
            <w:tcBorders>
              <w:top w:val="single" w:color="000000" w:sz="4" w:space="0"/>
              <w:left w:val="single" w:color="000000" w:sz="4" w:space="0"/>
              <w:bottom w:val="single" w:color="000000" w:sz="4" w:space="0"/>
              <w:right w:val="single" w:color="000000" w:sz="4" w:space="0"/>
            </w:tcBorders>
            <w:noWrap w:val="0"/>
            <w:vAlign w:val="center"/>
          </w:tcPr>
          <w:p w14:paraId="6FE569B0">
            <w:pPr>
              <w:keepNext w:val="0"/>
              <w:keepLines w:val="0"/>
              <w:widowControl/>
              <w:suppressLineNumbers w:val="0"/>
              <w:jc w:val="center"/>
              <w:textAlignment w:val="center"/>
              <w:rPr>
                <w:rFonts w:hint="default" w:ascii="Times New Roman" w:hAnsi="Times New Roman" w:eastAsia="方正楷体_GBK" w:cs="Times New Roman"/>
                <w:b/>
                <w:i w:val="0"/>
                <w:color w:val="000000"/>
                <w:sz w:val="28"/>
                <w:szCs w:val="28"/>
                <w:u w:val="none"/>
              </w:rPr>
            </w:pPr>
            <w:r>
              <w:rPr>
                <w:rFonts w:hint="default" w:ascii="Times New Roman" w:hAnsi="Times New Roman" w:eastAsia="方正楷体_GBK" w:cs="Times New Roman"/>
                <w:b/>
                <w:i w:val="0"/>
                <w:color w:val="000000"/>
                <w:kern w:val="0"/>
                <w:sz w:val="28"/>
                <w:szCs w:val="28"/>
                <w:u w:val="none"/>
                <w:lang w:val="en-US" w:eastAsia="zh-CN" w:bidi="ar"/>
              </w:rPr>
              <w:t>二</w:t>
            </w:r>
          </w:p>
        </w:tc>
        <w:tc>
          <w:tcPr>
            <w:tcW w:w="5445" w:type="dxa"/>
            <w:tcBorders>
              <w:top w:val="single" w:color="000000" w:sz="4" w:space="0"/>
              <w:left w:val="single" w:color="000000" w:sz="4" w:space="0"/>
              <w:bottom w:val="single" w:color="000000" w:sz="4" w:space="0"/>
              <w:right w:val="single" w:color="000000" w:sz="4" w:space="0"/>
            </w:tcBorders>
            <w:noWrap w:val="0"/>
            <w:vAlign w:val="center"/>
          </w:tcPr>
          <w:p w14:paraId="0697B22B">
            <w:pPr>
              <w:keepNext w:val="0"/>
              <w:keepLines w:val="0"/>
              <w:widowControl/>
              <w:suppressLineNumbers w:val="0"/>
              <w:jc w:val="center"/>
              <w:textAlignment w:val="center"/>
              <w:rPr>
                <w:rFonts w:hint="default" w:ascii="Times New Roman" w:hAnsi="Times New Roman" w:eastAsia="方正楷体_GBK" w:cs="Times New Roman"/>
                <w:b/>
                <w:i w:val="0"/>
                <w:color w:val="000000"/>
                <w:sz w:val="28"/>
                <w:szCs w:val="28"/>
                <w:u w:val="none"/>
              </w:rPr>
            </w:pPr>
            <w:r>
              <w:rPr>
                <w:rFonts w:hint="default" w:ascii="Times New Roman" w:hAnsi="Times New Roman" w:eastAsia="方正楷体_GBK" w:cs="Times New Roman"/>
                <w:b/>
                <w:i w:val="0"/>
                <w:color w:val="000000"/>
                <w:kern w:val="0"/>
                <w:sz w:val="28"/>
                <w:szCs w:val="28"/>
                <w:u w:val="none"/>
                <w:lang w:val="en-US" w:eastAsia="zh-CN" w:bidi="ar"/>
              </w:rPr>
              <w:t>工程建设其他费</w:t>
            </w:r>
          </w:p>
        </w:tc>
        <w:tc>
          <w:tcPr>
            <w:tcW w:w="2460" w:type="dxa"/>
            <w:tcBorders>
              <w:top w:val="single" w:color="000000" w:sz="4" w:space="0"/>
              <w:left w:val="single" w:color="000000" w:sz="4" w:space="0"/>
              <w:bottom w:val="single" w:color="000000" w:sz="4" w:space="0"/>
              <w:right w:val="single" w:color="000000" w:sz="4" w:space="0"/>
            </w:tcBorders>
            <w:noWrap w:val="0"/>
            <w:vAlign w:val="center"/>
          </w:tcPr>
          <w:p w14:paraId="1EF5293D">
            <w:pPr>
              <w:keepNext w:val="0"/>
              <w:keepLines w:val="0"/>
              <w:widowControl/>
              <w:suppressLineNumbers w:val="0"/>
              <w:jc w:val="center"/>
              <w:textAlignment w:val="center"/>
              <w:rPr>
                <w:rFonts w:hint="default" w:ascii="Times New Roman" w:hAnsi="Times New Roman" w:eastAsia="方正楷体_GBK" w:cs="Times New Roman"/>
                <w:b/>
                <w:i w:val="0"/>
                <w:color w:val="000000"/>
                <w:sz w:val="28"/>
                <w:szCs w:val="28"/>
                <w:u w:val="none"/>
              </w:rPr>
            </w:pPr>
            <w:r>
              <w:rPr>
                <w:rFonts w:hint="default" w:ascii="Times New Roman" w:hAnsi="Times New Roman" w:eastAsia="方正楷体_GBK" w:cs="Times New Roman"/>
                <w:b/>
                <w:i w:val="0"/>
                <w:color w:val="000000"/>
                <w:kern w:val="0"/>
                <w:sz w:val="28"/>
                <w:szCs w:val="28"/>
                <w:u w:val="none"/>
                <w:lang w:val="en-US" w:eastAsia="zh-CN" w:bidi="ar"/>
              </w:rPr>
              <w:t xml:space="preserve">34.86 </w:t>
            </w:r>
          </w:p>
        </w:tc>
      </w:tr>
      <w:tr w14:paraId="3D7BC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exact"/>
        </w:trPr>
        <w:tc>
          <w:tcPr>
            <w:tcW w:w="10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EEF690">
            <w:pPr>
              <w:keepNext w:val="0"/>
              <w:keepLines w:val="0"/>
              <w:widowControl/>
              <w:suppressLineNumbers w:val="0"/>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1</w:t>
            </w:r>
          </w:p>
        </w:tc>
        <w:tc>
          <w:tcPr>
            <w:tcW w:w="54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CCE69B">
            <w:pPr>
              <w:keepNext w:val="0"/>
              <w:keepLines w:val="0"/>
              <w:widowControl/>
              <w:suppressLineNumbers w:val="0"/>
              <w:jc w:val="left"/>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建设单位（业主）管理费</w:t>
            </w:r>
          </w:p>
        </w:tc>
        <w:tc>
          <w:tcPr>
            <w:tcW w:w="24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76F8ABC">
            <w:pPr>
              <w:keepNext w:val="0"/>
              <w:keepLines w:val="0"/>
              <w:widowControl/>
              <w:suppressLineNumbers w:val="0"/>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 xml:space="preserve">8.25 </w:t>
            </w:r>
          </w:p>
        </w:tc>
      </w:tr>
      <w:tr w14:paraId="7CE58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exact"/>
        </w:trPr>
        <w:tc>
          <w:tcPr>
            <w:tcW w:w="10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20F652">
            <w:pPr>
              <w:keepNext w:val="0"/>
              <w:keepLines w:val="0"/>
              <w:widowControl/>
              <w:suppressLineNumbers w:val="0"/>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2</w:t>
            </w:r>
          </w:p>
        </w:tc>
        <w:tc>
          <w:tcPr>
            <w:tcW w:w="54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A94B78">
            <w:pPr>
              <w:keepNext w:val="0"/>
              <w:keepLines w:val="0"/>
              <w:widowControl/>
              <w:suppressLineNumbers w:val="0"/>
              <w:jc w:val="left"/>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工程建设监理费</w:t>
            </w:r>
          </w:p>
        </w:tc>
        <w:tc>
          <w:tcPr>
            <w:tcW w:w="24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A54473C">
            <w:pPr>
              <w:keepNext w:val="0"/>
              <w:keepLines w:val="0"/>
              <w:widowControl/>
              <w:suppressLineNumbers w:val="0"/>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 xml:space="preserve">8.59 </w:t>
            </w:r>
          </w:p>
        </w:tc>
      </w:tr>
      <w:tr w14:paraId="383FC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exact"/>
        </w:trPr>
        <w:tc>
          <w:tcPr>
            <w:tcW w:w="10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DB172B">
            <w:pPr>
              <w:keepNext w:val="0"/>
              <w:keepLines w:val="0"/>
              <w:widowControl/>
              <w:suppressLineNumbers w:val="0"/>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3</w:t>
            </w:r>
          </w:p>
        </w:tc>
        <w:tc>
          <w:tcPr>
            <w:tcW w:w="54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D6B50F">
            <w:pPr>
              <w:keepNext w:val="0"/>
              <w:keepLines w:val="0"/>
              <w:widowControl/>
              <w:suppressLineNumbers w:val="0"/>
              <w:jc w:val="left"/>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设计文件审查费</w:t>
            </w:r>
          </w:p>
        </w:tc>
        <w:tc>
          <w:tcPr>
            <w:tcW w:w="24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B1CB7E6">
            <w:pPr>
              <w:keepNext w:val="0"/>
              <w:keepLines w:val="0"/>
              <w:widowControl/>
              <w:suppressLineNumbers w:val="0"/>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 xml:space="preserve">0.28 </w:t>
            </w:r>
          </w:p>
        </w:tc>
      </w:tr>
      <w:tr w14:paraId="211C8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exact"/>
        </w:trPr>
        <w:tc>
          <w:tcPr>
            <w:tcW w:w="10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7B2648">
            <w:pPr>
              <w:keepNext w:val="0"/>
              <w:keepLines w:val="0"/>
              <w:widowControl/>
              <w:suppressLineNumbers w:val="0"/>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4</w:t>
            </w:r>
          </w:p>
        </w:tc>
        <w:tc>
          <w:tcPr>
            <w:tcW w:w="54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14073A">
            <w:pPr>
              <w:keepNext w:val="0"/>
              <w:keepLines w:val="0"/>
              <w:widowControl/>
              <w:suppressLineNumbers w:val="0"/>
              <w:jc w:val="left"/>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竣（交）工验收试验检测费</w:t>
            </w:r>
          </w:p>
        </w:tc>
        <w:tc>
          <w:tcPr>
            <w:tcW w:w="24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4453C70">
            <w:pPr>
              <w:keepNext w:val="0"/>
              <w:keepLines w:val="0"/>
              <w:widowControl/>
              <w:suppressLineNumbers w:val="0"/>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 xml:space="preserve">0.17 </w:t>
            </w:r>
          </w:p>
        </w:tc>
      </w:tr>
      <w:tr w14:paraId="5D278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exact"/>
        </w:trPr>
        <w:tc>
          <w:tcPr>
            <w:tcW w:w="10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ECA0D3">
            <w:pPr>
              <w:keepNext w:val="0"/>
              <w:keepLines w:val="0"/>
              <w:widowControl/>
              <w:suppressLineNumbers w:val="0"/>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5</w:t>
            </w:r>
          </w:p>
        </w:tc>
        <w:tc>
          <w:tcPr>
            <w:tcW w:w="54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2B4C65">
            <w:pPr>
              <w:keepNext w:val="0"/>
              <w:keepLines w:val="0"/>
              <w:widowControl/>
              <w:suppressLineNumbers w:val="0"/>
              <w:jc w:val="left"/>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建设项目前期工作费</w:t>
            </w:r>
          </w:p>
        </w:tc>
        <w:tc>
          <w:tcPr>
            <w:tcW w:w="24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2F7611F">
            <w:pPr>
              <w:keepNext w:val="0"/>
              <w:keepLines w:val="0"/>
              <w:widowControl/>
              <w:suppressLineNumbers w:val="0"/>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 xml:space="preserve">10.74 </w:t>
            </w:r>
          </w:p>
        </w:tc>
      </w:tr>
      <w:tr w14:paraId="39D1D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exact"/>
        </w:trPr>
        <w:tc>
          <w:tcPr>
            <w:tcW w:w="10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905FDC">
            <w:pPr>
              <w:keepNext w:val="0"/>
              <w:keepLines w:val="0"/>
              <w:widowControl/>
              <w:suppressLineNumbers w:val="0"/>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6</w:t>
            </w:r>
          </w:p>
        </w:tc>
        <w:tc>
          <w:tcPr>
            <w:tcW w:w="54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D3B5BA">
            <w:pPr>
              <w:keepNext w:val="0"/>
              <w:keepLines w:val="0"/>
              <w:widowControl/>
              <w:suppressLineNumbers w:val="0"/>
              <w:jc w:val="left"/>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工程保通管理费</w:t>
            </w:r>
          </w:p>
        </w:tc>
        <w:tc>
          <w:tcPr>
            <w:tcW w:w="24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87D3FC1">
            <w:pPr>
              <w:keepNext w:val="0"/>
              <w:keepLines w:val="0"/>
              <w:widowControl/>
              <w:suppressLineNumbers w:val="0"/>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 xml:space="preserve">5.40 </w:t>
            </w:r>
          </w:p>
        </w:tc>
      </w:tr>
      <w:tr w14:paraId="15B44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exact"/>
        </w:trPr>
        <w:tc>
          <w:tcPr>
            <w:tcW w:w="10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D35093">
            <w:pPr>
              <w:keepNext w:val="0"/>
              <w:keepLines w:val="0"/>
              <w:widowControl/>
              <w:suppressLineNumbers w:val="0"/>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7</w:t>
            </w:r>
          </w:p>
        </w:tc>
        <w:tc>
          <w:tcPr>
            <w:tcW w:w="54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C07C2D">
            <w:pPr>
              <w:keepNext w:val="0"/>
              <w:keepLines w:val="0"/>
              <w:widowControl/>
              <w:suppressLineNumbers w:val="0"/>
              <w:jc w:val="left"/>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工程保险费</w:t>
            </w:r>
          </w:p>
        </w:tc>
        <w:tc>
          <w:tcPr>
            <w:tcW w:w="24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68B3737">
            <w:pPr>
              <w:keepNext w:val="0"/>
              <w:keepLines w:val="0"/>
              <w:widowControl/>
              <w:suppressLineNumbers w:val="0"/>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 xml:space="preserve">1.43 </w:t>
            </w:r>
          </w:p>
        </w:tc>
      </w:tr>
      <w:tr w14:paraId="3294F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exact"/>
        </w:trPr>
        <w:tc>
          <w:tcPr>
            <w:tcW w:w="1025" w:type="dxa"/>
            <w:tcBorders>
              <w:top w:val="single" w:color="000000" w:sz="4" w:space="0"/>
              <w:left w:val="single" w:color="000000" w:sz="4" w:space="0"/>
              <w:bottom w:val="single" w:color="000000" w:sz="4" w:space="0"/>
              <w:right w:val="single" w:color="000000" w:sz="4" w:space="0"/>
            </w:tcBorders>
            <w:noWrap w:val="0"/>
            <w:vAlign w:val="center"/>
          </w:tcPr>
          <w:p w14:paraId="6C9EAD8F">
            <w:pPr>
              <w:keepNext w:val="0"/>
              <w:keepLines w:val="0"/>
              <w:widowControl/>
              <w:suppressLineNumbers w:val="0"/>
              <w:jc w:val="center"/>
              <w:textAlignment w:val="center"/>
              <w:rPr>
                <w:rFonts w:hint="default" w:ascii="Times New Roman" w:hAnsi="Times New Roman" w:eastAsia="方正楷体_GBK" w:cs="Times New Roman"/>
                <w:b/>
                <w:i w:val="0"/>
                <w:color w:val="000000"/>
                <w:sz w:val="28"/>
                <w:szCs w:val="28"/>
                <w:u w:val="none"/>
              </w:rPr>
            </w:pPr>
            <w:r>
              <w:rPr>
                <w:rFonts w:hint="default" w:ascii="Times New Roman" w:hAnsi="Times New Roman" w:eastAsia="方正楷体_GBK" w:cs="Times New Roman"/>
                <w:b/>
                <w:i w:val="0"/>
                <w:color w:val="000000"/>
                <w:kern w:val="0"/>
                <w:sz w:val="28"/>
                <w:szCs w:val="28"/>
                <w:u w:val="none"/>
                <w:lang w:val="en-US" w:eastAsia="zh-CN" w:bidi="ar"/>
              </w:rPr>
              <w:t>三</w:t>
            </w:r>
          </w:p>
        </w:tc>
        <w:tc>
          <w:tcPr>
            <w:tcW w:w="5445" w:type="dxa"/>
            <w:tcBorders>
              <w:top w:val="single" w:color="000000" w:sz="4" w:space="0"/>
              <w:left w:val="single" w:color="000000" w:sz="4" w:space="0"/>
              <w:bottom w:val="single" w:color="000000" w:sz="4" w:space="0"/>
              <w:right w:val="single" w:color="000000" w:sz="4" w:space="0"/>
            </w:tcBorders>
            <w:noWrap w:val="0"/>
            <w:vAlign w:val="center"/>
          </w:tcPr>
          <w:p w14:paraId="6FC7372F">
            <w:pPr>
              <w:keepNext w:val="0"/>
              <w:keepLines w:val="0"/>
              <w:widowControl/>
              <w:suppressLineNumbers w:val="0"/>
              <w:jc w:val="center"/>
              <w:textAlignment w:val="center"/>
              <w:rPr>
                <w:rFonts w:hint="default" w:ascii="Times New Roman" w:hAnsi="Times New Roman" w:eastAsia="方正楷体_GBK" w:cs="Times New Roman"/>
                <w:b/>
                <w:i w:val="0"/>
                <w:color w:val="000000"/>
                <w:sz w:val="28"/>
                <w:szCs w:val="28"/>
                <w:u w:val="none"/>
              </w:rPr>
            </w:pPr>
            <w:r>
              <w:rPr>
                <w:rFonts w:hint="default" w:ascii="Times New Roman" w:hAnsi="Times New Roman" w:eastAsia="方正楷体_GBK" w:cs="Times New Roman"/>
                <w:b/>
                <w:i w:val="0"/>
                <w:color w:val="000000"/>
                <w:kern w:val="0"/>
                <w:sz w:val="28"/>
                <w:szCs w:val="28"/>
                <w:u w:val="none"/>
                <w:lang w:val="en-US" w:eastAsia="zh-CN" w:bidi="ar"/>
              </w:rPr>
              <w:t>基本预备费</w:t>
            </w:r>
          </w:p>
        </w:tc>
        <w:tc>
          <w:tcPr>
            <w:tcW w:w="2460" w:type="dxa"/>
            <w:tcBorders>
              <w:top w:val="single" w:color="000000" w:sz="4" w:space="0"/>
              <w:left w:val="single" w:color="000000" w:sz="4" w:space="0"/>
              <w:bottom w:val="single" w:color="000000" w:sz="4" w:space="0"/>
              <w:right w:val="single" w:color="000000" w:sz="4" w:space="0"/>
            </w:tcBorders>
            <w:noWrap w:val="0"/>
            <w:vAlign w:val="center"/>
          </w:tcPr>
          <w:p w14:paraId="1A14BCE2">
            <w:pPr>
              <w:keepNext w:val="0"/>
              <w:keepLines w:val="0"/>
              <w:widowControl/>
              <w:suppressLineNumbers w:val="0"/>
              <w:jc w:val="center"/>
              <w:textAlignment w:val="center"/>
              <w:rPr>
                <w:rFonts w:hint="default" w:ascii="Times New Roman" w:hAnsi="Times New Roman" w:eastAsia="方正楷体_GBK" w:cs="Times New Roman"/>
                <w:b/>
                <w:i w:val="0"/>
                <w:color w:val="000000"/>
                <w:sz w:val="28"/>
                <w:szCs w:val="28"/>
                <w:u w:val="none"/>
              </w:rPr>
            </w:pPr>
            <w:r>
              <w:rPr>
                <w:rFonts w:hint="default" w:ascii="Times New Roman" w:hAnsi="Times New Roman" w:eastAsia="方正楷体_GBK" w:cs="Times New Roman"/>
                <w:b/>
                <w:i w:val="0"/>
                <w:color w:val="000000"/>
                <w:kern w:val="0"/>
                <w:sz w:val="28"/>
                <w:szCs w:val="28"/>
                <w:u w:val="none"/>
                <w:lang w:val="en-US" w:eastAsia="zh-CN" w:bidi="ar"/>
              </w:rPr>
              <w:t xml:space="preserve">19.64 </w:t>
            </w:r>
          </w:p>
        </w:tc>
      </w:tr>
      <w:tr w14:paraId="3C0E7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exact"/>
        </w:trPr>
        <w:tc>
          <w:tcPr>
            <w:tcW w:w="1025" w:type="dxa"/>
            <w:tcBorders>
              <w:top w:val="single" w:color="000000" w:sz="4" w:space="0"/>
              <w:left w:val="single" w:color="000000" w:sz="4" w:space="0"/>
              <w:bottom w:val="single" w:color="000000" w:sz="4" w:space="0"/>
              <w:right w:val="single" w:color="000000" w:sz="4" w:space="0"/>
            </w:tcBorders>
            <w:noWrap w:val="0"/>
            <w:vAlign w:val="center"/>
          </w:tcPr>
          <w:p w14:paraId="7DA9F42D">
            <w:pPr>
              <w:keepNext w:val="0"/>
              <w:keepLines w:val="0"/>
              <w:widowControl/>
              <w:suppressLineNumbers w:val="0"/>
              <w:jc w:val="center"/>
              <w:textAlignment w:val="center"/>
              <w:rPr>
                <w:rFonts w:hint="default" w:ascii="Times New Roman" w:hAnsi="Times New Roman" w:eastAsia="方正楷体_GBK" w:cs="Times New Roman"/>
                <w:b/>
                <w:i w:val="0"/>
                <w:color w:val="000000"/>
                <w:sz w:val="28"/>
                <w:szCs w:val="28"/>
                <w:u w:val="none"/>
              </w:rPr>
            </w:pPr>
            <w:r>
              <w:rPr>
                <w:rFonts w:hint="default" w:ascii="Times New Roman" w:hAnsi="Times New Roman" w:eastAsia="方正楷体_GBK" w:cs="Times New Roman"/>
                <w:b/>
                <w:i w:val="0"/>
                <w:color w:val="000000"/>
                <w:kern w:val="0"/>
                <w:sz w:val="28"/>
                <w:szCs w:val="28"/>
                <w:u w:val="none"/>
                <w:lang w:val="en-US" w:eastAsia="zh-CN" w:bidi="ar"/>
              </w:rPr>
              <w:t>四</w:t>
            </w:r>
          </w:p>
        </w:tc>
        <w:tc>
          <w:tcPr>
            <w:tcW w:w="5445" w:type="dxa"/>
            <w:tcBorders>
              <w:top w:val="single" w:color="000000" w:sz="4" w:space="0"/>
              <w:left w:val="single" w:color="000000" w:sz="4" w:space="0"/>
              <w:bottom w:val="single" w:color="000000" w:sz="4" w:space="0"/>
              <w:right w:val="single" w:color="000000" w:sz="4" w:space="0"/>
            </w:tcBorders>
            <w:noWrap w:val="0"/>
            <w:vAlign w:val="center"/>
          </w:tcPr>
          <w:p w14:paraId="427B36D6">
            <w:pPr>
              <w:keepNext w:val="0"/>
              <w:keepLines w:val="0"/>
              <w:widowControl/>
              <w:suppressLineNumbers w:val="0"/>
              <w:jc w:val="center"/>
              <w:textAlignment w:val="center"/>
              <w:rPr>
                <w:rFonts w:hint="default" w:ascii="Times New Roman" w:hAnsi="Times New Roman" w:eastAsia="方正楷体_GBK" w:cs="Times New Roman"/>
                <w:b/>
                <w:i w:val="0"/>
                <w:color w:val="000000"/>
                <w:sz w:val="28"/>
                <w:szCs w:val="28"/>
                <w:u w:val="none"/>
              </w:rPr>
            </w:pPr>
            <w:r>
              <w:rPr>
                <w:rFonts w:hint="default" w:ascii="Times New Roman" w:hAnsi="Times New Roman" w:eastAsia="方正楷体_GBK" w:cs="Times New Roman"/>
                <w:b/>
                <w:i w:val="0"/>
                <w:color w:val="000000"/>
                <w:kern w:val="0"/>
                <w:sz w:val="28"/>
                <w:szCs w:val="28"/>
                <w:u w:val="none"/>
                <w:lang w:val="en-US" w:eastAsia="zh-CN" w:bidi="ar"/>
              </w:rPr>
              <w:t>建设项目总投资估算</w:t>
            </w:r>
          </w:p>
        </w:tc>
        <w:tc>
          <w:tcPr>
            <w:tcW w:w="2460" w:type="dxa"/>
            <w:tcBorders>
              <w:top w:val="single" w:color="000000" w:sz="4" w:space="0"/>
              <w:left w:val="single" w:color="000000" w:sz="4" w:space="0"/>
              <w:bottom w:val="single" w:color="000000" w:sz="4" w:space="0"/>
              <w:right w:val="single" w:color="000000" w:sz="4" w:space="0"/>
            </w:tcBorders>
            <w:noWrap w:val="0"/>
            <w:vAlign w:val="center"/>
          </w:tcPr>
          <w:p w14:paraId="2E35D082">
            <w:pPr>
              <w:keepNext w:val="0"/>
              <w:keepLines w:val="0"/>
              <w:widowControl/>
              <w:suppressLineNumbers w:val="0"/>
              <w:jc w:val="center"/>
              <w:textAlignment w:val="center"/>
              <w:rPr>
                <w:rFonts w:hint="default" w:ascii="Times New Roman" w:hAnsi="Times New Roman" w:eastAsia="方正楷体_GBK" w:cs="Times New Roman"/>
                <w:b/>
                <w:i w:val="0"/>
                <w:color w:val="000000"/>
                <w:sz w:val="28"/>
                <w:szCs w:val="28"/>
                <w:u w:val="none"/>
              </w:rPr>
            </w:pPr>
            <w:r>
              <w:rPr>
                <w:rFonts w:hint="default" w:ascii="Times New Roman" w:hAnsi="Times New Roman" w:eastAsia="方正楷体_GBK" w:cs="Times New Roman"/>
                <w:b/>
                <w:i w:val="0"/>
                <w:color w:val="000000"/>
                <w:kern w:val="0"/>
                <w:sz w:val="28"/>
                <w:szCs w:val="28"/>
                <w:u w:val="none"/>
                <w:lang w:val="en-US" w:eastAsia="zh-CN" w:bidi="ar"/>
              </w:rPr>
              <w:t>412.47</w:t>
            </w:r>
          </w:p>
        </w:tc>
      </w:tr>
    </w:tbl>
    <w:p w14:paraId="72FE8512">
      <w:pPr>
        <w:pStyle w:val="2"/>
        <w:keepNext w:val="0"/>
        <w:keepLines w:val="0"/>
        <w:pageBreakBefore w:val="0"/>
        <w:widowControl w:val="0"/>
        <w:kinsoku/>
        <w:wordWrap/>
        <w:overflowPunct/>
        <w:topLinePunct w:val="0"/>
        <w:autoSpaceDE/>
        <w:autoSpaceDN/>
        <w:bidi w:val="0"/>
        <w:adjustRightInd/>
        <w:snapToGrid/>
        <w:spacing w:after="0" w:line="200" w:lineRule="exact"/>
        <w:textAlignment w:val="auto"/>
      </w:pPr>
    </w:p>
    <w:p w14:paraId="1EF701C1">
      <w:pPr>
        <w:pStyle w:val="2"/>
        <w:keepNext w:val="0"/>
        <w:keepLines w:val="0"/>
        <w:pageBreakBefore w:val="0"/>
        <w:widowControl w:val="0"/>
        <w:kinsoku/>
        <w:wordWrap/>
        <w:overflowPunct/>
        <w:topLinePunct w:val="0"/>
        <w:autoSpaceDE/>
        <w:autoSpaceDN/>
        <w:bidi w:val="0"/>
        <w:adjustRightInd/>
        <w:snapToGrid/>
        <w:spacing w:after="0" w:line="200" w:lineRule="exact"/>
        <w:textAlignment w:val="auto"/>
      </w:pPr>
    </w:p>
    <w:p w14:paraId="3A602AB0">
      <w:pPr>
        <w:pStyle w:val="2"/>
        <w:keepNext w:val="0"/>
        <w:keepLines w:val="0"/>
        <w:pageBreakBefore w:val="0"/>
        <w:widowControl w:val="0"/>
        <w:kinsoku/>
        <w:wordWrap/>
        <w:overflowPunct/>
        <w:topLinePunct w:val="0"/>
        <w:autoSpaceDE/>
        <w:autoSpaceDN/>
        <w:bidi w:val="0"/>
        <w:adjustRightInd/>
        <w:snapToGrid/>
        <w:spacing w:after="0" w:line="200" w:lineRule="exact"/>
        <w:textAlignment w:val="auto"/>
      </w:pPr>
    </w:p>
    <w:p w14:paraId="2F6ABF7F">
      <w:pPr>
        <w:pStyle w:val="2"/>
        <w:keepNext w:val="0"/>
        <w:keepLines w:val="0"/>
        <w:pageBreakBefore w:val="0"/>
        <w:widowControl w:val="0"/>
        <w:kinsoku/>
        <w:wordWrap/>
        <w:overflowPunct/>
        <w:topLinePunct w:val="0"/>
        <w:autoSpaceDE/>
        <w:autoSpaceDN/>
        <w:bidi w:val="0"/>
        <w:adjustRightInd/>
        <w:snapToGrid/>
        <w:spacing w:after="0" w:line="200" w:lineRule="exact"/>
        <w:textAlignment w:val="auto"/>
      </w:pPr>
    </w:p>
    <w:p w14:paraId="6A724965">
      <w:pPr>
        <w:pStyle w:val="2"/>
        <w:keepNext w:val="0"/>
        <w:keepLines w:val="0"/>
        <w:pageBreakBefore w:val="0"/>
        <w:widowControl w:val="0"/>
        <w:kinsoku/>
        <w:wordWrap/>
        <w:overflowPunct/>
        <w:topLinePunct w:val="0"/>
        <w:autoSpaceDE/>
        <w:autoSpaceDN/>
        <w:bidi w:val="0"/>
        <w:adjustRightInd/>
        <w:snapToGrid/>
        <w:spacing w:after="0" w:line="200" w:lineRule="exact"/>
        <w:textAlignment w:val="auto"/>
      </w:pPr>
    </w:p>
    <w:p w14:paraId="2E044FFF">
      <w:pPr>
        <w:spacing w:line="440" w:lineRule="exact"/>
        <w:ind w:left="-212" w:leftChars="-101" w:right="-193" w:rightChars="-92"/>
        <w:rPr>
          <w:rFonts w:hint="eastAsia" w:eastAsia="方正仿宋_GBK"/>
          <w:sz w:val="28"/>
          <w:szCs w:val="28"/>
          <w:u w:val="single"/>
        </w:rPr>
      </w:pPr>
      <w:r>
        <w:rPr>
          <w:rFonts w:hint="eastAsia" w:eastAsia="方正黑体_GBK"/>
          <w:sz w:val="32"/>
          <w:szCs w:val="32"/>
          <w:u w:val="thick"/>
        </w:rPr>
        <w:t xml:space="preserve">                  </w:t>
      </w:r>
      <w:r>
        <w:rPr>
          <w:rFonts w:eastAsia="方正小标宋_GBK"/>
          <w:sz w:val="32"/>
          <w:szCs w:val="32"/>
          <w:u w:val="thick"/>
        </w:rPr>
        <w:t xml:space="preserve">                                           </w:t>
      </w:r>
    </w:p>
    <w:p w14:paraId="6B59C9B0">
      <w:pPr>
        <w:spacing w:line="440" w:lineRule="exact"/>
        <w:ind w:left="-212" w:leftChars="-101" w:right="-193" w:rightChars="-92"/>
        <w:rPr>
          <w:rFonts w:eastAsia="方正仿宋_GBK"/>
          <w:sz w:val="28"/>
          <w:szCs w:val="28"/>
          <w:u w:val="single"/>
        </w:rPr>
      </w:pPr>
      <w:r>
        <w:rPr>
          <w:rFonts w:hint="eastAsia" w:eastAsia="方正仿宋_GBK"/>
          <w:sz w:val="28"/>
          <w:szCs w:val="28"/>
          <w:u w:val="single"/>
        </w:rPr>
        <w:t xml:space="preserve">  抄送：区纪委监委、区财政局、区审计局。                            </w:t>
      </w:r>
    </w:p>
    <w:p w14:paraId="5525C85B">
      <w:pPr>
        <w:spacing w:line="440" w:lineRule="exact"/>
        <w:ind w:left="-212" w:leftChars="-101" w:right="-193" w:rightChars="-92"/>
        <w:rPr>
          <w:rFonts w:hint="eastAsia"/>
        </w:rPr>
      </w:pPr>
      <w:r>
        <w:rPr>
          <w:rFonts w:eastAsia="方正仿宋_GBK"/>
          <w:sz w:val="28"/>
          <w:szCs w:val="28"/>
          <w:u w:val="thick"/>
        </w:rPr>
        <w:t xml:space="preserve"> </w:t>
      </w:r>
      <w:r>
        <w:rPr>
          <w:rFonts w:hint="eastAsia" w:eastAsia="方正仿宋_GBK"/>
          <w:sz w:val="28"/>
          <w:szCs w:val="28"/>
          <w:u w:val="thick"/>
        </w:rPr>
        <w:t xml:space="preserve"> 重庆市</w:t>
      </w:r>
      <w:r>
        <w:rPr>
          <w:rFonts w:eastAsia="方正仿宋_GBK"/>
          <w:sz w:val="28"/>
          <w:szCs w:val="28"/>
          <w:u w:val="thick"/>
        </w:rPr>
        <w:t xml:space="preserve">黔江区发展和改革委员会办公室  </w:t>
      </w:r>
      <w:r>
        <w:rPr>
          <w:rFonts w:hint="eastAsia" w:eastAsia="方正仿宋_GBK"/>
          <w:sz w:val="28"/>
          <w:szCs w:val="28"/>
          <w:u w:val="thick"/>
        </w:rPr>
        <w:t xml:space="preserve"> </w:t>
      </w:r>
      <w:r>
        <w:rPr>
          <w:rFonts w:eastAsia="方正仿宋_GBK"/>
          <w:sz w:val="28"/>
          <w:szCs w:val="28"/>
          <w:u w:val="thick"/>
        </w:rPr>
        <w:t xml:space="preserve"> </w:t>
      </w:r>
      <w:r>
        <w:rPr>
          <w:rFonts w:hint="eastAsia" w:eastAsia="方正仿宋_GBK"/>
          <w:sz w:val="28"/>
          <w:szCs w:val="28"/>
          <w:u w:val="thick"/>
          <w:lang w:val="en-US" w:eastAsia="zh-CN"/>
        </w:rPr>
        <w:t xml:space="preserve">   </w:t>
      </w:r>
      <w:r>
        <w:rPr>
          <w:rFonts w:eastAsia="方正仿宋_GBK"/>
          <w:sz w:val="28"/>
          <w:szCs w:val="28"/>
          <w:u w:val="thick"/>
        </w:rPr>
        <w:t xml:space="preserve">  </w:t>
      </w:r>
      <w:r>
        <w:rPr>
          <w:rFonts w:hint="eastAsia" w:eastAsia="方正仿宋_GBK"/>
          <w:sz w:val="28"/>
          <w:szCs w:val="28"/>
          <w:u w:val="thick"/>
        </w:rPr>
        <w:t xml:space="preserve"> </w:t>
      </w:r>
      <w:r>
        <w:rPr>
          <w:rFonts w:eastAsia="方正仿宋_GBK"/>
          <w:sz w:val="28"/>
          <w:szCs w:val="28"/>
          <w:u w:val="thick"/>
        </w:rPr>
        <w:t>20</w:t>
      </w:r>
      <w:r>
        <w:rPr>
          <w:rFonts w:hint="eastAsia" w:eastAsia="方正仿宋_GBK"/>
          <w:sz w:val="28"/>
          <w:szCs w:val="28"/>
          <w:u w:val="thick"/>
        </w:rPr>
        <w:t>2</w:t>
      </w:r>
      <w:r>
        <w:rPr>
          <w:rFonts w:hint="eastAsia" w:eastAsia="方正仿宋_GBK"/>
          <w:sz w:val="28"/>
          <w:szCs w:val="28"/>
          <w:u w:val="thick"/>
          <w:lang w:val="en-US" w:eastAsia="zh-CN"/>
        </w:rPr>
        <w:t>6</w:t>
      </w:r>
      <w:r>
        <w:rPr>
          <w:rFonts w:eastAsia="方正仿宋_GBK"/>
          <w:sz w:val="28"/>
          <w:szCs w:val="28"/>
          <w:u w:val="thick"/>
        </w:rPr>
        <w:t>年</w:t>
      </w:r>
      <w:r>
        <w:rPr>
          <w:rFonts w:hint="eastAsia" w:eastAsia="方正仿宋_GBK"/>
          <w:sz w:val="28"/>
          <w:szCs w:val="28"/>
          <w:u w:val="thick"/>
          <w:lang w:val="en-US" w:eastAsia="zh-CN"/>
        </w:rPr>
        <w:t>1</w:t>
      </w:r>
      <w:r>
        <w:rPr>
          <w:rFonts w:eastAsia="方正仿宋_GBK"/>
          <w:sz w:val="28"/>
          <w:szCs w:val="28"/>
          <w:u w:val="thick"/>
        </w:rPr>
        <w:t>月</w:t>
      </w:r>
      <w:r>
        <w:rPr>
          <w:rFonts w:hint="eastAsia" w:eastAsia="方正仿宋_GBK"/>
          <w:sz w:val="28"/>
          <w:szCs w:val="28"/>
          <w:u w:val="thick"/>
          <w:lang w:val="en-US" w:eastAsia="zh-CN"/>
        </w:rPr>
        <w:t>6</w:t>
      </w:r>
      <w:r>
        <w:rPr>
          <w:rFonts w:eastAsia="方正仿宋_GBK"/>
          <w:sz w:val="28"/>
          <w:szCs w:val="28"/>
          <w:u w:val="thick"/>
        </w:rPr>
        <w:t>日印发</w:t>
      </w:r>
      <w:r>
        <w:rPr>
          <w:rFonts w:hint="eastAsia" w:eastAsia="方正仿宋_GBK"/>
          <w:sz w:val="28"/>
          <w:szCs w:val="28"/>
          <w:u w:val="thick"/>
        </w:rPr>
        <w:t xml:space="preserve"> </w:t>
      </w:r>
      <w:r>
        <w:rPr>
          <w:rFonts w:eastAsia="方正仿宋_GBK"/>
          <w:sz w:val="28"/>
          <w:szCs w:val="28"/>
          <w:u w:val="thick"/>
        </w:rPr>
        <w:t xml:space="preserve"> </w:t>
      </w:r>
    </w:p>
    <w:sectPr>
      <w:headerReference r:id="rId3" w:type="default"/>
      <w:footerReference r:id="rId4" w:type="default"/>
      <w:pgSz w:w="11907" w:h="16840"/>
      <w:pgMar w:top="2154" w:right="1474" w:bottom="1984" w:left="1587" w:header="851" w:footer="1134" w:gutter="0"/>
      <w:pgNumType w:fmt="numberInDash"/>
      <w:cols w:space="0" w:num="1"/>
      <w:rtlGutter w:val="0"/>
      <w:docGrid w:type="lines" w:linePitch="50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Helvetica">
    <w:panose1 w:val="020B0504020202030204"/>
    <w:charset w:val="00"/>
    <w:family w:val="swiss"/>
    <w:pitch w:val="default"/>
    <w:sig w:usb0="00000007" w:usb1="00000000" w:usb2="00000000" w:usb3="00000000" w:csb0="00000093" w:csb1="00000000"/>
  </w:font>
  <w:font w:name="Verdana">
    <w:panose1 w:val="020B0604030504040204"/>
    <w:charset w:val="00"/>
    <w:family w:val="swiss"/>
    <w:pitch w:val="default"/>
    <w:sig w:usb0="A10006FF" w:usb1="4000205B" w:usb2="00000010" w:usb3="00000000" w:csb0="2000019F"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7D7C8B">
    <w:pPr>
      <w:pStyle w:val="9"/>
      <w:framePr w:wrap="around" w:vAnchor="text" w:hAnchor="margin" w:xAlign="outside" w:y="1"/>
      <w:rPr>
        <w:rStyle w:val="15"/>
        <w:rFonts w:hint="eastAsia" w:ascii="宋体" w:hAnsi="宋体" w:cs="宋体"/>
        <w:sz w:val="28"/>
        <w:szCs w:val="28"/>
      </w:rPr>
    </w:pPr>
    <w:r>
      <w:rPr>
        <w:rFonts w:hint="eastAsia" w:ascii="宋体" w:hAnsi="宋体" w:cs="宋体"/>
        <w:sz w:val="28"/>
        <w:szCs w:val="28"/>
      </w:rPr>
      <w:fldChar w:fldCharType="begin"/>
    </w:r>
    <w:r>
      <w:rPr>
        <w:rStyle w:val="15"/>
        <w:rFonts w:hint="eastAsia" w:ascii="宋体" w:hAnsi="宋体" w:cs="宋体"/>
        <w:sz w:val="28"/>
        <w:szCs w:val="28"/>
      </w:rPr>
      <w:instrText xml:space="preserve">PAGE  </w:instrText>
    </w:r>
    <w:r>
      <w:rPr>
        <w:rFonts w:hint="eastAsia" w:ascii="宋体" w:hAnsi="宋体" w:cs="宋体"/>
        <w:sz w:val="28"/>
        <w:szCs w:val="28"/>
      </w:rPr>
      <w:fldChar w:fldCharType="separate"/>
    </w:r>
    <w:r>
      <w:rPr>
        <w:rStyle w:val="15"/>
        <w:rFonts w:ascii="宋体" w:hAnsi="宋体" w:cs="宋体"/>
        <w:sz w:val="28"/>
        <w:szCs w:val="28"/>
      </w:rPr>
      <w:t>- 1 -</w:t>
    </w:r>
    <w:r>
      <w:rPr>
        <w:rFonts w:hint="eastAsia" w:ascii="宋体" w:hAnsi="宋体" w:cs="宋体"/>
        <w:sz w:val="28"/>
        <w:szCs w:val="28"/>
      </w:rPr>
      <w:fldChar w:fldCharType="end"/>
    </w:r>
  </w:p>
  <w:p w14:paraId="6C73A774">
    <w:pPr>
      <w:pStyle w:val="9"/>
      <w:ind w:right="360" w:firstLine="360"/>
      <w:rPr>
        <w:rFonts w:hint="eastAsia" w:ascii="宋体" w:hAnsi="宋体" w:cs="宋体"/>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9E39FF">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hyphenationZone w:val="360"/>
  <w:drawingGridHorizontalSpacing w:val="105"/>
  <w:drawingGridVerticalSpacing w:val="25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s://szcqxcoa.bigdatacq.com:7001/storage/api/storage/storageOffice/downloadT/1427246748715188224?token=eyJhbGciOiJIUzI1NiIsInppcCI6IkdaSVAifQ.H4sIAAAAAAAAAC3LywrCMBCF4XeZdQlzqZNO9go-hjKlBkpSqFJRfHdTcXE2H-d_w_q4QgKvZZrznBUteS7TvkQkJxziETrIlzskiorCPOChg_G5_EEi73Cra7sASzAL1gdGbN1rcz97c1KTnprUZSw_YSFUhc8XTAM-o4MAAAA.r9_cS3ipv0b5zefbsrNLUy3py1djD5Cz3ekwWAzFcYQ"/>
  </w:docVars>
  <w:rsids>
    <w:rsidRoot w:val="00DB347F"/>
    <w:rsid w:val="00007491"/>
    <w:rsid w:val="0001235B"/>
    <w:rsid w:val="00012CAD"/>
    <w:rsid w:val="000208B5"/>
    <w:rsid w:val="0002461A"/>
    <w:rsid w:val="0006365A"/>
    <w:rsid w:val="00072558"/>
    <w:rsid w:val="000879C9"/>
    <w:rsid w:val="000D55FF"/>
    <w:rsid w:val="00100BE6"/>
    <w:rsid w:val="0010181F"/>
    <w:rsid w:val="00111D8E"/>
    <w:rsid w:val="00125AB0"/>
    <w:rsid w:val="0013087A"/>
    <w:rsid w:val="0015084D"/>
    <w:rsid w:val="00180203"/>
    <w:rsid w:val="001846F7"/>
    <w:rsid w:val="00191283"/>
    <w:rsid w:val="001A7E0D"/>
    <w:rsid w:val="001B15DF"/>
    <w:rsid w:val="001D058E"/>
    <w:rsid w:val="001D2E6A"/>
    <w:rsid w:val="001E492D"/>
    <w:rsid w:val="001E6E69"/>
    <w:rsid w:val="001F1629"/>
    <w:rsid w:val="001F5780"/>
    <w:rsid w:val="001F5DE5"/>
    <w:rsid w:val="00201560"/>
    <w:rsid w:val="00216871"/>
    <w:rsid w:val="0024744D"/>
    <w:rsid w:val="00247D89"/>
    <w:rsid w:val="00252EB6"/>
    <w:rsid w:val="00255228"/>
    <w:rsid w:val="002667D3"/>
    <w:rsid w:val="00270CEA"/>
    <w:rsid w:val="00271953"/>
    <w:rsid w:val="00286DAC"/>
    <w:rsid w:val="00293C64"/>
    <w:rsid w:val="00297A52"/>
    <w:rsid w:val="00297AE7"/>
    <w:rsid w:val="002B4BB7"/>
    <w:rsid w:val="002B745F"/>
    <w:rsid w:val="002C1E58"/>
    <w:rsid w:val="002C66FC"/>
    <w:rsid w:val="002E0898"/>
    <w:rsid w:val="002E2051"/>
    <w:rsid w:val="00303991"/>
    <w:rsid w:val="00304AF7"/>
    <w:rsid w:val="00310E08"/>
    <w:rsid w:val="00316905"/>
    <w:rsid w:val="003179FD"/>
    <w:rsid w:val="003300C4"/>
    <w:rsid w:val="003301E2"/>
    <w:rsid w:val="00345DF8"/>
    <w:rsid w:val="00362FF7"/>
    <w:rsid w:val="003845D3"/>
    <w:rsid w:val="00384B9C"/>
    <w:rsid w:val="00393D70"/>
    <w:rsid w:val="00394860"/>
    <w:rsid w:val="003A2A4A"/>
    <w:rsid w:val="003B6558"/>
    <w:rsid w:val="003C7BB0"/>
    <w:rsid w:val="003E40ED"/>
    <w:rsid w:val="003E4C4F"/>
    <w:rsid w:val="003E5E47"/>
    <w:rsid w:val="003F344D"/>
    <w:rsid w:val="003F55F9"/>
    <w:rsid w:val="00400417"/>
    <w:rsid w:val="00402288"/>
    <w:rsid w:val="00445E23"/>
    <w:rsid w:val="004462B2"/>
    <w:rsid w:val="0044706D"/>
    <w:rsid w:val="00457B8A"/>
    <w:rsid w:val="004807A2"/>
    <w:rsid w:val="00490DE0"/>
    <w:rsid w:val="00495521"/>
    <w:rsid w:val="004B5367"/>
    <w:rsid w:val="004C5F94"/>
    <w:rsid w:val="004C6647"/>
    <w:rsid w:val="004C7185"/>
    <w:rsid w:val="004E072E"/>
    <w:rsid w:val="004E455D"/>
    <w:rsid w:val="004F5F49"/>
    <w:rsid w:val="00506DE3"/>
    <w:rsid w:val="005219F7"/>
    <w:rsid w:val="00523EB0"/>
    <w:rsid w:val="00524619"/>
    <w:rsid w:val="00524DDD"/>
    <w:rsid w:val="005438DA"/>
    <w:rsid w:val="00546D08"/>
    <w:rsid w:val="0059177D"/>
    <w:rsid w:val="00597842"/>
    <w:rsid w:val="005B4233"/>
    <w:rsid w:val="005B6A15"/>
    <w:rsid w:val="005C2DA3"/>
    <w:rsid w:val="005D7AF8"/>
    <w:rsid w:val="005E514A"/>
    <w:rsid w:val="005E63C7"/>
    <w:rsid w:val="005E754C"/>
    <w:rsid w:val="005F130D"/>
    <w:rsid w:val="00600BBF"/>
    <w:rsid w:val="006028F6"/>
    <w:rsid w:val="006064CB"/>
    <w:rsid w:val="0060696A"/>
    <w:rsid w:val="00612917"/>
    <w:rsid w:val="0067023C"/>
    <w:rsid w:val="00673C8C"/>
    <w:rsid w:val="006846E6"/>
    <w:rsid w:val="00687D62"/>
    <w:rsid w:val="0069466B"/>
    <w:rsid w:val="00695B4F"/>
    <w:rsid w:val="00697AE9"/>
    <w:rsid w:val="006A51AB"/>
    <w:rsid w:val="006B262D"/>
    <w:rsid w:val="006B5C36"/>
    <w:rsid w:val="006B6EAD"/>
    <w:rsid w:val="006C2B9E"/>
    <w:rsid w:val="006C6682"/>
    <w:rsid w:val="006C756D"/>
    <w:rsid w:val="006E18AF"/>
    <w:rsid w:val="006F0C8C"/>
    <w:rsid w:val="006F4568"/>
    <w:rsid w:val="006F75A5"/>
    <w:rsid w:val="007038E2"/>
    <w:rsid w:val="007123E7"/>
    <w:rsid w:val="00712B67"/>
    <w:rsid w:val="00712DAC"/>
    <w:rsid w:val="007216D0"/>
    <w:rsid w:val="00725B83"/>
    <w:rsid w:val="0075439C"/>
    <w:rsid w:val="00763089"/>
    <w:rsid w:val="00791150"/>
    <w:rsid w:val="00794135"/>
    <w:rsid w:val="00796F09"/>
    <w:rsid w:val="007A15DE"/>
    <w:rsid w:val="007A2188"/>
    <w:rsid w:val="007C04E9"/>
    <w:rsid w:val="007C11C8"/>
    <w:rsid w:val="007C7130"/>
    <w:rsid w:val="007D5E96"/>
    <w:rsid w:val="007D627D"/>
    <w:rsid w:val="007D6B95"/>
    <w:rsid w:val="007E01CB"/>
    <w:rsid w:val="007E096B"/>
    <w:rsid w:val="007F050A"/>
    <w:rsid w:val="00814048"/>
    <w:rsid w:val="00825089"/>
    <w:rsid w:val="00830A3C"/>
    <w:rsid w:val="00831F42"/>
    <w:rsid w:val="00834164"/>
    <w:rsid w:val="008443C6"/>
    <w:rsid w:val="008520DD"/>
    <w:rsid w:val="0085214D"/>
    <w:rsid w:val="00864418"/>
    <w:rsid w:val="0086784B"/>
    <w:rsid w:val="00892405"/>
    <w:rsid w:val="008A532E"/>
    <w:rsid w:val="008B1E98"/>
    <w:rsid w:val="008E0EBC"/>
    <w:rsid w:val="008E704A"/>
    <w:rsid w:val="00913D61"/>
    <w:rsid w:val="00957973"/>
    <w:rsid w:val="00964278"/>
    <w:rsid w:val="0097005A"/>
    <w:rsid w:val="00974520"/>
    <w:rsid w:val="009B1CC7"/>
    <w:rsid w:val="009B5A01"/>
    <w:rsid w:val="009C4840"/>
    <w:rsid w:val="009E0E5A"/>
    <w:rsid w:val="009E5E3F"/>
    <w:rsid w:val="009E6BE5"/>
    <w:rsid w:val="00A018F2"/>
    <w:rsid w:val="00A076B7"/>
    <w:rsid w:val="00A11A93"/>
    <w:rsid w:val="00A3142F"/>
    <w:rsid w:val="00A562AF"/>
    <w:rsid w:val="00A56826"/>
    <w:rsid w:val="00A879C3"/>
    <w:rsid w:val="00A96647"/>
    <w:rsid w:val="00A97849"/>
    <w:rsid w:val="00AB2A9A"/>
    <w:rsid w:val="00AB6402"/>
    <w:rsid w:val="00AC1DA6"/>
    <w:rsid w:val="00AC2018"/>
    <w:rsid w:val="00AC353A"/>
    <w:rsid w:val="00AD0726"/>
    <w:rsid w:val="00AD6C57"/>
    <w:rsid w:val="00AE0BE2"/>
    <w:rsid w:val="00B2282B"/>
    <w:rsid w:val="00B2479B"/>
    <w:rsid w:val="00B3060B"/>
    <w:rsid w:val="00B33B07"/>
    <w:rsid w:val="00B33DE1"/>
    <w:rsid w:val="00B472B0"/>
    <w:rsid w:val="00B76DCF"/>
    <w:rsid w:val="00B83162"/>
    <w:rsid w:val="00B840E2"/>
    <w:rsid w:val="00B90210"/>
    <w:rsid w:val="00B977A0"/>
    <w:rsid w:val="00BA1631"/>
    <w:rsid w:val="00BB36AD"/>
    <w:rsid w:val="00BD215A"/>
    <w:rsid w:val="00BE07A2"/>
    <w:rsid w:val="00BF7AF7"/>
    <w:rsid w:val="00C0147D"/>
    <w:rsid w:val="00C01484"/>
    <w:rsid w:val="00C0574F"/>
    <w:rsid w:val="00C1128A"/>
    <w:rsid w:val="00C12402"/>
    <w:rsid w:val="00C25569"/>
    <w:rsid w:val="00C33468"/>
    <w:rsid w:val="00C35230"/>
    <w:rsid w:val="00C36978"/>
    <w:rsid w:val="00C55876"/>
    <w:rsid w:val="00C80349"/>
    <w:rsid w:val="00C80A3B"/>
    <w:rsid w:val="00CA48AC"/>
    <w:rsid w:val="00CB1487"/>
    <w:rsid w:val="00CB7AF0"/>
    <w:rsid w:val="00CC2CB3"/>
    <w:rsid w:val="00CC6368"/>
    <w:rsid w:val="00CE65F6"/>
    <w:rsid w:val="00D00E5A"/>
    <w:rsid w:val="00D068FA"/>
    <w:rsid w:val="00D10619"/>
    <w:rsid w:val="00D1744E"/>
    <w:rsid w:val="00D26314"/>
    <w:rsid w:val="00D31E9D"/>
    <w:rsid w:val="00D328DF"/>
    <w:rsid w:val="00DA039D"/>
    <w:rsid w:val="00DA1AF8"/>
    <w:rsid w:val="00DB347F"/>
    <w:rsid w:val="00DC4A80"/>
    <w:rsid w:val="00DD4133"/>
    <w:rsid w:val="00DE3665"/>
    <w:rsid w:val="00DF4FDF"/>
    <w:rsid w:val="00E131F2"/>
    <w:rsid w:val="00E1508D"/>
    <w:rsid w:val="00E21D6F"/>
    <w:rsid w:val="00E22F77"/>
    <w:rsid w:val="00E379AE"/>
    <w:rsid w:val="00E409BF"/>
    <w:rsid w:val="00E47B95"/>
    <w:rsid w:val="00E62A8A"/>
    <w:rsid w:val="00E65A29"/>
    <w:rsid w:val="00E70A75"/>
    <w:rsid w:val="00E72401"/>
    <w:rsid w:val="00E8568D"/>
    <w:rsid w:val="00EA2119"/>
    <w:rsid w:val="00EB52D7"/>
    <w:rsid w:val="00ED119F"/>
    <w:rsid w:val="00ED17FC"/>
    <w:rsid w:val="00EE6371"/>
    <w:rsid w:val="00F00EA1"/>
    <w:rsid w:val="00F01F71"/>
    <w:rsid w:val="00F15C39"/>
    <w:rsid w:val="00F22AF0"/>
    <w:rsid w:val="00F248BA"/>
    <w:rsid w:val="00F30423"/>
    <w:rsid w:val="00F31628"/>
    <w:rsid w:val="00F372D5"/>
    <w:rsid w:val="00F4316E"/>
    <w:rsid w:val="00F45C33"/>
    <w:rsid w:val="00F467A7"/>
    <w:rsid w:val="00F5404D"/>
    <w:rsid w:val="00F62C58"/>
    <w:rsid w:val="00F90F80"/>
    <w:rsid w:val="00F91BE3"/>
    <w:rsid w:val="00FB1403"/>
    <w:rsid w:val="00FC6354"/>
    <w:rsid w:val="00FD1DE0"/>
    <w:rsid w:val="00FD56D1"/>
    <w:rsid w:val="01031CAA"/>
    <w:rsid w:val="03D1158F"/>
    <w:rsid w:val="05C83A13"/>
    <w:rsid w:val="0667064D"/>
    <w:rsid w:val="07B06523"/>
    <w:rsid w:val="097D3A1F"/>
    <w:rsid w:val="09FA769E"/>
    <w:rsid w:val="0A5B12BC"/>
    <w:rsid w:val="0B7A378A"/>
    <w:rsid w:val="0C4A4FFD"/>
    <w:rsid w:val="0CFC0645"/>
    <w:rsid w:val="0D37421D"/>
    <w:rsid w:val="0D9232F6"/>
    <w:rsid w:val="0E090617"/>
    <w:rsid w:val="14CA633F"/>
    <w:rsid w:val="151D3100"/>
    <w:rsid w:val="15636F5B"/>
    <w:rsid w:val="163D7F29"/>
    <w:rsid w:val="17A80401"/>
    <w:rsid w:val="18A40448"/>
    <w:rsid w:val="18B57618"/>
    <w:rsid w:val="18CB25F9"/>
    <w:rsid w:val="193E59D1"/>
    <w:rsid w:val="19520625"/>
    <w:rsid w:val="197D28AB"/>
    <w:rsid w:val="1A7D5B75"/>
    <w:rsid w:val="1A8D6AC6"/>
    <w:rsid w:val="1DA31F74"/>
    <w:rsid w:val="1EA96F47"/>
    <w:rsid w:val="1EB556EE"/>
    <w:rsid w:val="20F47F3F"/>
    <w:rsid w:val="22E76282"/>
    <w:rsid w:val="24840DFC"/>
    <w:rsid w:val="24BA5355"/>
    <w:rsid w:val="24F11C09"/>
    <w:rsid w:val="250A598D"/>
    <w:rsid w:val="254A0970"/>
    <w:rsid w:val="257A093C"/>
    <w:rsid w:val="26A308B8"/>
    <w:rsid w:val="26B916B0"/>
    <w:rsid w:val="28D139F4"/>
    <w:rsid w:val="291927B7"/>
    <w:rsid w:val="2AD46A97"/>
    <w:rsid w:val="2B094DE5"/>
    <w:rsid w:val="2B383B20"/>
    <w:rsid w:val="2B7E34FB"/>
    <w:rsid w:val="2C5772AA"/>
    <w:rsid w:val="2CEF100B"/>
    <w:rsid w:val="2E801A58"/>
    <w:rsid w:val="2F1523C9"/>
    <w:rsid w:val="304920DF"/>
    <w:rsid w:val="30CC2C3C"/>
    <w:rsid w:val="32A50F33"/>
    <w:rsid w:val="32D300BF"/>
    <w:rsid w:val="32F04218"/>
    <w:rsid w:val="339A574D"/>
    <w:rsid w:val="343455C9"/>
    <w:rsid w:val="35E849AF"/>
    <w:rsid w:val="38657C26"/>
    <w:rsid w:val="39705D78"/>
    <w:rsid w:val="397671E0"/>
    <w:rsid w:val="398C37FF"/>
    <w:rsid w:val="3A5C509D"/>
    <w:rsid w:val="3EF47EDA"/>
    <w:rsid w:val="3FED15ED"/>
    <w:rsid w:val="40CB4FDA"/>
    <w:rsid w:val="41B542C3"/>
    <w:rsid w:val="41BE7770"/>
    <w:rsid w:val="42BC4BDD"/>
    <w:rsid w:val="42F57923"/>
    <w:rsid w:val="439C7BEA"/>
    <w:rsid w:val="44EA464F"/>
    <w:rsid w:val="45105EDB"/>
    <w:rsid w:val="485311A6"/>
    <w:rsid w:val="487D33E1"/>
    <w:rsid w:val="48876104"/>
    <w:rsid w:val="490948F4"/>
    <w:rsid w:val="4BF61160"/>
    <w:rsid w:val="4F735634"/>
    <w:rsid w:val="4FA80033"/>
    <w:rsid w:val="4FFA6D45"/>
    <w:rsid w:val="50575F45"/>
    <w:rsid w:val="50A469FF"/>
    <w:rsid w:val="534C1EA2"/>
    <w:rsid w:val="534E1E00"/>
    <w:rsid w:val="53901E9A"/>
    <w:rsid w:val="54870E45"/>
    <w:rsid w:val="5621502B"/>
    <w:rsid w:val="581F2BBB"/>
    <w:rsid w:val="5B4D5604"/>
    <w:rsid w:val="5B985278"/>
    <w:rsid w:val="5E767EDE"/>
    <w:rsid w:val="5E8F0F09"/>
    <w:rsid w:val="5F37766E"/>
    <w:rsid w:val="5FC87DF3"/>
    <w:rsid w:val="5FE570CA"/>
    <w:rsid w:val="60BC38AA"/>
    <w:rsid w:val="60FF6267"/>
    <w:rsid w:val="613E6FFE"/>
    <w:rsid w:val="61E71377"/>
    <w:rsid w:val="635D1CCC"/>
    <w:rsid w:val="63A50B6F"/>
    <w:rsid w:val="64587AB1"/>
    <w:rsid w:val="67915D89"/>
    <w:rsid w:val="68F21DD6"/>
    <w:rsid w:val="6A6C1DE8"/>
    <w:rsid w:val="6A9E6E7B"/>
    <w:rsid w:val="6BAE6A0F"/>
    <w:rsid w:val="6C07486C"/>
    <w:rsid w:val="6D6F4477"/>
    <w:rsid w:val="6D851EEC"/>
    <w:rsid w:val="6DE76703"/>
    <w:rsid w:val="6EF52ED4"/>
    <w:rsid w:val="6EF61234"/>
    <w:rsid w:val="6FCA21DF"/>
    <w:rsid w:val="6FF83694"/>
    <w:rsid w:val="71A30B93"/>
    <w:rsid w:val="72AF5315"/>
    <w:rsid w:val="742B5A1B"/>
    <w:rsid w:val="76E535BA"/>
    <w:rsid w:val="77C816DC"/>
    <w:rsid w:val="78624336"/>
    <w:rsid w:val="798F3B70"/>
    <w:rsid w:val="79BC4EE7"/>
    <w:rsid w:val="7A757CD5"/>
    <w:rsid w:val="7A9639EB"/>
    <w:rsid w:val="7AED1855"/>
    <w:rsid w:val="7C0A2E6F"/>
    <w:rsid w:val="7CE16A13"/>
    <w:rsid w:val="7F666841"/>
    <w:rsid w:val="7F721BA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3">
    <w:name w:val="Default Paragraph Font"/>
    <w:link w:val="14"/>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4">
    <w:name w:val="Body Text Indent"/>
    <w:basedOn w:val="1"/>
    <w:qFormat/>
    <w:uiPriority w:val="0"/>
    <w:pPr>
      <w:ind w:firstLine="640" w:firstLineChars="200"/>
    </w:pPr>
    <w:rPr>
      <w:rFonts w:eastAsia="仿宋_GB2312"/>
      <w:sz w:val="32"/>
    </w:rPr>
  </w:style>
  <w:style w:type="paragraph" w:styleId="5">
    <w:name w:val="toc 5"/>
    <w:basedOn w:val="1"/>
    <w:next w:val="1"/>
    <w:qFormat/>
    <w:uiPriority w:val="0"/>
    <w:pPr>
      <w:ind w:left="840"/>
    </w:pPr>
    <w:rPr>
      <w:sz w:val="18"/>
      <w:szCs w:val="18"/>
    </w:rPr>
  </w:style>
  <w:style w:type="paragraph" w:styleId="6">
    <w:name w:val="Plain Text"/>
    <w:basedOn w:val="1"/>
    <w:unhideWhenUsed/>
    <w:qFormat/>
    <w:uiPriority w:val="99"/>
    <w:rPr>
      <w:rFonts w:ascii="宋体" w:hAnsi="Courier New"/>
    </w:rPr>
  </w:style>
  <w:style w:type="paragraph" w:styleId="7">
    <w:name w:val="Body Text Indent 2"/>
    <w:basedOn w:val="1"/>
    <w:qFormat/>
    <w:uiPriority w:val="0"/>
    <w:pPr>
      <w:ind w:firstLine="645"/>
    </w:pPr>
    <w:rPr>
      <w:rFonts w:ascii="黑体" w:eastAsia="黑体"/>
      <w:sz w:val="32"/>
    </w:rPr>
  </w:style>
  <w:style w:type="paragraph" w:styleId="8">
    <w:name w:val="Balloon Text"/>
    <w:basedOn w:val="1"/>
    <w:semiHidden/>
    <w:qFormat/>
    <w:uiPriority w:val="0"/>
    <w:rPr>
      <w:sz w:val="18"/>
      <w:szCs w:val="18"/>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默认段落字体 Para Char Char Char Char"/>
    <w:basedOn w:val="1"/>
    <w:link w:val="13"/>
    <w:qFormat/>
    <w:uiPriority w:val="0"/>
    <w:rPr>
      <w:szCs w:val="20"/>
    </w:rPr>
  </w:style>
  <w:style w:type="character" w:styleId="15">
    <w:name w:val="page number"/>
    <w:qFormat/>
    <w:uiPriority w:val="0"/>
  </w:style>
  <w:style w:type="character" w:customStyle="1" w:styleId="16">
    <w:name w:val="页眉 Char"/>
    <w:link w:val="10"/>
    <w:semiHidden/>
    <w:qFormat/>
    <w:locked/>
    <w:uiPriority w:val="0"/>
    <w:rPr>
      <w:rFonts w:eastAsia="宋体"/>
      <w:kern w:val="2"/>
      <w:sz w:val="18"/>
      <w:szCs w:val="18"/>
      <w:lang w:val="en-US" w:eastAsia="zh-CN" w:bidi="ar-SA"/>
    </w:rPr>
  </w:style>
  <w:style w:type="paragraph" w:customStyle="1" w:styleId="17">
    <w:name w:val="默认"/>
    <w:qFormat/>
    <w:uiPriority w:val="0"/>
    <w:rPr>
      <w:rFonts w:ascii="Helvetica" w:hAnsi="Helvetica" w:eastAsia="Helvetica" w:cs="Helvetica"/>
      <w:color w:val="000000"/>
      <w:sz w:val="22"/>
      <w:szCs w:val="22"/>
      <w:lang w:val="en-US" w:eastAsia="zh-CN" w:bidi="ar-SA"/>
    </w:rPr>
  </w:style>
  <w:style w:type="paragraph" w:customStyle="1" w:styleId="18">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character" w:customStyle="1" w:styleId="19">
    <w:name w:val="font41"/>
    <w:qFormat/>
    <w:uiPriority w:val="0"/>
    <w:rPr>
      <w:rFonts w:hint="eastAsia" w:ascii="方正仿宋_GBK" w:hAnsi="方正仿宋_GBK" w:eastAsia="方正仿宋_GBK" w:cs="方正仿宋_GBK"/>
      <w:color w:val="000000"/>
      <w:sz w:val="28"/>
      <w:szCs w:val="28"/>
      <w:u w:val="none"/>
    </w:rPr>
  </w:style>
  <w:style w:type="character" w:customStyle="1" w:styleId="20">
    <w:name w:val="font21"/>
    <w:qFormat/>
    <w:uiPriority w:val="0"/>
    <w:rPr>
      <w:rFonts w:hint="eastAsia" w:ascii="宋体" w:hAnsi="宋体" w:eastAsia="宋体" w:cs="宋体"/>
      <w:color w:val="000000"/>
      <w:sz w:val="24"/>
      <w:szCs w:val="24"/>
      <w:u w:val="none"/>
    </w:rPr>
  </w:style>
  <w:style w:type="character" w:customStyle="1" w:styleId="21">
    <w:name w:val="font81"/>
    <w:qFormat/>
    <w:uiPriority w:val="0"/>
    <w:rPr>
      <w:rFonts w:hint="eastAsia" w:ascii="方正仿宋_GBK" w:hAnsi="方正仿宋_GBK" w:eastAsia="方正仿宋_GBK" w:cs="方正仿宋_GBK"/>
      <w:color w:val="000000"/>
      <w:sz w:val="24"/>
      <w:szCs w:val="24"/>
      <w:u w:val="none"/>
    </w:rPr>
  </w:style>
  <w:style w:type="character" w:customStyle="1" w:styleId="22">
    <w:name w:val="font61"/>
    <w:basedOn w:val="13"/>
    <w:qFormat/>
    <w:uiPriority w:val="0"/>
    <w:rPr>
      <w:rFonts w:ascii="方正仿宋_GBK" w:hAnsi="方正仿宋_GBK" w:eastAsia="方正仿宋_GBK" w:cs="方正仿宋_GBK"/>
      <w:b/>
      <w:bCs/>
      <w:color w:val="000000"/>
      <w:sz w:val="28"/>
      <w:szCs w:val="28"/>
      <w:u w:val="none"/>
    </w:rPr>
  </w:style>
  <w:style w:type="character" w:customStyle="1" w:styleId="23">
    <w:name w:val="font71"/>
    <w:basedOn w:val="13"/>
    <w:qFormat/>
    <w:uiPriority w:val="0"/>
    <w:rPr>
      <w:rFonts w:hint="eastAsia" w:ascii="方正仿宋_GBK" w:hAnsi="方正仿宋_GBK" w:eastAsia="方正仿宋_GBK" w:cs="方正仿宋_GBK"/>
      <w:color w:val="000000"/>
      <w:sz w:val="28"/>
      <w:szCs w:val="28"/>
      <w:u w:val="none"/>
    </w:rPr>
  </w:style>
  <w:style w:type="character" w:customStyle="1" w:styleId="24">
    <w:name w:val="font101"/>
    <w:basedOn w:val="13"/>
    <w:qFormat/>
    <w:uiPriority w:val="0"/>
    <w:rPr>
      <w:rFonts w:ascii="方正仿宋_GBK" w:hAnsi="方正仿宋_GBK" w:eastAsia="方正仿宋_GBK" w:cs="方正仿宋_GBK"/>
      <w:color w:val="000000"/>
      <w:sz w:val="20"/>
      <w:szCs w:val="20"/>
      <w:u w:val="none"/>
    </w:rPr>
  </w:style>
  <w:style w:type="character" w:customStyle="1" w:styleId="25">
    <w:name w:val="font51"/>
    <w:basedOn w:val="13"/>
    <w:qFormat/>
    <w:uiPriority w:val="0"/>
    <w:rPr>
      <w:rFonts w:hint="default" w:ascii="Times New Roman" w:hAnsi="Times New Roman" w:cs="Times New Roman"/>
      <w:color w:val="000000"/>
      <w:sz w:val="20"/>
      <w:szCs w:val="20"/>
      <w:u w:val="none"/>
    </w:rPr>
  </w:style>
  <w:style w:type="paragraph" w:customStyle="1" w:styleId="26">
    <w:name w:val="_Style 5"/>
    <w:basedOn w:val="1"/>
    <w:qFormat/>
    <w:uiPriority w:val="0"/>
  </w:style>
  <w:style w:type="character" w:customStyle="1" w:styleId="27">
    <w:name w:val="font91"/>
    <w:basedOn w:val="13"/>
    <w:qFormat/>
    <w:uiPriority w:val="0"/>
    <w:rPr>
      <w:rFonts w:ascii="方正楷体_GBK" w:hAnsi="方正楷体_GBK" w:eastAsia="方正楷体_GBK" w:cs="方正楷体_GBK"/>
      <w:b/>
      <w:bCs/>
      <w:color w:val="000000"/>
      <w:sz w:val="28"/>
      <w:szCs w:val="28"/>
      <w:u w:val="none"/>
    </w:rPr>
  </w:style>
  <w:style w:type="character" w:customStyle="1" w:styleId="28">
    <w:name w:val="font112"/>
    <w:basedOn w:val="13"/>
    <w:qFormat/>
    <w:uiPriority w:val="0"/>
    <w:rPr>
      <w:rFonts w:ascii="方正仿宋_GBK" w:hAnsi="方正仿宋_GBK" w:eastAsia="方正仿宋_GBK" w:cs="方正仿宋_GBK"/>
      <w:color w:val="000000"/>
      <w:sz w:val="24"/>
      <w:szCs w:val="24"/>
      <w:u w:val="none"/>
    </w:rPr>
  </w:style>
  <w:style w:type="character" w:customStyle="1" w:styleId="29">
    <w:name w:val="font181"/>
    <w:basedOn w:val="13"/>
    <w:qFormat/>
    <w:uiPriority w:val="0"/>
    <w:rPr>
      <w:rFonts w:ascii="方正黑体_GBK" w:hAnsi="方正黑体_GBK" w:eastAsia="方正黑体_GBK" w:cs="方正黑体_GBK"/>
      <w:color w:val="000000"/>
      <w:sz w:val="24"/>
      <w:szCs w:val="24"/>
      <w:u w:val="none"/>
    </w:rPr>
  </w:style>
  <w:style w:type="character" w:customStyle="1" w:styleId="30">
    <w:name w:val="font31"/>
    <w:basedOn w:val="13"/>
    <w:qFormat/>
    <w:uiPriority w:val="0"/>
    <w:rPr>
      <w:rFonts w:ascii="黑体" w:hAnsi="宋体" w:eastAsia="黑体" w:cs="黑体"/>
      <w:color w:val="000000"/>
      <w:sz w:val="28"/>
      <w:szCs w:val="28"/>
      <w:u w:val="none"/>
    </w:rPr>
  </w:style>
  <w:style w:type="character" w:customStyle="1" w:styleId="31">
    <w:name w:val="font191"/>
    <w:basedOn w:val="13"/>
    <w:qFormat/>
    <w:uiPriority w:val="0"/>
    <w:rPr>
      <w:rFonts w:hint="eastAsia" w:ascii="宋体" w:hAnsi="宋体" w:eastAsia="宋体" w:cs="宋体"/>
      <w:b/>
      <w:bCs/>
      <w:color w:val="000000"/>
      <w:sz w:val="21"/>
      <w:szCs w:val="21"/>
      <w:u w:val="none"/>
    </w:rPr>
  </w:style>
  <w:style w:type="character" w:customStyle="1" w:styleId="32">
    <w:name w:val="font201"/>
    <w:basedOn w:val="13"/>
    <w:qFormat/>
    <w:uiPriority w:val="0"/>
    <w:rPr>
      <w:rFonts w:hint="eastAsia" w:ascii="宋体" w:hAnsi="宋体" w:eastAsia="宋体" w:cs="宋体"/>
      <w:color w:val="000000"/>
      <w:sz w:val="21"/>
      <w:szCs w:val="21"/>
      <w:u w:val="none"/>
    </w:rPr>
  </w:style>
  <w:style w:type="character" w:customStyle="1" w:styleId="33">
    <w:name w:val="font212"/>
    <w:basedOn w:val="13"/>
    <w:qFormat/>
    <w:uiPriority w:val="0"/>
    <w:rPr>
      <w:rFonts w:hint="eastAsia" w:ascii="宋体" w:hAnsi="宋体" w:eastAsia="宋体" w:cs="宋体"/>
      <w:color w:val="000000"/>
      <w:sz w:val="21"/>
      <w:szCs w:val="21"/>
      <w:u w:val="none"/>
    </w:rPr>
  </w:style>
  <w:style w:type="character" w:customStyle="1" w:styleId="34">
    <w:name w:val="font221"/>
    <w:basedOn w:val="13"/>
    <w:qFormat/>
    <w:uiPriority w:val="0"/>
    <w:rPr>
      <w:rFonts w:hint="eastAsia" w:ascii="宋体" w:hAnsi="宋体" w:eastAsia="宋体" w:cs="宋体"/>
      <w:b/>
      <w:bCs/>
      <w:color w:val="000000"/>
      <w:sz w:val="24"/>
      <w:szCs w:val="24"/>
      <w:u w:val="none"/>
    </w:rPr>
  </w:style>
  <w:style w:type="character" w:customStyle="1" w:styleId="35">
    <w:name w:val="font231"/>
    <w:basedOn w:val="13"/>
    <w:qFormat/>
    <w:uiPriority w:val="0"/>
    <w:rPr>
      <w:rFonts w:hint="eastAsia" w:ascii="宋体" w:hAnsi="宋体" w:eastAsia="宋体" w:cs="宋体"/>
      <w:b/>
      <w:bCs/>
      <w:color w:val="000000"/>
      <w:sz w:val="21"/>
      <w:szCs w:val="21"/>
      <w:u w:val="none"/>
    </w:rPr>
  </w:style>
  <w:style w:type="character" w:customStyle="1" w:styleId="36">
    <w:name w:val="font11"/>
    <w:basedOn w:val="13"/>
    <w:qFormat/>
    <w:uiPriority w:val="0"/>
    <w:rPr>
      <w:rFonts w:hint="default" w:ascii="Times New Roman" w:hAnsi="Times New Roman" w:cs="Times New Roman"/>
      <w:color w:val="000000"/>
      <w:sz w:val="28"/>
      <w:szCs w:val="2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Manager>周光</Manager>
  <Company>县发展计划委员会</Company>
  <Pages>3</Pages>
  <Words>982</Words>
  <Characters>1165</Characters>
  <Lines>11</Lines>
  <Paragraphs>3</Paragraphs>
  <TotalTime>2</TotalTime>
  <ScaleCrop>false</ScaleCrop>
  <LinksUpToDate>false</LinksUpToDate>
  <CharactersWithSpaces>1318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2025-09-21T13:18:00Z</dcterms:created>
  <dc:creator>PSJW</dc:creator>
  <cp:lastModifiedBy>董丽莉</cp:lastModifiedBy>
  <cp:lastPrinted>2025-12-22T03:16:00Z</cp:lastPrinted>
  <dcterms:modified xsi:type="dcterms:W3CDTF">2026-01-06T02:29:43Z</dcterms:modified>
  <dc:title>彭水计文件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eyJoZGlkIjoiMTY2Y2ZlYTNkNWI5MzlkYjFiNjgwMzcyNGYwMjIxODUiLCJ1c2VySWQiOiIxOTA1NDczOTIifQ==</vt:lpwstr>
  </property>
  <property fmtid="{D5CDD505-2E9C-101B-9397-08002B2CF9AE}" pid="4" name="ICV">
    <vt:lpwstr>44D26A92F49744958267FD34756D21F1_13</vt:lpwstr>
  </property>
</Properties>
</file>