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256</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2714AFB5">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eastAsia"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w:t>
      </w:r>
      <w:r>
        <w:rPr>
          <w:rFonts w:hint="eastAsia" w:eastAsia="方正小标宋_GBK" w:cs="Times New Roman"/>
          <w:sz w:val="44"/>
          <w:szCs w:val="44"/>
          <w:highlight w:val="none"/>
          <w:lang w:val="en-US" w:eastAsia="zh-CN"/>
        </w:rPr>
        <w:t>黔江区正阳大道南段综合管廊新建工程</w:t>
      </w:r>
    </w:p>
    <w:p w14:paraId="2AE84422">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可行性研究报告的批复</w:t>
      </w:r>
    </w:p>
    <w:p w14:paraId="43B56452">
      <w:pPr>
        <w:keepNext w:val="0"/>
        <w:keepLines w:val="0"/>
        <w:pageBreakBefore w:val="0"/>
        <w:widowControl w:val="0"/>
        <w:kinsoku/>
        <w:wordWrap/>
        <w:overflowPunct/>
        <w:topLinePunct w:val="0"/>
        <w:autoSpaceDE/>
        <w:autoSpaceDN/>
        <w:bidi w:val="0"/>
        <w:spacing w:line="575" w:lineRule="exact"/>
        <w:ind w:right="23" w:rightChars="11" w:firstLine="110" w:firstLineChars="50"/>
        <w:textAlignment w:val="auto"/>
        <w:outlineLvl w:val="9"/>
        <w:rPr>
          <w:rFonts w:hint="eastAsia" w:ascii="方正仿宋_GBK" w:eastAsia="方正仿宋_GBK"/>
          <w:sz w:val="22"/>
          <w:szCs w:val="36"/>
          <w:highlight w:val="none"/>
        </w:rPr>
      </w:pPr>
    </w:p>
    <w:p w14:paraId="7C3A8194">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sz w:val="32"/>
          <w:szCs w:val="32"/>
          <w:highlight w:val="none"/>
          <w:lang w:eastAsia="zh-CN"/>
        </w:rPr>
        <w:t>区住房城乡建委</w:t>
      </w:r>
      <w:r>
        <w:rPr>
          <w:rFonts w:hint="default" w:ascii="Times New Roman" w:hAnsi="Times New Roman" w:eastAsia="方正仿宋_GBK" w:cs="Times New Roman"/>
          <w:sz w:val="32"/>
          <w:szCs w:val="32"/>
          <w:highlight w:val="none"/>
          <w:lang w:val="en-US" w:eastAsia="zh-CN"/>
        </w:rPr>
        <w:t>：</w:t>
      </w:r>
    </w:p>
    <w:p w14:paraId="1AE145B9">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你单位《关于审查黔江区正阳大道南段综合管廊新建工程可行性研究报告的函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316</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》收悉，结合区政府投资项目前期工作服务中心的评审意见，经研究，同意实施黔江区正阳大道南段综合管廊新建工程（项目代码：</w:t>
      </w:r>
      <w:r>
        <w:rPr>
          <w:rFonts w:hint="default" w:ascii="Times New Roman" w:hAnsi="Times New Roman" w:eastAsia="方正仿宋_GBK" w:cs="Times New Roman"/>
          <w:color w:val="000000"/>
          <w:kern w:val="2"/>
          <w:sz w:val="32"/>
          <w:szCs w:val="32"/>
          <w:highlight w:val="none"/>
          <w:lang w:val="en-US" w:eastAsia="zh-CN" w:bidi="ar-SA"/>
        </w:rPr>
        <w:t>2512-500114-04-01-553780</w:t>
      </w:r>
      <w:r>
        <w:rPr>
          <w:rFonts w:hint="default" w:ascii="Times New Roman" w:hAnsi="Times New Roman" w:eastAsia="方正仿宋_GBK" w:cs="Times New Roman"/>
          <w:sz w:val="32"/>
          <w:szCs w:val="32"/>
          <w:highlight w:val="none"/>
          <w:lang w:val="en-US" w:eastAsia="zh-CN"/>
        </w:rPr>
        <w:t>）。现将该项目可行性研究报告批复如下：</w:t>
      </w:r>
    </w:p>
    <w:p w14:paraId="36CEE4EC">
      <w:pPr>
        <w:keepNext w:val="0"/>
        <w:keepLines w:val="0"/>
        <w:pageBreakBefore w:val="0"/>
        <w:widowControl w:val="0"/>
        <w:numPr>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60B8BCA7">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67B9EBE9">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黔江区</w:t>
      </w:r>
    </w:p>
    <w:p w14:paraId="5BF887A6">
      <w:pPr>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sz w:val="32"/>
          <w:szCs w:val="32"/>
          <w:highlight w:val="none"/>
          <w:lang w:eastAsia="zh-CN"/>
        </w:rPr>
        <w:t>沿</w:t>
      </w:r>
      <w:r>
        <w:rPr>
          <w:rFonts w:hint="default" w:ascii="Times New Roman" w:hAnsi="Times New Roman" w:eastAsia="方正仿宋_GBK" w:cs="Times New Roman"/>
          <w:sz w:val="32"/>
          <w:szCs w:val="32"/>
          <w:highlight w:val="none"/>
          <w:lang w:val="en-US" w:eastAsia="zh-CN"/>
        </w:rPr>
        <w:t>正阳大道南段</w:t>
      </w:r>
      <w:r>
        <w:rPr>
          <w:rFonts w:hint="default" w:ascii="Times New Roman" w:hAnsi="Times New Roman" w:eastAsia="方正仿宋_GBK" w:cs="Times New Roman"/>
          <w:sz w:val="32"/>
          <w:szCs w:val="32"/>
          <w:highlight w:val="none"/>
          <w:lang w:eastAsia="zh-CN"/>
        </w:rPr>
        <w:t>配建支线综合管廊</w:t>
      </w:r>
      <w:r>
        <w:rPr>
          <w:rFonts w:hint="default" w:ascii="Times New Roman" w:hAnsi="Times New Roman" w:eastAsia="方正仿宋_GBK" w:cs="Times New Roman"/>
          <w:sz w:val="32"/>
          <w:szCs w:val="32"/>
          <w:highlight w:val="none"/>
          <w:lang w:val="en-US" w:eastAsia="zh-CN"/>
        </w:rPr>
        <w:t>4.38km（本项目仅为管廊主体土建及相关附属设施设计，各管线专线设计不在本次设计范围，均以各产权部门专项设计为准），入廊管线为供水、供电和通信。采用双舱断面，其中涉及DN500供水、110kV电力4回，10kV电力24孔，通信24孔。</w:t>
      </w:r>
    </w:p>
    <w:p w14:paraId="3ECCAF53">
      <w:pPr>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项目总投资及资金来源：</w:t>
      </w:r>
      <w:r>
        <w:rPr>
          <w:rFonts w:hint="default" w:ascii="Times New Roman" w:hAnsi="Times New Roman" w:eastAsia="方正仿宋_GBK" w:cs="Times New Roman"/>
          <w:sz w:val="32"/>
          <w:szCs w:val="32"/>
          <w:highlight w:val="none"/>
        </w:rPr>
        <w:t>项目总投资为</w:t>
      </w:r>
      <w:r>
        <w:rPr>
          <w:rFonts w:hint="default" w:ascii="Times New Roman" w:hAnsi="Times New Roman" w:eastAsia="方正仿宋_GBK" w:cs="Times New Roman"/>
          <w:sz w:val="32"/>
          <w:szCs w:val="32"/>
          <w:highlight w:val="none"/>
          <w:lang w:val="en-US" w:eastAsia="zh-CN"/>
        </w:rPr>
        <w:t xml:space="preserve">42145.08 </w:t>
      </w:r>
      <w:r>
        <w:rPr>
          <w:rFonts w:hint="default" w:ascii="Times New Roman" w:hAnsi="Times New Roman" w:eastAsia="方正仿宋_GBK" w:cs="Times New Roman"/>
          <w:sz w:val="32"/>
          <w:szCs w:val="32"/>
          <w:highlight w:val="none"/>
        </w:rPr>
        <w:t>万元。其中：工程费用</w:t>
      </w:r>
      <w:r>
        <w:rPr>
          <w:rFonts w:hint="default" w:ascii="Times New Roman" w:hAnsi="Times New Roman" w:eastAsia="方正仿宋_GBK" w:cs="Times New Roman"/>
          <w:sz w:val="32"/>
          <w:szCs w:val="32"/>
          <w:highlight w:val="none"/>
          <w:lang w:val="en-US" w:eastAsia="zh-CN"/>
        </w:rPr>
        <w:t>37230.00</w:t>
      </w:r>
      <w:r>
        <w:rPr>
          <w:rFonts w:hint="default" w:ascii="Times New Roman" w:hAnsi="Times New Roman" w:eastAsia="方正仿宋_GBK" w:cs="Times New Roman"/>
          <w:sz w:val="32"/>
          <w:szCs w:val="32"/>
          <w:highlight w:val="none"/>
        </w:rPr>
        <w:t>万元，工程建设其他费用</w:t>
      </w:r>
      <w:r>
        <w:rPr>
          <w:rFonts w:hint="default" w:ascii="Times New Roman" w:hAnsi="Times New Roman" w:eastAsia="方正仿宋_GBK" w:cs="Times New Roman"/>
          <w:sz w:val="32"/>
          <w:szCs w:val="32"/>
          <w:highlight w:val="none"/>
          <w:lang w:val="en-US" w:eastAsia="zh-CN"/>
        </w:rPr>
        <w:t xml:space="preserve">2908.17 </w:t>
      </w:r>
      <w:r>
        <w:rPr>
          <w:rFonts w:hint="default" w:ascii="Times New Roman" w:hAnsi="Times New Roman" w:eastAsia="方正仿宋_GBK" w:cs="Times New Roman"/>
          <w:sz w:val="32"/>
          <w:szCs w:val="32"/>
          <w:highlight w:val="none"/>
        </w:rPr>
        <w:t>万元，预备费</w:t>
      </w:r>
      <w:r>
        <w:rPr>
          <w:rFonts w:hint="default" w:ascii="Times New Roman" w:hAnsi="Times New Roman" w:eastAsia="方正仿宋_GBK" w:cs="Times New Roman"/>
          <w:sz w:val="32"/>
          <w:szCs w:val="32"/>
          <w:highlight w:val="none"/>
          <w:lang w:val="en-US" w:eastAsia="zh-CN"/>
        </w:rPr>
        <w:t xml:space="preserve">2006.91 </w:t>
      </w:r>
      <w:r>
        <w:rPr>
          <w:rFonts w:hint="default" w:ascii="Times New Roman" w:hAnsi="Times New Roman" w:eastAsia="方正仿宋_GBK" w:cs="Times New Roman"/>
          <w:sz w:val="32"/>
          <w:szCs w:val="32"/>
          <w:highlight w:val="none"/>
        </w:rPr>
        <w:t>万元。</w:t>
      </w:r>
      <w:r>
        <w:rPr>
          <w:rFonts w:hint="default" w:ascii="Times New Roman" w:hAnsi="Times New Roman" w:eastAsia="方正仿宋_GBK" w:cs="Times New Roman"/>
          <w:color w:val="auto"/>
          <w:kern w:val="2"/>
          <w:sz w:val="32"/>
          <w:szCs w:val="32"/>
          <w:highlight w:val="none"/>
          <w:lang w:val="en-US" w:eastAsia="zh-CN" w:bidi="ar-SA"/>
        </w:rPr>
        <w:t>资金来源主要为申请国市补助资金，不足部分业主自筹。</w:t>
      </w:r>
    </w:p>
    <w:p w14:paraId="022343D2">
      <w:pPr>
        <w:pStyle w:val="4"/>
        <w:keepNext w:val="0"/>
        <w:keepLines w:val="0"/>
        <w:pageBreakBefore w:val="0"/>
        <w:widowControl w:val="0"/>
        <w:kinsoku/>
        <w:wordWrap/>
        <w:overflowPunct/>
        <w:topLinePunct w:val="0"/>
        <w:autoSpaceDE/>
        <w:autoSpaceDN/>
        <w:bidi w:val="0"/>
        <w:spacing w:line="575" w:lineRule="exact"/>
        <w:textAlignment w:val="auto"/>
        <w:outlineLvl w:val="9"/>
        <w:rPr>
          <w:rFonts w:hint="eastAsia" w:eastAsia="方正仿宋_GBK"/>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eastAsia" w:eastAsia="方正仿宋_GBK" w:cs="Times New Roman"/>
          <w:kern w:val="2"/>
          <w:sz w:val="32"/>
          <w:szCs w:val="32"/>
          <w:highlight w:val="none"/>
          <w:lang w:val="en-US" w:eastAsia="zh-CN" w:bidi="ar-SA"/>
        </w:rPr>
        <w:t>24</w:t>
      </w:r>
      <w:r>
        <w:rPr>
          <w:rFonts w:hint="default" w:ascii="方正仿宋_GBK" w:hAnsi="方正仿宋_GBK" w:eastAsia="方正仿宋_GBK" w:cs="方正仿宋_GBK"/>
          <w:kern w:val="2"/>
          <w:sz w:val="32"/>
          <w:szCs w:val="32"/>
          <w:highlight w:val="none"/>
          <w:lang w:val="en-US" w:eastAsia="zh-CN" w:bidi="ar-SA"/>
        </w:rPr>
        <w:t>个月</w:t>
      </w:r>
      <w:r>
        <w:rPr>
          <w:rFonts w:hint="eastAsia" w:ascii="方正仿宋_GBK" w:hAnsi="方正仿宋_GBK" w:eastAsia="方正仿宋_GBK" w:cs="方正仿宋_GBK"/>
          <w:kern w:val="2"/>
          <w:sz w:val="32"/>
          <w:szCs w:val="32"/>
          <w:highlight w:val="none"/>
          <w:lang w:val="en-US" w:eastAsia="zh-CN" w:bidi="ar-SA"/>
        </w:rPr>
        <w:t>。</w:t>
      </w:r>
    </w:p>
    <w:p w14:paraId="63BF2434">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7848BF07">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2A31AF23">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01B07342">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left="0" w:firstLine="640" w:firstLineChars="200"/>
        <w:textAlignment w:val="auto"/>
        <w:rPr>
          <w:rFonts w:hint="default" w:ascii="Times New Roman" w:hAnsi="Times New Roman" w:eastAsia="方正仿宋_GBK" w:cs="Times New Roman"/>
          <w:bCs/>
          <w:sz w:val="32"/>
          <w:szCs w:val="32"/>
          <w:highlight w:val="none"/>
        </w:rPr>
      </w:pPr>
      <w:r>
        <w:rPr>
          <w:rFonts w:hint="eastAsia" w:eastAsia="方正仿宋_GBK" w:cs="Times New Roman"/>
          <w:kern w:val="2"/>
          <w:sz w:val="32"/>
          <w:szCs w:val="32"/>
          <w:highlight w:val="none"/>
          <w:lang w:val="en-US" w:eastAsia="zh-CN"/>
        </w:rPr>
        <w:t>附件：</w:t>
      </w:r>
      <w:r>
        <w:rPr>
          <w:rFonts w:hint="eastAsia" w:ascii="Times New Roman" w:hAnsi="Times New Roman" w:eastAsia="方正仿宋_GBK" w:cs="Times New Roman"/>
          <w:sz w:val="32"/>
          <w:szCs w:val="32"/>
          <w:highlight w:val="none"/>
          <w:lang w:val="en-US" w:eastAsia="zh-CN"/>
        </w:rPr>
        <w:t>黔江区正阳大道南段综合管廊新建工程</w:t>
      </w:r>
      <w:r>
        <w:rPr>
          <w:rFonts w:hint="eastAsia" w:eastAsia="方正仿宋_GBK" w:cs="Times New Roman"/>
          <w:kern w:val="2"/>
          <w:sz w:val="32"/>
          <w:szCs w:val="32"/>
          <w:highlight w:val="none"/>
          <w:lang w:val="en-US" w:eastAsia="zh-CN"/>
        </w:rPr>
        <w:t>投资估算表</w:t>
      </w:r>
    </w:p>
    <w:p w14:paraId="3CBBC5C1">
      <w:pPr>
        <w:keepNext w:val="0"/>
        <w:keepLines w:val="0"/>
        <w:pageBreakBefore w:val="0"/>
        <w:widowControl w:val="0"/>
        <w:kinsoku/>
        <w:wordWrap/>
        <w:overflowPunct/>
        <w:topLinePunct w:val="0"/>
        <w:autoSpaceDE/>
        <w:autoSpaceDN/>
        <w:bidi w:val="0"/>
        <w:adjustRightInd/>
        <w:snapToGrid/>
        <w:spacing w:line="575" w:lineRule="exact"/>
        <w:textAlignment w:val="auto"/>
        <w:outlineLvl w:val="9"/>
        <w:rPr>
          <w:rFonts w:hint="default" w:ascii="Times New Roman" w:hAnsi="Times New Roman" w:eastAsia="方正仿宋_GBK" w:cs="Times New Roman"/>
          <w:bCs/>
          <w:sz w:val="32"/>
          <w:szCs w:val="32"/>
          <w:highlight w:val="none"/>
        </w:rPr>
      </w:pPr>
    </w:p>
    <w:p w14:paraId="6BBEFBB0">
      <w:pPr>
        <w:keepNext w:val="0"/>
        <w:keepLines w:val="0"/>
        <w:pageBreakBefore w:val="0"/>
        <w:widowControl w:val="0"/>
        <w:kinsoku/>
        <w:wordWrap/>
        <w:overflowPunct/>
        <w:topLinePunct w:val="0"/>
        <w:autoSpaceDE/>
        <w:autoSpaceDN/>
        <w:bidi w:val="0"/>
        <w:adjustRightInd/>
        <w:snapToGrid/>
        <w:spacing w:line="575" w:lineRule="exact"/>
        <w:textAlignment w:val="auto"/>
        <w:outlineLvl w:val="9"/>
        <w:rPr>
          <w:rFonts w:hint="default" w:ascii="Times New Roman" w:hAnsi="Times New Roman" w:eastAsia="方正仿宋_GBK" w:cs="Times New Roman"/>
          <w:bCs/>
          <w:sz w:val="32"/>
          <w:szCs w:val="32"/>
          <w:highlight w:val="none"/>
        </w:rPr>
      </w:pPr>
    </w:p>
    <w:p w14:paraId="5B89D4ED">
      <w:pPr>
        <w:pStyle w:val="4"/>
        <w:keepNext w:val="0"/>
        <w:keepLines w:val="0"/>
        <w:pageBreakBefore w:val="0"/>
        <w:widowControl w:val="0"/>
        <w:kinsoku/>
        <w:wordWrap/>
        <w:overflowPunct/>
        <w:topLinePunct w:val="0"/>
        <w:autoSpaceDE/>
        <w:autoSpaceDN/>
        <w:bidi w:val="0"/>
        <w:spacing w:line="575" w:lineRule="exact"/>
        <w:ind w:left="0" w:leftChars="0" w:firstLine="3520" w:firstLineChars="1100"/>
        <w:textAlignment w:val="auto"/>
        <w:outlineLvl w:val="9"/>
        <w:rPr>
          <w:rFonts w:hint="eastAsia" w:eastAsia="方正仿宋_GBK" w:cs="Times New Roman"/>
          <w:bCs/>
          <w:sz w:val="32"/>
          <w:szCs w:val="32"/>
          <w:highlight w:val="none"/>
          <w:lang w:val="en-US" w:eastAsia="zh-CN"/>
        </w:rPr>
      </w:pPr>
      <w:r>
        <w:rPr>
          <w:rFonts w:hint="eastAsia" w:eastAsia="方正仿宋_GBK" w:cs="Times New Roman"/>
          <w:bCs/>
          <w:sz w:val="32"/>
          <w:szCs w:val="32"/>
          <w:highlight w:val="none"/>
          <w:lang w:val="en-US" w:eastAsia="zh-CN"/>
        </w:rPr>
        <w:t>重庆市黔江区发展和改革委员会</w:t>
      </w:r>
    </w:p>
    <w:p w14:paraId="529C1ACB">
      <w:pPr>
        <w:pStyle w:val="4"/>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rPr>
      </w:pPr>
      <w:r>
        <w:rPr>
          <w:rFonts w:hint="default" w:eastAsia="方正仿宋_GBK" w:cs="Times New Roman"/>
          <w:bCs/>
          <w:sz w:val="32"/>
          <w:szCs w:val="32"/>
          <w:highlight w:val="none"/>
          <w:lang w:val="en-US" w:eastAsia="zh-CN"/>
        </w:rPr>
        <w:t>202</w:t>
      </w:r>
      <w:r>
        <w:rPr>
          <w:rFonts w:hint="eastAsia" w:eastAsia="方正仿宋_GBK" w:cs="Times New Roman"/>
          <w:bCs/>
          <w:sz w:val="32"/>
          <w:szCs w:val="32"/>
          <w:highlight w:val="none"/>
          <w:lang w:val="en-US" w:eastAsia="zh-CN"/>
        </w:rPr>
        <w:t>5</w:t>
      </w:r>
      <w:r>
        <w:rPr>
          <w:rFonts w:hint="default" w:eastAsia="方正仿宋_GBK" w:cs="Times New Roman"/>
          <w:bCs/>
          <w:sz w:val="32"/>
          <w:szCs w:val="32"/>
          <w:highlight w:val="none"/>
          <w:lang w:val="en-US" w:eastAsia="zh-CN"/>
        </w:rPr>
        <w:t>年</w:t>
      </w:r>
      <w:r>
        <w:rPr>
          <w:rFonts w:hint="eastAsia" w:eastAsia="方正仿宋_GBK" w:cs="Times New Roman"/>
          <w:bCs/>
          <w:sz w:val="32"/>
          <w:szCs w:val="32"/>
          <w:highlight w:val="none"/>
          <w:lang w:val="en-US" w:eastAsia="zh-CN"/>
        </w:rPr>
        <w:t>12</w:t>
      </w:r>
      <w:r>
        <w:rPr>
          <w:rFonts w:hint="default" w:eastAsia="方正仿宋_GBK" w:cs="Times New Roman"/>
          <w:bCs/>
          <w:sz w:val="32"/>
          <w:szCs w:val="32"/>
          <w:highlight w:val="none"/>
          <w:lang w:val="en-US" w:eastAsia="zh-CN"/>
        </w:rPr>
        <w:t>月</w:t>
      </w:r>
      <w:r>
        <w:rPr>
          <w:rFonts w:hint="eastAsia" w:eastAsia="方正仿宋_GBK" w:cs="Times New Roman"/>
          <w:bCs/>
          <w:sz w:val="32"/>
          <w:szCs w:val="32"/>
          <w:highlight w:val="none"/>
          <w:lang w:val="en-US" w:eastAsia="zh-CN"/>
        </w:rPr>
        <w:t>26</w:t>
      </w:r>
      <w:r>
        <w:rPr>
          <w:rFonts w:hint="default" w:eastAsia="方正仿宋_GBK" w:cs="Times New Roman"/>
          <w:bCs/>
          <w:sz w:val="32"/>
          <w:szCs w:val="32"/>
          <w:highlight w:val="none"/>
          <w:lang w:val="en-US" w:eastAsia="zh-CN"/>
        </w:rPr>
        <w:t>日</w:t>
      </w:r>
    </w:p>
    <w:p w14:paraId="5D17A750">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482D090C">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5058F065">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74B0AD10">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348A966C">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237BFF50">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0013C990">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6C614E55">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3C561E70">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2759EA3F">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10F2D0B1">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1C04A7CE">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03F9048C">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5E501259">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68124D31">
      <w:pPr>
        <w:pStyle w:val="19"/>
        <w:keepNext w:val="0"/>
        <w:keepLines w:val="0"/>
        <w:pageBreakBefore w:val="0"/>
        <w:kinsoku/>
        <w:wordWrap/>
        <w:overflowPunct/>
        <w:topLinePunct w:val="0"/>
        <w:bidi w:val="0"/>
        <w:spacing w:line="600" w:lineRule="exact"/>
        <w:textAlignment w:val="auto"/>
        <w:rPr>
          <w:rFonts w:hint="eastAsia" w:ascii="方正仿宋_GBK" w:hAnsi="方正仿宋_GBK" w:eastAsia="方正仿宋_GBK" w:cs="方正仿宋_GBK"/>
          <w:b w:val="0"/>
          <w:bCs w:val="0"/>
          <w:i w:val="0"/>
          <w:iCs w:val="0"/>
          <w:sz w:val="28"/>
          <w:szCs w:val="28"/>
          <w:highlight w:val="none"/>
          <w:lang w:val="en-US" w:eastAsia="zh-CN"/>
        </w:rPr>
      </w:pPr>
    </w:p>
    <w:p w14:paraId="7CBE8081">
      <w:pPr>
        <w:pStyle w:val="19"/>
        <w:keepNext w:val="0"/>
        <w:keepLines w:val="0"/>
        <w:pageBreakBefore w:val="0"/>
        <w:kinsoku/>
        <w:wordWrap/>
        <w:overflowPunct/>
        <w:topLinePunct w:val="0"/>
        <w:bidi w:val="0"/>
        <w:spacing w:line="600" w:lineRule="exact"/>
        <w:textAlignment w:val="auto"/>
        <w:rPr>
          <w:rFonts w:hint="default" w:ascii="方正仿宋_GBK" w:hAnsi="方正仿宋_GBK" w:eastAsia="方正仿宋_GBK" w:cs="方正仿宋_GBK"/>
          <w:b w:val="0"/>
          <w:bCs w:val="0"/>
          <w:i w:val="0"/>
          <w:iCs w:val="0"/>
          <w:sz w:val="28"/>
          <w:szCs w:val="28"/>
          <w:highlight w:val="none"/>
          <w:lang w:val="en-US" w:eastAsia="zh-CN"/>
        </w:rPr>
      </w:pPr>
    </w:p>
    <w:p w14:paraId="39DDCC49">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kern w:val="0"/>
          <w:sz w:val="32"/>
          <w:szCs w:val="32"/>
          <w:highlight w:val="none"/>
        </w:rPr>
        <w:t>附件</w:t>
      </w:r>
    </w:p>
    <w:p w14:paraId="5BF095B6">
      <w:pPr>
        <w:keepNext w:val="0"/>
        <w:keepLines w:val="0"/>
        <w:pageBreakBefore w:val="0"/>
        <w:widowControl w:val="0"/>
        <w:numPr>
          <w:ilvl w:val="0"/>
          <w:numId w:val="0"/>
        </w:numPr>
        <w:kinsoku/>
        <w:wordWrap/>
        <w:overflowPunct/>
        <w:topLinePunct w:val="0"/>
        <w:autoSpaceDE/>
        <w:autoSpaceDN/>
        <w:bidi w:val="0"/>
        <w:adjustRightInd/>
        <w:snapToGrid/>
        <w:spacing w:line="575" w:lineRule="exact"/>
        <w:jc w:val="center"/>
        <w:textAlignment w:val="auto"/>
        <w:rPr>
          <w:rFonts w:hint="eastAsia" w:ascii="Times New Roman" w:hAnsi="Times New Roman" w:eastAsia="方正小标宋_GBK" w:cs="Times New Roman"/>
          <w:kern w:val="0"/>
          <w:sz w:val="24"/>
          <w:szCs w:val="24"/>
          <w:highlight w:val="none"/>
          <w:lang w:eastAsia="zh-CN"/>
        </w:rPr>
      </w:pPr>
      <w:r>
        <w:rPr>
          <w:rFonts w:hint="eastAsia" w:ascii="Times New Roman" w:hAnsi="Times New Roman" w:eastAsia="方正小标宋_GBK" w:cs="Times New Roman"/>
          <w:kern w:val="0"/>
          <w:sz w:val="36"/>
          <w:szCs w:val="36"/>
          <w:highlight w:val="none"/>
          <w:lang w:val="en-US" w:eastAsia="zh-CN"/>
        </w:rPr>
        <w:t>黔江区正阳大道南段综合管廊新建工程</w:t>
      </w:r>
      <w:r>
        <w:rPr>
          <w:rFonts w:hint="default" w:ascii="Times New Roman" w:hAnsi="Times New Roman" w:eastAsia="方正小标宋_GBK" w:cs="Times New Roman"/>
          <w:kern w:val="0"/>
          <w:sz w:val="36"/>
          <w:szCs w:val="36"/>
          <w:highlight w:val="none"/>
          <w:lang w:val="zh-CN"/>
        </w:rPr>
        <w:t>投资估算表</w:t>
      </w: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2045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B26C">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9AF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44C7AFF0">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1493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678B">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5475C69F">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D30B">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37230.00 </w:t>
            </w:r>
          </w:p>
        </w:tc>
      </w:tr>
      <w:tr w14:paraId="49EE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68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3E56CFF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支线综合管廊（内空宽4200*高27</w:t>
            </w:r>
            <w:bookmarkStart w:id="0" w:name="_GoBack"/>
            <w:bookmarkEnd w:id="0"/>
            <w:r>
              <w:rPr>
                <w:rFonts w:hint="default" w:ascii="Times New Roman" w:hAnsi="Times New Roman" w:eastAsia="方正仿宋_GBK" w:cs="Times New Roman"/>
                <w:i w:val="0"/>
                <w:color w:val="000000"/>
                <w:kern w:val="0"/>
                <w:sz w:val="24"/>
                <w:szCs w:val="24"/>
                <w:highlight w:val="none"/>
                <w:u w:val="none"/>
                <w:lang w:val="en-US" w:eastAsia="zh-CN" w:bidi="ar"/>
              </w:rPr>
              <w:t>00）</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51E3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37230.00 </w:t>
            </w:r>
          </w:p>
        </w:tc>
      </w:tr>
      <w:tr w14:paraId="59D7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left w:val="single" w:color="000000" w:sz="4" w:space="0"/>
              <w:bottom w:val="single" w:color="000000" w:sz="4" w:space="0"/>
              <w:right w:val="single" w:color="000000" w:sz="4" w:space="0"/>
            </w:tcBorders>
            <w:shd w:val="clear" w:color="auto" w:fill="auto"/>
            <w:vAlign w:val="center"/>
          </w:tcPr>
          <w:p w14:paraId="401218E9">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2476E381">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4"/>
                <w:szCs w:val="24"/>
                <w:highlight w:val="none"/>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5620">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2908.17 </w:t>
            </w:r>
          </w:p>
        </w:tc>
      </w:tr>
      <w:tr w14:paraId="5B61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08C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13246D8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588EF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186.15 </w:t>
            </w:r>
          </w:p>
        </w:tc>
      </w:tr>
      <w:tr w14:paraId="3FA0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36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52A85384">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FDA4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461.45 </w:t>
            </w:r>
          </w:p>
        </w:tc>
      </w:tr>
      <w:tr w14:paraId="01F8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B2D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22B9D8C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7EA6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461.65 </w:t>
            </w:r>
          </w:p>
        </w:tc>
      </w:tr>
      <w:tr w14:paraId="49DF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A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0DAA94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422B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30.92 </w:t>
            </w:r>
          </w:p>
        </w:tc>
      </w:tr>
      <w:tr w14:paraId="3EF1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195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4DC8196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BEE8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57.23 </w:t>
            </w:r>
          </w:p>
        </w:tc>
      </w:tr>
      <w:tr w14:paraId="2FAE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6A2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70CE2D1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5667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1042.44 </w:t>
            </w:r>
          </w:p>
        </w:tc>
      </w:tr>
      <w:tr w14:paraId="3190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69F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7F3F719E">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553A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74.46 </w:t>
            </w:r>
          </w:p>
        </w:tc>
      </w:tr>
      <w:tr w14:paraId="33A3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10B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0CF15BD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AE49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282.50 </w:t>
            </w:r>
          </w:p>
        </w:tc>
      </w:tr>
      <w:tr w14:paraId="05A8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81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713C15F3">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E3B1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13.53 </w:t>
            </w:r>
          </w:p>
        </w:tc>
      </w:tr>
      <w:tr w14:paraId="231D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D24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3CFD0BC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9BD9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111.69 </w:t>
            </w:r>
          </w:p>
        </w:tc>
      </w:tr>
      <w:tr w14:paraId="29E0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509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highlight w:val="none"/>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4E4A768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仿宋_GBK" w:cs="Times New Roman"/>
                <w:i w:val="0"/>
                <w:color w:val="000000"/>
                <w:kern w:val="0"/>
                <w:sz w:val="24"/>
                <w:szCs w:val="24"/>
                <w:highlight w:val="none"/>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53F6E">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i w:val="0"/>
                <w:color w:val="000000"/>
                <w:kern w:val="0"/>
                <w:sz w:val="22"/>
                <w:szCs w:val="22"/>
                <w:highlight w:val="none"/>
                <w:u w:val="none"/>
                <w:lang w:val="en-US" w:eastAsia="zh-CN" w:bidi="ar"/>
              </w:rPr>
              <w:t xml:space="preserve">186.15 </w:t>
            </w:r>
          </w:p>
        </w:tc>
      </w:tr>
      <w:tr w14:paraId="40CF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6120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4"/>
                <w:szCs w:val="24"/>
                <w:highlight w:val="none"/>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4F7D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方正楷体_GBK" w:cs="Times New Roman"/>
                <w:b/>
                <w:i w:val="0"/>
                <w:color w:val="000000"/>
                <w:kern w:val="0"/>
                <w:sz w:val="22"/>
                <w:szCs w:val="22"/>
                <w:highlight w:val="none"/>
                <w:u w:val="none"/>
                <w:lang w:val="en-US" w:eastAsia="zh-CN" w:bidi="ar"/>
              </w:rPr>
              <w:t xml:space="preserve">40138.17 </w:t>
            </w:r>
          </w:p>
        </w:tc>
      </w:tr>
      <w:tr w14:paraId="4673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BCD4">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5C8A">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C56CC">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2"/>
                <w:szCs w:val="22"/>
                <w:highlight w:val="none"/>
                <w:u w:val="none"/>
                <w:lang w:val="en-US" w:eastAsia="zh-CN" w:bidi="ar"/>
              </w:rPr>
              <w:t xml:space="preserve">2006.91 </w:t>
            </w:r>
          </w:p>
        </w:tc>
      </w:tr>
      <w:tr w14:paraId="468C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5F5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7C93">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default" w:ascii="Times New Roman" w:hAnsi="Times New Roman" w:eastAsia="方正楷体_GBK" w:cs="Times New Roman"/>
                <w:b/>
                <w:i w:val="0"/>
                <w:color w:val="000000"/>
                <w:kern w:val="0"/>
                <w:sz w:val="24"/>
                <w:szCs w:val="24"/>
                <w:highlight w:val="none"/>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BABB2">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default" w:ascii="Times New Roman" w:hAnsi="Times New Roman" w:eastAsia="方正楷体_GBK" w:cs="Times New Roman"/>
                <w:b/>
                <w:i w:val="0"/>
                <w:color w:val="000000"/>
                <w:kern w:val="0"/>
                <w:sz w:val="24"/>
                <w:szCs w:val="24"/>
                <w:highlight w:val="none"/>
                <w:u w:val="none"/>
                <w:lang w:val="en-US" w:eastAsia="zh-CN" w:bidi="ar"/>
              </w:rPr>
              <w:t xml:space="preserve">42145.08 </w:t>
            </w:r>
          </w:p>
        </w:tc>
      </w:tr>
    </w:tbl>
    <w:p w14:paraId="0130623D">
      <w:pPr>
        <w:pStyle w:val="12"/>
        <w:ind w:left="0" w:leftChars="0" w:firstLine="0" w:firstLineChars="0"/>
      </w:pPr>
    </w:p>
    <w:p w14:paraId="3C21DCC4">
      <w:pPr>
        <w:pStyle w:val="11"/>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9"/>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12">
    <w:name w:val="Body Text First Indent"/>
    <w:basedOn w:val="3"/>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0"/>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1030</Words>
  <Characters>1280</Characters>
  <Lines>11</Lines>
  <Paragraphs>3</Paragraphs>
  <TotalTime>2</TotalTime>
  <ScaleCrop>false</ScaleCrop>
  <LinksUpToDate>false</LinksUpToDate>
  <CharactersWithSpaces>1423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2025-12-31T08:27:40Z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