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263</w:t>
      </w:r>
      <w:bookmarkStart w:id="1" w:name="_GoBack"/>
      <w:bookmarkEnd w:id="1"/>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1B1FD088">
      <w:pPr>
        <w:keepNext w:val="0"/>
        <w:keepLines w:val="0"/>
        <w:pageBreakBefore w:val="0"/>
        <w:widowControl w:val="0"/>
        <w:kinsoku/>
        <w:wordWrap/>
        <w:overflowPunct/>
        <w:topLinePunct w:val="0"/>
        <w:bidi w:val="0"/>
        <w:spacing w:line="575" w:lineRule="exact"/>
        <w:jc w:val="center"/>
        <w:textAlignment w:val="auto"/>
        <w:rPr>
          <w:rFonts w:hint="default" w:ascii="方正小标宋_GBK" w:eastAsia="方正小标宋_GBK"/>
          <w:sz w:val="44"/>
          <w:szCs w:val="44"/>
          <w:highlight w:val="none"/>
          <w:lang w:val="en" w:eastAsia="zh-CN"/>
        </w:rPr>
      </w:pPr>
      <w:r>
        <w:rPr>
          <w:rFonts w:hint="default" w:ascii="Times New Roman" w:hAnsi="Times New Roman" w:eastAsia="方正小标宋_GBK" w:cs="Times New Roman"/>
          <w:sz w:val="44"/>
          <w:szCs w:val="44"/>
        </w:rPr>
        <w:t>关于</w:t>
      </w:r>
      <w:r>
        <w:rPr>
          <w:rFonts w:hint="default" w:ascii="方正小标宋_GBK" w:eastAsia="方正小标宋_GBK"/>
          <w:sz w:val="44"/>
          <w:szCs w:val="44"/>
          <w:highlight w:val="none"/>
          <w:lang w:val="en" w:eastAsia="zh-CN"/>
        </w:rPr>
        <w:t>黔江区正舟片区老化供水管网更新改造</w:t>
      </w:r>
    </w:p>
    <w:p w14:paraId="5692B7DC">
      <w:pPr>
        <w:keepNext w:val="0"/>
        <w:keepLines w:val="0"/>
        <w:pageBreakBefore w:val="0"/>
        <w:widowControl w:val="0"/>
        <w:kinsoku/>
        <w:wordWrap/>
        <w:overflowPunct/>
        <w:topLinePunct w:val="0"/>
        <w:bidi w:val="0"/>
        <w:spacing w:line="575" w:lineRule="exact"/>
        <w:jc w:val="center"/>
        <w:textAlignment w:val="auto"/>
        <w:rPr>
          <w:rFonts w:hint="default" w:ascii="Times New Roman" w:hAnsi="Times New Roman" w:eastAsia="方正小标宋_GBK" w:cs="Times New Roman"/>
          <w:sz w:val="44"/>
          <w:szCs w:val="44"/>
        </w:rPr>
      </w:pPr>
      <w:r>
        <w:rPr>
          <w:rFonts w:hint="default" w:ascii="方正小标宋_GBK" w:eastAsia="方正小标宋_GBK"/>
          <w:sz w:val="44"/>
          <w:szCs w:val="44"/>
          <w:highlight w:val="none"/>
          <w:lang w:val="en" w:eastAsia="zh-CN"/>
        </w:rPr>
        <w:t>项目</w:t>
      </w:r>
      <w:r>
        <w:rPr>
          <w:rFonts w:hint="default" w:ascii="Times New Roman" w:hAnsi="Times New Roman" w:eastAsia="方正小标宋_GBK" w:cs="Times New Roman"/>
          <w:sz w:val="44"/>
          <w:szCs w:val="44"/>
        </w:rPr>
        <w:t>可行性研究报告的批复</w:t>
      </w:r>
    </w:p>
    <w:p w14:paraId="34B9EB0D">
      <w:pPr>
        <w:keepNext w:val="0"/>
        <w:keepLines w:val="0"/>
        <w:pageBreakBefore w:val="0"/>
        <w:widowControl w:val="0"/>
        <w:kinsoku/>
        <w:wordWrap/>
        <w:overflowPunct/>
        <w:topLinePunct w:val="0"/>
        <w:bidi w:val="0"/>
        <w:spacing w:line="575" w:lineRule="exact"/>
        <w:textAlignment w:val="auto"/>
        <w:rPr>
          <w:rFonts w:hint="default" w:ascii="Times New Roman" w:hAnsi="Times New Roman" w:cs="Times New Roman"/>
          <w:szCs w:val="32"/>
        </w:rPr>
      </w:pPr>
    </w:p>
    <w:p w14:paraId="58F1DC3B">
      <w:pPr>
        <w:keepNext w:val="0"/>
        <w:keepLines w:val="0"/>
        <w:pageBreakBefore w:val="0"/>
        <w:widowControl w:val="0"/>
        <w:kinsoku/>
        <w:wordWrap/>
        <w:overflowPunct/>
        <w:topLinePunct w:val="0"/>
        <w:bidi w:val="0"/>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区</w:t>
      </w:r>
      <w:r>
        <w:rPr>
          <w:rFonts w:hint="eastAsia" w:ascii="Times New Roman" w:hAnsi="Times New Roman" w:eastAsia="方正仿宋_GBK" w:cs="Times New Roman"/>
          <w:kern w:val="2"/>
          <w:sz w:val="32"/>
          <w:szCs w:val="32"/>
          <w:lang w:val="en-US" w:eastAsia="zh-CN" w:bidi="ar-SA"/>
        </w:rPr>
        <w:t>市政设施所</w:t>
      </w:r>
      <w:r>
        <w:rPr>
          <w:rFonts w:hint="default" w:ascii="Times New Roman" w:hAnsi="Times New Roman" w:eastAsia="方正仿宋_GBK" w:cs="Times New Roman"/>
          <w:sz w:val="32"/>
          <w:szCs w:val="32"/>
        </w:rPr>
        <w:t>：</w:t>
      </w:r>
    </w:p>
    <w:p w14:paraId="7F0FBD71">
      <w:pPr>
        <w:pStyle w:val="5"/>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你单位《关于审批黔江区正舟片区老化供水管网更新改造项目可行性研究报告的函》（</w:t>
      </w:r>
      <w:r>
        <w:rPr>
          <w:rFonts w:hint="eastAsia" w:ascii="Times New Roman" w:hAnsi="Times New Roman" w:eastAsia="方正仿宋_GBK" w:cs="Times New Roman"/>
          <w:szCs w:val="32"/>
          <w:lang w:eastAsia="zh-CN"/>
        </w:rPr>
        <w:t>黔江市政设施函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eastAsia"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val="en-US" w:eastAsia="zh-CN"/>
        </w:rPr>
        <w:t>9</w:t>
      </w:r>
      <w:r>
        <w:rPr>
          <w:rFonts w:hint="default" w:ascii="Times New Roman" w:hAnsi="Times New Roman" w:eastAsia="方正仿宋_GBK" w:cs="Times New Roman"/>
          <w:szCs w:val="32"/>
        </w:rPr>
        <w:t>号）收悉。结合黔江区政府投资</w:t>
      </w:r>
      <w:r>
        <w:rPr>
          <w:rFonts w:hint="eastAsia"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eastAsia"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w:t>
      </w:r>
      <w:r>
        <w:rPr>
          <w:rFonts w:hint="default" w:ascii="Times New Roman" w:hAnsi="Times New Roman" w:eastAsia="方正仿宋_GBK" w:cs="Times New Roman"/>
          <w:sz w:val="32"/>
          <w:szCs w:val="32"/>
          <w:lang w:val="en" w:eastAsia="zh-CN" w:bidi="ar-SA"/>
        </w:rPr>
        <w:t>黔江区正舟片区老化供水管网更新改造项目</w:t>
      </w:r>
      <w:r>
        <w:rPr>
          <w:rFonts w:hint="default" w:ascii="Times New Roman" w:hAnsi="Times New Roman" w:eastAsia="方正仿宋_GBK" w:cs="Times New Roman"/>
          <w:szCs w:val="32"/>
        </w:rPr>
        <w:t>（项目代码：</w:t>
      </w:r>
      <w:r>
        <w:rPr>
          <w:rFonts w:hint="eastAsia" w:ascii="Times New Roman" w:hAnsi="Times New Roman" w:eastAsia="方正仿宋_GBK" w:cs="Times New Roman"/>
          <w:sz w:val="32"/>
          <w:szCs w:val="32"/>
          <w:highlight w:val="none"/>
          <w:lang w:val="en-US" w:eastAsia="zh-CN"/>
        </w:rPr>
        <w:t>2512</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500114</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04</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01</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488945</w:t>
      </w:r>
      <w:r>
        <w:rPr>
          <w:rFonts w:hint="default" w:ascii="Times New Roman" w:hAnsi="Times New Roman" w:eastAsia="方正仿宋_GBK" w:cs="Times New Roman"/>
          <w:szCs w:val="32"/>
        </w:rPr>
        <w:t>）。现将项目可行性研究报告批复如下：</w:t>
      </w:r>
    </w:p>
    <w:p w14:paraId="6B4664DA">
      <w:pPr>
        <w:keepNext w:val="0"/>
        <w:keepLines w:val="0"/>
        <w:pageBreakBefore w:val="0"/>
        <w:widowControl w:val="0"/>
        <w:numPr>
          <w:ilvl w:val="0"/>
          <w:numId w:val="0"/>
        </w:numPr>
        <w:kinsoku/>
        <w:wordWrap/>
        <w:overflowPunct/>
        <w:topLinePunct w:val="0"/>
        <w:bidi w:val="0"/>
        <w:spacing w:line="575" w:lineRule="exact"/>
        <w:ind w:firstLine="640" w:firstLineChars="200"/>
        <w:textAlignment w:val="auto"/>
        <w:rPr>
          <w:rFonts w:hint="eastAsia"/>
          <w:lang w:val="zh-CN" w:eastAsia="zh-CN"/>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rPr>
        <w:t>：</w:t>
      </w:r>
      <w:r>
        <w:rPr>
          <w:rFonts w:hint="default" w:ascii="Times New Roman" w:hAnsi="Times New Roman" w:eastAsia="方正仿宋_GBK" w:cs="Times New Roman"/>
          <w:kern w:val="2"/>
          <w:sz w:val="32"/>
          <w:szCs w:val="32"/>
          <w:lang w:val="en-US" w:eastAsia="zh-CN" w:bidi="ar-SA"/>
        </w:rPr>
        <w:t>重庆市黔江</w:t>
      </w:r>
      <w:bookmarkStart w:id="0" w:name="OLE_LINK2"/>
      <w:r>
        <w:rPr>
          <w:rFonts w:hint="default" w:ascii="Times New Roman" w:hAnsi="Times New Roman" w:eastAsia="方正仿宋_GBK" w:cs="Times New Roman"/>
          <w:kern w:val="2"/>
          <w:sz w:val="32"/>
          <w:szCs w:val="32"/>
          <w:lang w:val="en-US" w:eastAsia="zh-CN" w:bidi="ar-SA"/>
        </w:rPr>
        <w:t>区</w:t>
      </w:r>
      <w:r>
        <w:rPr>
          <w:rFonts w:hint="eastAsia" w:ascii="Times New Roman" w:hAnsi="Times New Roman" w:eastAsia="方正仿宋_GBK" w:cs="Times New Roman"/>
          <w:kern w:val="2"/>
          <w:sz w:val="32"/>
          <w:szCs w:val="32"/>
          <w:lang w:val="en-US" w:eastAsia="zh-CN" w:bidi="ar-SA"/>
        </w:rPr>
        <w:t>市政设施所</w:t>
      </w:r>
      <w:bookmarkEnd w:id="0"/>
    </w:p>
    <w:p w14:paraId="6078BAFB">
      <w:pPr>
        <w:keepNext w:val="0"/>
        <w:keepLines w:val="0"/>
        <w:pageBreakBefore w:val="0"/>
        <w:widowControl w:val="0"/>
        <w:numPr>
          <w:ilvl w:val="0"/>
          <w:numId w:val="0"/>
        </w:numPr>
        <w:kinsoku/>
        <w:wordWrap/>
        <w:overflowPunct/>
        <w:topLinePunct w:val="0"/>
        <w:bidi w:val="0"/>
        <w:spacing w:line="575"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eastAsia="zh-CN"/>
        </w:rPr>
        <w:t>代建业主：</w:t>
      </w:r>
      <w:r>
        <w:rPr>
          <w:rFonts w:hint="eastAsia" w:ascii="Times New Roman" w:hAnsi="Times New Roman" w:eastAsia="方正仿宋_GBK" w:cs="Times New Roman"/>
          <w:sz w:val="32"/>
          <w:szCs w:val="32"/>
          <w:lang w:val="zh-CN" w:eastAsia="zh-CN"/>
        </w:rPr>
        <w:t>重庆市枳丹石城市建设开发有限公司</w:t>
      </w:r>
    </w:p>
    <w:p w14:paraId="527BDA97">
      <w:pPr>
        <w:keepNext w:val="0"/>
        <w:keepLines w:val="0"/>
        <w:pageBreakBefore w:val="0"/>
        <w:widowControl w:val="0"/>
        <w:kinsoku/>
        <w:wordWrap/>
        <w:overflowPunct/>
        <w:topLinePunct w:val="0"/>
        <w:autoSpaceDE w:val="0"/>
        <w:autoSpaceDN w:val="0"/>
        <w:bidi w:val="0"/>
        <w:adjustRightInd w:val="0"/>
        <w:snapToGrid w:val="0"/>
        <w:spacing w:line="575" w:lineRule="exact"/>
        <w:ind w:firstLine="640" w:firstLineChars="200"/>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kern w:val="2"/>
          <w:sz w:val="32"/>
          <w:szCs w:val="32"/>
          <w:lang w:val="en-US" w:eastAsia="zh-CN" w:bidi="ar-SA"/>
        </w:rPr>
        <w:t>黔江区</w:t>
      </w:r>
      <w:r>
        <w:rPr>
          <w:rFonts w:hint="default" w:ascii="Times New Roman" w:hAnsi="Times New Roman" w:eastAsia="方正仿宋_GBK" w:cs="Times New Roman"/>
          <w:kern w:val="2"/>
          <w:sz w:val="32"/>
          <w:szCs w:val="32"/>
          <w:lang w:val="en" w:eastAsia="zh-CN" w:bidi="ar-SA"/>
        </w:rPr>
        <w:t>正舟片区</w:t>
      </w:r>
    </w:p>
    <w:p w14:paraId="59D58E1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highlight w:val="none"/>
          <w:lang w:val="en" w:eastAsia="zh-CN"/>
        </w:rPr>
        <w:t>改造正舟片区供水管网，共37040米，主要包括改造DN100供水管线1430米，改造DN150供水管线1780米，改造DN200供水管线3080米，改造DN300供水管线9430米，改造DN400供水管线14130米，改造DN500供水管线6400米，改造DN800供水管线790米；增设分区计量装置10个；改造老旧小区供水设施1399户</w:t>
      </w:r>
      <w:r>
        <w:rPr>
          <w:rFonts w:eastAsia="方正仿宋_GBK"/>
          <w:sz w:val="32"/>
          <w:szCs w:val="32"/>
        </w:rPr>
        <w:t>。</w:t>
      </w:r>
    </w:p>
    <w:p w14:paraId="13D7008F">
      <w:pPr>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19</w:t>
      </w:r>
      <w:r>
        <w:rPr>
          <w:rFonts w:hint="default" w:ascii="Times New Roman" w:hAnsi="Times New Roman" w:eastAsia="方正仿宋_GBK" w:cs="Times New Roman"/>
          <w:sz w:val="32"/>
          <w:szCs w:val="32"/>
        </w:rPr>
        <w:t>个月。</w:t>
      </w:r>
    </w:p>
    <w:p w14:paraId="7E114E66">
      <w:pPr>
        <w:pStyle w:val="7"/>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b w:val="0"/>
          <w:bCs w:val="0"/>
          <w:kern w:val="2"/>
          <w:sz w:val="32"/>
          <w:szCs w:val="24"/>
          <w:lang w:val="en-US" w:eastAsia="zh-CN" w:bidi="ar-SA"/>
        </w:rPr>
        <w:t>项目估算总投资</w:t>
      </w:r>
      <w:r>
        <w:rPr>
          <w:rFonts w:hint="eastAsia" w:ascii="Times New Roman" w:hAnsi="Times New Roman" w:eastAsia="方正仿宋_GBK" w:cs="Times New Roman"/>
          <w:color w:val="auto"/>
          <w:sz w:val="32"/>
          <w:szCs w:val="32"/>
          <w:lang w:val="en-US" w:eastAsia="zh-CN" w:bidi="ar-SA"/>
        </w:rPr>
        <w:t>13140.12</w:t>
      </w:r>
      <w:r>
        <w:rPr>
          <w:rFonts w:hint="default" w:ascii="Times New Roman" w:hAnsi="Times New Roman" w:eastAsia="方正仿宋_GBK" w:cs="Times New Roman"/>
          <w:b w:val="0"/>
          <w:bCs w:val="0"/>
          <w:kern w:val="2"/>
          <w:sz w:val="32"/>
          <w:szCs w:val="24"/>
          <w:lang w:val="en-US" w:eastAsia="zh-CN" w:bidi="ar-SA"/>
        </w:rPr>
        <w:t>万元，其中：工程费用</w:t>
      </w:r>
      <w:r>
        <w:rPr>
          <w:rFonts w:hint="default" w:ascii="Times New Roman" w:hAnsi="Times New Roman" w:eastAsia="方正仿宋_GBK" w:cs="Times New Roman"/>
          <w:color w:val="auto"/>
          <w:sz w:val="32"/>
          <w:szCs w:val="32"/>
          <w:lang w:val="en-US" w:eastAsia="zh-CN" w:bidi="ar-SA"/>
        </w:rPr>
        <w:t>11484.39</w:t>
      </w:r>
      <w:r>
        <w:rPr>
          <w:rFonts w:hint="default" w:ascii="Times New Roman" w:hAnsi="Times New Roman" w:eastAsia="方正仿宋_GBK" w:cs="Times New Roman"/>
          <w:b w:val="0"/>
          <w:bCs w:val="0"/>
          <w:kern w:val="2"/>
          <w:sz w:val="32"/>
          <w:szCs w:val="24"/>
          <w:lang w:val="en-US" w:eastAsia="zh-CN" w:bidi="ar-SA"/>
        </w:rPr>
        <w:t>万元，工程建设其他费用</w:t>
      </w:r>
      <w:r>
        <w:rPr>
          <w:rFonts w:hint="eastAsia" w:ascii="Times New Roman" w:hAnsi="Times New Roman" w:eastAsia="方正仿宋_GBK" w:cs="Times New Roman"/>
          <w:color w:val="auto"/>
          <w:sz w:val="32"/>
          <w:szCs w:val="32"/>
          <w:lang w:val="en-US" w:eastAsia="zh-CN" w:bidi="ar-SA"/>
        </w:rPr>
        <w:t>1030.01</w:t>
      </w:r>
      <w:r>
        <w:rPr>
          <w:rFonts w:hint="default" w:ascii="Times New Roman" w:hAnsi="Times New Roman" w:eastAsia="方正仿宋_GBK" w:cs="Times New Roman"/>
          <w:b w:val="0"/>
          <w:bCs w:val="0"/>
          <w:kern w:val="2"/>
          <w:sz w:val="32"/>
          <w:szCs w:val="24"/>
          <w:lang w:val="en-US" w:eastAsia="zh-CN" w:bidi="ar-SA"/>
        </w:rPr>
        <w:t>万元，预备费</w:t>
      </w:r>
      <w:r>
        <w:rPr>
          <w:rFonts w:hint="eastAsia" w:ascii="Times New Roman" w:hAnsi="Times New Roman" w:eastAsia="方正仿宋_GBK" w:cs="Times New Roman"/>
          <w:color w:val="auto"/>
          <w:sz w:val="32"/>
          <w:szCs w:val="32"/>
          <w:lang w:val="en-US" w:eastAsia="zh-CN" w:bidi="ar-SA"/>
        </w:rPr>
        <w:t>625.72</w:t>
      </w:r>
      <w:r>
        <w:rPr>
          <w:rFonts w:hint="default" w:ascii="Times New Roman" w:hAnsi="Times New Roman" w:eastAsia="方正仿宋_GBK" w:cs="Times New Roman"/>
          <w:b w:val="0"/>
          <w:bCs w:val="0"/>
          <w:kern w:val="2"/>
          <w:sz w:val="32"/>
          <w:szCs w:val="24"/>
          <w:lang w:val="en-US" w:eastAsia="zh-CN" w:bidi="ar-SA"/>
        </w:rPr>
        <w:t>万元。</w:t>
      </w:r>
      <w:r>
        <w:rPr>
          <w:rFonts w:hint="default" w:ascii="Times New Roman" w:hAnsi="Times New Roman" w:eastAsia="方正仿宋_GBK" w:cs="Times New Roman"/>
          <w:sz w:val="32"/>
          <w:szCs w:val="32"/>
          <w:lang w:val="zh-CN"/>
        </w:rPr>
        <w:t>资金来源为</w:t>
      </w:r>
      <w:r>
        <w:rPr>
          <w:rFonts w:hint="eastAsia" w:ascii="Times New Roman" w:hAnsi="Times New Roman" w:eastAsia="方正仿宋_GBK" w:cs="Times New Roman"/>
          <w:color w:val="auto"/>
          <w:sz w:val="32"/>
          <w:szCs w:val="32"/>
          <w:lang w:val="en-US" w:eastAsia="zh-CN" w:bidi="ar-SA"/>
        </w:rPr>
        <w:t>争取国市补助资金，不足部分业主自筹</w:t>
      </w:r>
      <w:r>
        <w:rPr>
          <w:rFonts w:hint="default" w:ascii="Times New Roman" w:hAnsi="Times New Roman" w:eastAsia="方正仿宋_GBK" w:cs="Times New Roman"/>
          <w:color w:val="auto"/>
          <w:sz w:val="32"/>
          <w:szCs w:val="32"/>
          <w:lang w:val="en-US" w:eastAsia="zh-CN" w:bidi="ar-SA"/>
        </w:rPr>
        <w:t>。</w:t>
      </w:r>
    </w:p>
    <w:p w14:paraId="17E12477">
      <w:pPr>
        <w:pStyle w:val="7"/>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、招标核准：</w:t>
      </w:r>
      <w:r>
        <w:rPr>
          <w:rFonts w:hint="default" w:ascii="Times New Roman" w:hAnsi="Times New Roman" w:eastAsia="方正仿宋_GBK" w:cs="Times New Roman"/>
          <w:sz w:val="32"/>
          <w:szCs w:val="32"/>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lang w:eastAsia="zh-CN"/>
        </w:rPr>
        <w:t>按照招标投标法相关规定，依法必须招标的，</w:t>
      </w:r>
      <w:r>
        <w:rPr>
          <w:rFonts w:hint="default" w:ascii="Times New Roman" w:hAnsi="Times New Roman" w:eastAsia="方正仿宋_GBK" w:cs="Times New Roman"/>
          <w:sz w:val="32"/>
          <w:szCs w:val="32"/>
        </w:rPr>
        <w:t>招标方式为公开招标，招标组织形式为委托招标。招标公告在指定媒介公开发布。</w:t>
      </w:r>
    </w:p>
    <w:p w14:paraId="5A54E4B0">
      <w:pPr>
        <w:pStyle w:val="7"/>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、有关事项：</w:t>
      </w:r>
      <w:r>
        <w:rPr>
          <w:rFonts w:hint="default" w:ascii="Times New Roman" w:hAnsi="Times New Roman" w:eastAsia="方正仿宋_GBK" w:cs="Times New Roman"/>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03F24379">
      <w:pPr>
        <w:pStyle w:val="7"/>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p>
    <w:p w14:paraId="26045464">
      <w:pPr>
        <w:pStyle w:val="7"/>
        <w:keepNext w:val="0"/>
        <w:keepLines w:val="0"/>
        <w:pageBreakBefore w:val="0"/>
        <w:widowControl w:val="0"/>
        <w:kinsoku/>
        <w:wordWrap/>
        <w:overflowPunct/>
        <w:topLinePunct w:val="0"/>
        <w:bidi w:val="0"/>
        <w:spacing w:line="575" w:lineRule="exact"/>
        <w:ind w:left="1598" w:leftChars="304" w:hanging="960" w:hangingChars="300"/>
        <w:textAlignment w:val="auto"/>
        <w:rPr>
          <w:rFonts w:hint="default" w:ascii="Times New Roman" w:hAnsi="Times New Roman" w:cs="Times New Roma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pacing w:val="-6"/>
          <w:sz w:val="32"/>
          <w:szCs w:val="32"/>
          <w:lang w:val="en" w:eastAsia="zh-CN" w:bidi="ar-SA"/>
        </w:rPr>
        <w:t>黔江区正舟片区老化供水管网更新改造项目</w:t>
      </w:r>
      <w:r>
        <w:rPr>
          <w:rFonts w:hint="default" w:ascii="Times New Roman" w:hAnsi="Times New Roman" w:eastAsia="方正仿宋_GBK" w:cs="Times New Roman"/>
          <w:spacing w:val="-6"/>
          <w:sz w:val="32"/>
          <w:szCs w:val="32"/>
        </w:rPr>
        <w:t>投资估算表</w:t>
      </w:r>
    </w:p>
    <w:p w14:paraId="0C276154">
      <w:pPr>
        <w:pStyle w:val="38"/>
        <w:keepNext w:val="0"/>
        <w:keepLines w:val="0"/>
        <w:pageBreakBefore w:val="0"/>
        <w:widowControl w:val="0"/>
        <w:kinsoku/>
        <w:wordWrap/>
        <w:overflowPunct/>
        <w:topLinePunct w:val="0"/>
        <w:bidi w:val="0"/>
        <w:spacing w:line="575" w:lineRule="exact"/>
        <w:textAlignment w:val="auto"/>
        <w:rPr>
          <w:rFonts w:hint="default" w:ascii="Times New Roman" w:hAnsi="Times New Roman" w:cs="Times New Roman"/>
        </w:rPr>
      </w:pPr>
    </w:p>
    <w:p w14:paraId="4F43ADB3">
      <w:pPr>
        <w:pStyle w:val="38"/>
        <w:keepNext w:val="0"/>
        <w:keepLines w:val="0"/>
        <w:pageBreakBefore w:val="0"/>
        <w:widowControl w:val="0"/>
        <w:kinsoku/>
        <w:wordWrap/>
        <w:overflowPunct/>
        <w:topLinePunct w:val="0"/>
        <w:bidi w:val="0"/>
        <w:spacing w:line="575" w:lineRule="exact"/>
        <w:textAlignment w:val="auto"/>
        <w:rPr>
          <w:rFonts w:hint="default" w:ascii="Times New Roman" w:hAnsi="Times New Roman" w:cs="Times New Roman"/>
        </w:rPr>
      </w:pPr>
    </w:p>
    <w:p w14:paraId="4D65F8E5">
      <w:pPr>
        <w:keepNext w:val="0"/>
        <w:keepLines w:val="0"/>
        <w:pageBreakBefore w:val="0"/>
        <w:widowControl w:val="0"/>
        <w:kinsoku/>
        <w:wordWrap/>
        <w:overflowPunct/>
        <w:topLinePunct w:val="0"/>
        <w:bidi w:val="0"/>
        <w:spacing w:line="575"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37A34DC2">
      <w:pPr>
        <w:pStyle w:val="5"/>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Cs w:val="32"/>
        </w:rPr>
        <w:t xml:space="preserve">                        202</w:t>
      </w:r>
      <w:r>
        <w:rPr>
          <w:rFonts w:hint="eastAsia" w:ascii="Times New Roman" w:hAnsi="Times New Roman" w:eastAsia="方正仿宋_GBK" w:cs="Times New Roman"/>
          <w:szCs w:val="32"/>
          <w:lang w:val="en-US" w:eastAsia="zh-CN"/>
        </w:rPr>
        <w:t>5</w:t>
      </w:r>
      <w:r>
        <w:rPr>
          <w:rFonts w:hint="default" w:ascii="Times New Roman" w:hAnsi="Times New Roman" w:eastAsia="方正仿宋_GBK" w:cs="Times New Roman"/>
        </w:rPr>
        <w:t>年</w:t>
      </w:r>
      <w:r>
        <w:rPr>
          <w:rFonts w:hint="eastAsia" w:ascii="Times New Roman" w:hAnsi="Times New Roman" w:eastAsia="方正仿宋_GBK" w:cs="Times New Roman"/>
          <w:lang w:val="en-US" w:eastAsia="zh-CN"/>
        </w:rPr>
        <w:t>12</w:t>
      </w:r>
      <w:r>
        <w:rPr>
          <w:rFonts w:hint="default" w:ascii="Times New Roman" w:hAnsi="Times New Roman" w:eastAsia="方正仿宋_GBK" w:cs="Times New Roman"/>
        </w:rPr>
        <w:t>月</w:t>
      </w:r>
      <w:r>
        <w:rPr>
          <w:rFonts w:hint="eastAsia" w:eastAsia="方正仿宋_GBK" w:cs="Times New Roman"/>
          <w:lang w:val="en-US" w:eastAsia="zh-CN"/>
        </w:rPr>
        <w:t>26</w:t>
      </w:r>
      <w:r>
        <w:rPr>
          <w:rFonts w:hint="default" w:ascii="Times New Roman" w:hAnsi="Times New Roman" w:eastAsia="方正仿宋_GBK" w:cs="Times New Roman"/>
        </w:rPr>
        <w:t>日</w:t>
      </w:r>
    </w:p>
    <w:p w14:paraId="528F0DC8">
      <w:pPr>
        <w:pStyle w:val="7"/>
        <w:spacing w:line="500" w:lineRule="exact"/>
        <w:rPr>
          <w:rFonts w:hint="default" w:ascii="Times New Roman" w:hAnsi="Times New Roman" w:eastAsia="方正仿宋_GBK" w:cs="Times New Roman"/>
          <w:sz w:val="28"/>
          <w:szCs w:val="28"/>
        </w:rPr>
      </w:pPr>
    </w:p>
    <w:p w14:paraId="6ACCA79E">
      <w:pPr>
        <w:pStyle w:val="7"/>
        <w:spacing w:line="500" w:lineRule="exact"/>
        <w:ind w:firstLine="280" w:firstLineChars="100"/>
        <w:rPr>
          <w:rFonts w:hint="default" w:ascii="Times New Roman" w:hAnsi="Times New Roman" w:eastAsia="方正仿宋_GBK" w:cs="Times New Roman"/>
          <w:sz w:val="28"/>
          <w:szCs w:val="28"/>
        </w:rPr>
      </w:pPr>
    </w:p>
    <w:p w14:paraId="50CE6A32">
      <w:pPr>
        <w:pStyle w:val="7"/>
        <w:jc w:val="left"/>
        <w:rPr>
          <w:rFonts w:hint="default" w:ascii="Times New Roman" w:hAnsi="Times New Roman" w:eastAsia="方正黑体_GBK" w:cs="Times New Roman"/>
          <w:sz w:val="32"/>
          <w:szCs w:val="32"/>
        </w:rPr>
      </w:pPr>
    </w:p>
    <w:p w14:paraId="265CFDE8">
      <w:pPr>
        <w:pStyle w:val="7"/>
        <w:jc w:val="left"/>
        <w:rPr>
          <w:rFonts w:hint="default" w:ascii="Times New Roman" w:hAnsi="Times New Roman" w:eastAsia="方正黑体_GBK" w:cs="Times New Roman"/>
          <w:sz w:val="32"/>
          <w:szCs w:val="32"/>
        </w:rPr>
      </w:pPr>
    </w:p>
    <w:p w14:paraId="0CC18FCC">
      <w:pPr>
        <w:pStyle w:val="7"/>
        <w:jc w:val="left"/>
        <w:rPr>
          <w:rFonts w:hint="default" w:ascii="Times New Roman" w:hAnsi="Times New Roman" w:eastAsia="方正黑体_GBK" w:cs="Times New Roman"/>
          <w:sz w:val="32"/>
          <w:szCs w:val="32"/>
        </w:rPr>
      </w:pPr>
    </w:p>
    <w:p w14:paraId="6CD7ACAD">
      <w:pPr>
        <w:pStyle w:val="7"/>
        <w:jc w:val="left"/>
        <w:rPr>
          <w:rFonts w:hint="default" w:ascii="Times New Roman" w:hAnsi="Times New Roman" w:eastAsia="方正黑体_GBK" w:cs="Times New Roman"/>
          <w:sz w:val="32"/>
          <w:szCs w:val="32"/>
        </w:rPr>
      </w:pPr>
    </w:p>
    <w:p w14:paraId="34541AA3">
      <w:pPr>
        <w:pStyle w:val="7"/>
        <w:jc w:val="left"/>
        <w:rPr>
          <w:rFonts w:hint="default" w:ascii="Times New Roman" w:hAnsi="Times New Roman" w:eastAsia="方正黑体_GBK" w:cs="Times New Roman"/>
          <w:sz w:val="32"/>
          <w:szCs w:val="32"/>
        </w:rPr>
      </w:pPr>
    </w:p>
    <w:p w14:paraId="2C6EE0C1">
      <w:pPr>
        <w:pStyle w:val="7"/>
        <w:jc w:val="left"/>
        <w:rPr>
          <w:rFonts w:hint="default" w:ascii="Times New Roman" w:hAnsi="Times New Roman" w:eastAsia="方正黑体_GBK" w:cs="Times New Roman"/>
          <w:sz w:val="32"/>
          <w:szCs w:val="32"/>
        </w:rPr>
      </w:pPr>
    </w:p>
    <w:p w14:paraId="08472CF0">
      <w:pPr>
        <w:pStyle w:val="7"/>
        <w:jc w:val="left"/>
        <w:rPr>
          <w:rFonts w:hint="default" w:ascii="Times New Roman" w:hAnsi="Times New Roman" w:eastAsia="方正黑体_GBK" w:cs="Times New Roman"/>
          <w:sz w:val="32"/>
          <w:szCs w:val="32"/>
        </w:rPr>
      </w:pPr>
    </w:p>
    <w:p w14:paraId="519D1947">
      <w:pPr>
        <w:pStyle w:val="7"/>
        <w:jc w:val="left"/>
        <w:rPr>
          <w:rFonts w:hint="default" w:ascii="Times New Roman" w:hAnsi="Times New Roman" w:eastAsia="方正黑体_GBK" w:cs="Times New Roman"/>
          <w:sz w:val="32"/>
          <w:szCs w:val="32"/>
        </w:rPr>
      </w:pPr>
    </w:p>
    <w:p w14:paraId="25492BAB">
      <w:pPr>
        <w:pStyle w:val="7"/>
        <w:jc w:val="left"/>
        <w:rPr>
          <w:rFonts w:hint="default" w:ascii="Times New Roman" w:hAnsi="Times New Roman" w:eastAsia="方正黑体_GBK" w:cs="Times New Roman"/>
          <w:sz w:val="32"/>
          <w:szCs w:val="32"/>
        </w:rPr>
      </w:pPr>
    </w:p>
    <w:p w14:paraId="20328D4A">
      <w:pPr>
        <w:pStyle w:val="7"/>
        <w:jc w:val="left"/>
        <w:rPr>
          <w:rFonts w:hint="default" w:ascii="Times New Roman" w:hAnsi="Times New Roman" w:eastAsia="方正黑体_GBK" w:cs="Times New Roman"/>
          <w:sz w:val="32"/>
          <w:szCs w:val="32"/>
        </w:rPr>
      </w:pPr>
    </w:p>
    <w:p w14:paraId="50C7E118">
      <w:pPr>
        <w:pStyle w:val="7"/>
        <w:jc w:val="left"/>
        <w:rPr>
          <w:rFonts w:hint="default" w:ascii="Times New Roman" w:hAnsi="Times New Roman" w:eastAsia="方正黑体_GBK" w:cs="Times New Roman"/>
          <w:sz w:val="32"/>
          <w:szCs w:val="32"/>
        </w:rPr>
      </w:pPr>
    </w:p>
    <w:p w14:paraId="41117F7C">
      <w:pPr>
        <w:pStyle w:val="7"/>
        <w:jc w:val="left"/>
        <w:rPr>
          <w:rFonts w:hint="default" w:ascii="Times New Roman" w:hAnsi="Times New Roman" w:eastAsia="方正黑体_GBK" w:cs="Times New Roman"/>
          <w:sz w:val="32"/>
          <w:szCs w:val="32"/>
        </w:rPr>
      </w:pPr>
    </w:p>
    <w:p w14:paraId="30E57A31">
      <w:pPr>
        <w:pStyle w:val="7"/>
        <w:jc w:val="left"/>
        <w:rPr>
          <w:rFonts w:hint="default" w:ascii="Times New Roman" w:hAnsi="Times New Roman" w:eastAsia="方正黑体_GBK" w:cs="Times New Roman"/>
          <w:sz w:val="32"/>
          <w:szCs w:val="32"/>
        </w:rPr>
      </w:pPr>
    </w:p>
    <w:p w14:paraId="2005CEC5">
      <w:pPr>
        <w:pStyle w:val="7"/>
        <w:jc w:val="left"/>
        <w:rPr>
          <w:rFonts w:hint="default" w:ascii="Times New Roman" w:hAnsi="Times New Roman" w:eastAsia="方正黑体_GBK" w:cs="Times New Roman"/>
          <w:sz w:val="32"/>
          <w:szCs w:val="32"/>
        </w:rPr>
      </w:pPr>
    </w:p>
    <w:p w14:paraId="01FE9CD3">
      <w:pPr>
        <w:pStyle w:val="7"/>
        <w:jc w:val="left"/>
        <w:rPr>
          <w:rFonts w:hint="default" w:ascii="Times New Roman" w:hAnsi="Times New Roman" w:eastAsia="方正黑体_GBK" w:cs="Times New Roman"/>
          <w:sz w:val="32"/>
          <w:szCs w:val="32"/>
        </w:rPr>
      </w:pPr>
    </w:p>
    <w:p w14:paraId="0B069F66">
      <w:pPr>
        <w:pStyle w:val="7"/>
        <w:jc w:val="left"/>
        <w:rPr>
          <w:rFonts w:hint="default" w:ascii="Times New Roman" w:hAnsi="Times New Roman" w:eastAsia="方正黑体_GBK" w:cs="Times New Roman"/>
          <w:sz w:val="32"/>
          <w:szCs w:val="32"/>
        </w:rPr>
      </w:pPr>
    </w:p>
    <w:p w14:paraId="4A2677E7">
      <w:pPr>
        <w:pStyle w:val="7"/>
        <w:jc w:val="left"/>
        <w:rPr>
          <w:rFonts w:hint="default" w:ascii="Times New Roman" w:hAnsi="Times New Roman" w:eastAsia="方正小标宋_GBK" w:cs="Times New Roman"/>
          <w:sz w:val="36"/>
          <w:szCs w:val="36"/>
        </w:rPr>
      </w:pPr>
      <w:r>
        <w:rPr>
          <w:rFonts w:hint="default" w:ascii="Times New Roman" w:hAnsi="Times New Roman" w:eastAsia="方正黑体_GBK" w:cs="Times New Roman"/>
          <w:sz w:val="32"/>
          <w:szCs w:val="32"/>
        </w:rPr>
        <w:t>附件</w:t>
      </w:r>
    </w:p>
    <w:p w14:paraId="6CBF31C3">
      <w:pPr>
        <w:pStyle w:val="7"/>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sz w:val="36"/>
          <w:szCs w:val="36"/>
          <w:lang w:val="en" w:eastAsia="zh-CN"/>
        </w:rPr>
      </w:pPr>
      <w:r>
        <w:rPr>
          <w:rFonts w:hint="default" w:ascii="Times New Roman" w:hAnsi="Times New Roman" w:eastAsia="方正小标宋_GBK" w:cs="Times New Roman"/>
          <w:sz w:val="36"/>
          <w:szCs w:val="36"/>
          <w:lang w:val="en" w:eastAsia="zh-CN"/>
        </w:rPr>
        <w:t>黔江区正舟片区老化供水管网更新改造项目</w:t>
      </w:r>
    </w:p>
    <w:p w14:paraId="2C4A5AEE">
      <w:pPr>
        <w:pStyle w:val="7"/>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投资估算表</w:t>
      </w:r>
    </w:p>
    <w:tbl>
      <w:tblPr>
        <w:tblStyle w:val="12"/>
        <w:tblW w:w="8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0"/>
        <w:gridCol w:w="5109"/>
        <w:gridCol w:w="2550"/>
      </w:tblGrid>
      <w:tr w14:paraId="6875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vAlign w:val="center"/>
          </w:tcPr>
          <w:p w14:paraId="14D8E087">
            <w:pPr>
              <w:keepNext w:val="0"/>
              <w:keepLines w:val="0"/>
              <w:widowControl/>
              <w:suppressLineNumbers w:val="0"/>
              <w:jc w:val="center"/>
              <w:textAlignment w:val="center"/>
              <w:rPr>
                <w:rFonts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序   号</w:t>
            </w:r>
          </w:p>
        </w:tc>
        <w:tc>
          <w:tcPr>
            <w:tcW w:w="5109" w:type="dxa"/>
            <w:tcBorders>
              <w:top w:val="single" w:color="000000" w:sz="4" w:space="0"/>
              <w:left w:val="single" w:color="000000" w:sz="4" w:space="0"/>
              <w:bottom w:val="single" w:color="000000" w:sz="4" w:space="0"/>
              <w:right w:val="single" w:color="000000" w:sz="4" w:space="0"/>
            </w:tcBorders>
            <w:vAlign w:val="center"/>
          </w:tcPr>
          <w:p w14:paraId="07B90A75">
            <w:pPr>
              <w:keepNext w:val="0"/>
              <w:keepLines w:val="0"/>
              <w:widowControl/>
              <w:suppressLineNumbers w:val="0"/>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工程或费用名称</w:t>
            </w:r>
          </w:p>
        </w:tc>
        <w:tc>
          <w:tcPr>
            <w:tcW w:w="2550" w:type="dxa"/>
            <w:tcBorders>
              <w:top w:val="single" w:color="000000" w:sz="4" w:space="0"/>
              <w:left w:val="single" w:color="000000" w:sz="4" w:space="0"/>
              <w:bottom w:val="single" w:color="000000" w:sz="4" w:space="0"/>
              <w:right w:val="single" w:color="000000" w:sz="4" w:space="0"/>
            </w:tcBorders>
            <w:vAlign w:val="center"/>
          </w:tcPr>
          <w:p w14:paraId="2B68434F">
            <w:pPr>
              <w:keepNext w:val="0"/>
              <w:keepLines w:val="0"/>
              <w:widowControl/>
              <w:suppressLineNumbers w:val="0"/>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金额（万元）</w:t>
            </w:r>
          </w:p>
        </w:tc>
      </w:tr>
      <w:tr w14:paraId="7A1D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vAlign w:val="center"/>
          </w:tcPr>
          <w:p w14:paraId="614306BD">
            <w:pPr>
              <w:keepNext w:val="0"/>
              <w:keepLines w:val="0"/>
              <w:widowControl/>
              <w:suppressLineNumbers w:val="0"/>
              <w:jc w:val="center"/>
              <w:textAlignment w:val="center"/>
              <w:rPr>
                <w:rFonts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5109" w:type="dxa"/>
            <w:tcBorders>
              <w:top w:val="single" w:color="000000" w:sz="4" w:space="0"/>
              <w:left w:val="single" w:color="000000" w:sz="4" w:space="0"/>
              <w:bottom w:val="single" w:color="000000" w:sz="4" w:space="0"/>
              <w:right w:val="single" w:color="000000" w:sz="4" w:space="0"/>
            </w:tcBorders>
            <w:vAlign w:val="center"/>
          </w:tcPr>
          <w:p w14:paraId="75C894FF">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550" w:type="dxa"/>
            <w:tcBorders>
              <w:top w:val="single" w:color="000000" w:sz="4" w:space="0"/>
              <w:left w:val="single" w:color="000000" w:sz="4" w:space="0"/>
              <w:bottom w:val="single" w:color="000000" w:sz="4" w:space="0"/>
              <w:right w:val="single" w:color="000000" w:sz="4" w:space="0"/>
            </w:tcBorders>
            <w:vAlign w:val="center"/>
          </w:tcPr>
          <w:p w14:paraId="0A962D02">
            <w:pPr>
              <w:keepNext w:val="0"/>
              <w:keepLines w:val="0"/>
              <w:widowControl/>
              <w:suppressLineNumbers w:val="0"/>
              <w:jc w:val="center"/>
              <w:textAlignment w:val="center"/>
              <w:rPr>
                <w:rFonts w:hint="default" w:ascii="Times New Roman" w:hAnsi="Times New Roman" w:eastAsia="方正楷体_GBK" w:cs="Times New Roman"/>
                <w:i w:val="0"/>
                <w:color w:val="000000"/>
                <w:kern w:val="0"/>
                <w:sz w:val="24"/>
                <w:szCs w:val="24"/>
                <w:u w:val="none"/>
                <w:lang w:val="en-US" w:eastAsia="zh-CN" w:bidi="ar"/>
              </w:rPr>
            </w:pPr>
            <w:r>
              <w:rPr>
                <w:rFonts w:hint="default" w:ascii="Times New Roman" w:hAnsi="Times New Roman" w:eastAsia="方正楷体_GBK" w:cs="Times New Roman"/>
                <w:b/>
                <w:i w:val="0"/>
                <w:color w:val="000000"/>
                <w:kern w:val="0"/>
                <w:sz w:val="24"/>
                <w:szCs w:val="24"/>
                <w:u w:val="none"/>
                <w:lang w:val="en-US" w:eastAsia="zh-CN" w:bidi="ar"/>
              </w:rPr>
              <w:t xml:space="preserve">11484.39 </w:t>
            </w:r>
          </w:p>
        </w:tc>
      </w:tr>
      <w:tr w14:paraId="6400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818B">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sz w:val="28"/>
                <w:szCs w:val="28"/>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6B9F7">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黔江区正舟片区老化供水管网更新改造项目</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441EC">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11484.39 </w:t>
            </w:r>
          </w:p>
        </w:tc>
      </w:tr>
      <w:tr w14:paraId="0A14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vAlign w:val="center"/>
          </w:tcPr>
          <w:p w14:paraId="26F460EE">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sz w:val="28"/>
                <w:szCs w:val="28"/>
                <w:u w:val="none"/>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5109" w:type="dxa"/>
            <w:tcBorders>
              <w:top w:val="single" w:color="000000" w:sz="4" w:space="0"/>
              <w:left w:val="single" w:color="000000" w:sz="4" w:space="0"/>
              <w:bottom w:val="single" w:color="000000" w:sz="4" w:space="0"/>
              <w:right w:val="single" w:color="000000" w:sz="4" w:space="0"/>
            </w:tcBorders>
            <w:vAlign w:val="center"/>
          </w:tcPr>
          <w:p w14:paraId="319A95E8">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550" w:type="dxa"/>
            <w:tcBorders>
              <w:top w:val="single" w:color="000000" w:sz="4" w:space="0"/>
              <w:left w:val="single" w:color="000000" w:sz="4" w:space="0"/>
              <w:bottom w:val="single" w:color="000000" w:sz="4" w:space="0"/>
              <w:right w:val="single" w:color="000000" w:sz="4" w:space="0"/>
            </w:tcBorders>
            <w:vAlign w:val="center"/>
          </w:tcPr>
          <w:p w14:paraId="744B8A7F">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b/>
                <w:i w:val="0"/>
                <w:color w:val="000000"/>
                <w:kern w:val="0"/>
                <w:sz w:val="24"/>
                <w:szCs w:val="24"/>
                <w:u w:val="none"/>
                <w:lang w:val="en-US" w:eastAsia="zh-CN" w:bidi="ar"/>
              </w:rPr>
              <w:t xml:space="preserve">1030.01 </w:t>
            </w:r>
          </w:p>
        </w:tc>
      </w:tr>
      <w:tr w14:paraId="4242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A849">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sz w:val="28"/>
                <w:szCs w:val="28"/>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39A1C">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E30E9">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57.42 </w:t>
            </w:r>
          </w:p>
        </w:tc>
      </w:tr>
      <w:tr w14:paraId="6D5B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10A4">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sz w:val="28"/>
                <w:szCs w:val="28"/>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1A4A7">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2AD73">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171.40 </w:t>
            </w:r>
          </w:p>
        </w:tc>
      </w:tr>
      <w:tr w14:paraId="77F7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B036">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E5A5C">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E69F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157.91 </w:t>
            </w:r>
          </w:p>
        </w:tc>
      </w:tr>
      <w:tr w14:paraId="2D0D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DEA9">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B9884">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F5B61">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21.90 </w:t>
            </w:r>
          </w:p>
        </w:tc>
      </w:tr>
      <w:tr w14:paraId="0059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E1D3">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B938B">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1D4CB">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24.12 </w:t>
            </w:r>
          </w:p>
        </w:tc>
      </w:tr>
      <w:tr w14:paraId="1E46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CB7C">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1B9A5">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361D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367.50 </w:t>
            </w:r>
          </w:p>
        </w:tc>
      </w:tr>
      <w:tr w14:paraId="7A0C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7C22">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5505D">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CE513">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27.56 </w:t>
            </w:r>
          </w:p>
        </w:tc>
      </w:tr>
      <w:tr w14:paraId="4CFC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FFF4">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0505C">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00987">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110.33 </w:t>
            </w:r>
          </w:p>
        </w:tc>
      </w:tr>
      <w:tr w14:paraId="0300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4948">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CB487">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92AB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34.45 </w:t>
            </w:r>
          </w:p>
        </w:tc>
      </w:tr>
      <w:tr w14:paraId="6661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8AFE">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9AC86">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125DE">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i w:val="0"/>
                <w:color w:val="000000"/>
                <w:kern w:val="0"/>
                <w:sz w:val="24"/>
                <w:szCs w:val="24"/>
                <w:u w:val="none"/>
                <w:lang w:val="en-US" w:eastAsia="zh-CN" w:bidi="ar"/>
              </w:rPr>
              <w:t xml:space="preserve">57.42 </w:t>
            </w:r>
          </w:p>
        </w:tc>
      </w:tr>
      <w:tr w14:paraId="0B20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6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E679A">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CF940">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b/>
                <w:i w:val="0"/>
                <w:color w:val="000000"/>
                <w:kern w:val="0"/>
                <w:sz w:val="24"/>
                <w:szCs w:val="24"/>
                <w:u w:val="none"/>
                <w:lang w:val="en-US" w:eastAsia="zh-CN" w:bidi="ar"/>
              </w:rPr>
              <w:t xml:space="preserve">12514.40 </w:t>
            </w:r>
          </w:p>
        </w:tc>
      </w:tr>
      <w:tr w14:paraId="6BDA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5351">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DC3">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AD0E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b/>
                <w:i w:val="0"/>
                <w:color w:val="000000"/>
                <w:kern w:val="0"/>
                <w:sz w:val="24"/>
                <w:szCs w:val="24"/>
                <w:u w:val="none"/>
                <w:lang w:val="en-US" w:eastAsia="zh-CN" w:bidi="ar"/>
              </w:rPr>
              <w:t xml:space="preserve">625.72 </w:t>
            </w:r>
          </w:p>
        </w:tc>
      </w:tr>
      <w:tr w14:paraId="1DD5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0C9E">
            <w:pPr>
              <w:keepNext w:val="0"/>
              <w:keepLines w:val="0"/>
              <w:widowControl/>
              <w:suppressLineNumbers w:val="0"/>
              <w:jc w:val="center"/>
              <w:textAlignment w:val="center"/>
              <w:rPr>
                <w:rFonts w:hint="default" w:ascii="Times New Roman" w:hAnsi="Times New Roman" w:eastAsia="方正楷体_GBK" w:cs="Times New Roman"/>
                <w:b w:val="0"/>
                <w:bCs w:val="0"/>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8E0E">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E231D">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楷体_GBK" w:cs="Times New Roman"/>
                <w:b/>
                <w:i w:val="0"/>
                <w:color w:val="000000"/>
                <w:kern w:val="0"/>
                <w:sz w:val="24"/>
                <w:szCs w:val="24"/>
                <w:u w:val="none"/>
                <w:lang w:val="en-US" w:eastAsia="zh-CN" w:bidi="ar"/>
              </w:rPr>
              <w:t xml:space="preserve">13140.12 </w:t>
            </w:r>
          </w:p>
        </w:tc>
      </w:tr>
    </w:tbl>
    <w:p w14:paraId="2CF389F3">
      <w:pPr>
        <w:pStyle w:val="7"/>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eastAsia="方正黑体_GBK" w:cs="Times New Roman"/>
          <w:sz w:val="32"/>
          <w:szCs w:val="32"/>
          <w:lang w:val="en-US" w:eastAsia="zh-CN"/>
        </w:rPr>
      </w:pPr>
    </w:p>
    <w:p w14:paraId="51CA0F75">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8D02FBD">
      <w:pPr>
        <w:pStyle w:val="3"/>
        <w:keepNext w:val="0"/>
        <w:keepLines w:val="0"/>
        <w:pageBreakBefore w:val="0"/>
        <w:widowControl w:val="0"/>
        <w:kinsoku/>
        <w:wordWrap/>
        <w:overflowPunct/>
        <w:topLinePunct w:val="0"/>
        <w:autoSpaceDE/>
        <w:autoSpaceDN/>
        <w:bidi w:val="0"/>
        <w:adjustRightInd/>
        <w:snapToGrid/>
        <w:spacing w:before="0" w:after="0" w:line="56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6"/>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6"/>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link w:val="15"/>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Char Char Char"/>
    <w:basedOn w:val="1"/>
    <w:link w:val="14"/>
    <w:qFormat/>
    <w:uiPriority w:val="0"/>
    <w:rPr>
      <w:szCs w:val="20"/>
    </w:rPr>
  </w:style>
  <w:style w:type="character" w:styleId="16">
    <w:name w:val="page number"/>
    <w:qFormat/>
    <w:uiPriority w:val="0"/>
  </w:style>
  <w:style w:type="character" w:customStyle="1" w:styleId="17">
    <w:name w:val="页眉 Char"/>
    <w:link w:val="11"/>
    <w:semiHidden/>
    <w:qFormat/>
    <w:locked/>
    <w:uiPriority w:val="0"/>
    <w:rPr>
      <w:rFonts w:eastAsia="宋体"/>
      <w:kern w:val="2"/>
      <w:sz w:val="18"/>
      <w:szCs w:val="18"/>
      <w:lang w:val="en-US" w:eastAsia="zh-CN" w:bidi="ar-SA"/>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41"/>
    <w:qFormat/>
    <w:uiPriority w:val="0"/>
    <w:rPr>
      <w:rFonts w:hint="eastAsia" w:ascii="方正仿宋_GBK" w:hAnsi="方正仿宋_GBK" w:eastAsia="方正仿宋_GBK" w:cs="方正仿宋_GBK"/>
      <w:color w:val="000000"/>
      <w:sz w:val="28"/>
      <w:szCs w:val="28"/>
      <w:u w:val="none"/>
    </w:rPr>
  </w:style>
  <w:style w:type="character" w:customStyle="1" w:styleId="21">
    <w:name w:val="font21"/>
    <w:qFormat/>
    <w:uiPriority w:val="0"/>
    <w:rPr>
      <w:rFonts w:hint="eastAsia" w:ascii="宋体" w:hAnsi="宋体" w:eastAsia="宋体" w:cs="宋体"/>
      <w:color w:val="000000"/>
      <w:sz w:val="24"/>
      <w:szCs w:val="24"/>
      <w:u w:val="none"/>
    </w:rPr>
  </w:style>
  <w:style w:type="character" w:customStyle="1" w:styleId="22">
    <w:name w:val="font81"/>
    <w:qFormat/>
    <w:uiPriority w:val="0"/>
    <w:rPr>
      <w:rFonts w:hint="eastAsia" w:ascii="方正仿宋_GBK" w:hAnsi="方正仿宋_GBK" w:eastAsia="方正仿宋_GBK" w:cs="方正仿宋_GBK"/>
      <w:color w:val="000000"/>
      <w:sz w:val="24"/>
      <w:szCs w:val="24"/>
      <w:u w:val="none"/>
    </w:rPr>
  </w:style>
  <w:style w:type="character" w:customStyle="1" w:styleId="23">
    <w:name w:val="font61"/>
    <w:basedOn w:val="14"/>
    <w:qFormat/>
    <w:uiPriority w:val="0"/>
    <w:rPr>
      <w:rFonts w:ascii="方正仿宋_GBK" w:hAnsi="方正仿宋_GBK" w:eastAsia="方正仿宋_GBK" w:cs="方正仿宋_GBK"/>
      <w:b/>
      <w:bCs/>
      <w:color w:val="000000"/>
      <w:sz w:val="28"/>
      <w:szCs w:val="28"/>
      <w:u w:val="none"/>
    </w:rPr>
  </w:style>
  <w:style w:type="character" w:customStyle="1" w:styleId="24">
    <w:name w:val="font71"/>
    <w:basedOn w:val="14"/>
    <w:qFormat/>
    <w:uiPriority w:val="0"/>
    <w:rPr>
      <w:rFonts w:hint="eastAsia" w:ascii="方正仿宋_GBK" w:hAnsi="方正仿宋_GBK" w:eastAsia="方正仿宋_GBK" w:cs="方正仿宋_GBK"/>
      <w:color w:val="000000"/>
      <w:sz w:val="28"/>
      <w:szCs w:val="28"/>
      <w:u w:val="none"/>
    </w:rPr>
  </w:style>
  <w:style w:type="character" w:customStyle="1" w:styleId="25">
    <w:name w:val="font101"/>
    <w:basedOn w:val="14"/>
    <w:qFormat/>
    <w:uiPriority w:val="0"/>
    <w:rPr>
      <w:rFonts w:ascii="方正仿宋_GBK" w:hAnsi="方正仿宋_GBK" w:eastAsia="方正仿宋_GBK" w:cs="方正仿宋_GBK"/>
      <w:color w:val="000000"/>
      <w:sz w:val="20"/>
      <w:szCs w:val="20"/>
      <w:u w:val="none"/>
    </w:rPr>
  </w:style>
  <w:style w:type="character" w:customStyle="1" w:styleId="26">
    <w:name w:val="font51"/>
    <w:basedOn w:val="14"/>
    <w:qFormat/>
    <w:uiPriority w:val="0"/>
    <w:rPr>
      <w:rFonts w:hint="default" w:ascii="Times New Roman" w:hAnsi="Times New Roman" w:cs="Times New Roman"/>
      <w:color w:val="000000"/>
      <w:sz w:val="20"/>
      <w:szCs w:val="20"/>
      <w:u w:val="none"/>
    </w:rPr>
  </w:style>
  <w:style w:type="paragraph" w:customStyle="1" w:styleId="27">
    <w:name w:val="_Style 5"/>
    <w:basedOn w:val="1"/>
    <w:qFormat/>
    <w:uiPriority w:val="0"/>
  </w:style>
  <w:style w:type="character" w:customStyle="1" w:styleId="28">
    <w:name w:val="font91"/>
    <w:basedOn w:val="14"/>
    <w:qFormat/>
    <w:uiPriority w:val="0"/>
    <w:rPr>
      <w:rFonts w:ascii="方正楷体_GBK" w:hAnsi="方正楷体_GBK" w:eastAsia="方正楷体_GBK" w:cs="方正楷体_GBK"/>
      <w:b/>
      <w:bCs/>
      <w:color w:val="000000"/>
      <w:sz w:val="28"/>
      <w:szCs w:val="28"/>
      <w:u w:val="none"/>
    </w:rPr>
  </w:style>
  <w:style w:type="character" w:customStyle="1" w:styleId="29">
    <w:name w:val="font112"/>
    <w:basedOn w:val="14"/>
    <w:qFormat/>
    <w:uiPriority w:val="0"/>
    <w:rPr>
      <w:rFonts w:ascii="方正仿宋_GBK" w:hAnsi="方正仿宋_GBK" w:eastAsia="方正仿宋_GBK" w:cs="方正仿宋_GBK"/>
      <w:color w:val="000000"/>
      <w:sz w:val="24"/>
      <w:szCs w:val="24"/>
      <w:u w:val="none"/>
    </w:rPr>
  </w:style>
  <w:style w:type="character" w:customStyle="1" w:styleId="30">
    <w:name w:val="font181"/>
    <w:basedOn w:val="14"/>
    <w:qFormat/>
    <w:uiPriority w:val="0"/>
    <w:rPr>
      <w:rFonts w:ascii="方正黑体_GBK" w:hAnsi="方正黑体_GBK" w:eastAsia="方正黑体_GBK" w:cs="方正黑体_GBK"/>
      <w:color w:val="000000"/>
      <w:sz w:val="24"/>
      <w:szCs w:val="24"/>
      <w:u w:val="none"/>
    </w:rPr>
  </w:style>
  <w:style w:type="character" w:customStyle="1" w:styleId="31">
    <w:name w:val="font31"/>
    <w:basedOn w:val="14"/>
    <w:qFormat/>
    <w:uiPriority w:val="0"/>
    <w:rPr>
      <w:rFonts w:ascii="黑体" w:hAnsi="宋体" w:eastAsia="黑体" w:cs="黑体"/>
      <w:color w:val="000000"/>
      <w:sz w:val="28"/>
      <w:szCs w:val="28"/>
      <w:u w:val="none"/>
    </w:rPr>
  </w:style>
  <w:style w:type="character" w:customStyle="1" w:styleId="32">
    <w:name w:val="font191"/>
    <w:basedOn w:val="14"/>
    <w:qFormat/>
    <w:uiPriority w:val="0"/>
    <w:rPr>
      <w:rFonts w:hint="eastAsia" w:ascii="宋体" w:hAnsi="宋体" w:eastAsia="宋体" w:cs="宋体"/>
      <w:b/>
      <w:bCs/>
      <w:color w:val="000000"/>
      <w:sz w:val="21"/>
      <w:szCs w:val="21"/>
      <w:u w:val="none"/>
    </w:rPr>
  </w:style>
  <w:style w:type="character" w:customStyle="1" w:styleId="33">
    <w:name w:val="font201"/>
    <w:basedOn w:val="14"/>
    <w:qFormat/>
    <w:uiPriority w:val="0"/>
    <w:rPr>
      <w:rFonts w:hint="eastAsia" w:ascii="宋体" w:hAnsi="宋体" w:eastAsia="宋体" w:cs="宋体"/>
      <w:color w:val="000000"/>
      <w:sz w:val="21"/>
      <w:szCs w:val="21"/>
      <w:u w:val="none"/>
    </w:rPr>
  </w:style>
  <w:style w:type="character" w:customStyle="1" w:styleId="34">
    <w:name w:val="font212"/>
    <w:basedOn w:val="14"/>
    <w:qFormat/>
    <w:uiPriority w:val="0"/>
    <w:rPr>
      <w:rFonts w:hint="eastAsia" w:ascii="宋体" w:hAnsi="宋体" w:eastAsia="宋体" w:cs="宋体"/>
      <w:color w:val="000000"/>
      <w:sz w:val="21"/>
      <w:szCs w:val="21"/>
      <w:u w:val="none"/>
    </w:rPr>
  </w:style>
  <w:style w:type="character" w:customStyle="1" w:styleId="35">
    <w:name w:val="font221"/>
    <w:basedOn w:val="14"/>
    <w:qFormat/>
    <w:uiPriority w:val="0"/>
    <w:rPr>
      <w:rFonts w:hint="eastAsia" w:ascii="宋体" w:hAnsi="宋体" w:eastAsia="宋体" w:cs="宋体"/>
      <w:b/>
      <w:bCs/>
      <w:color w:val="000000"/>
      <w:sz w:val="24"/>
      <w:szCs w:val="24"/>
      <w:u w:val="none"/>
    </w:rPr>
  </w:style>
  <w:style w:type="character" w:customStyle="1" w:styleId="36">
    <w:name w:val="font231"/>
    <w:basedOn w:val="14"/>
    <w:qFormat/>
    <w:uiPriority w:val="0"/>
    <w:rPr>
      <w:rFonts w:hint="eastAsia" w:ascii="宋体" w:hAnsi="宋体" w:eastAsia="宋体" w:cs="宋体"/>
      <w:b/>
      <w:bCs/>
      <w:color w:val="000000"/>
      <w:sz w:val="21"/>
      <w:szCs w:val="21"/>
      <w:u w:val="none"/>
    </w:rPr>
  </w:style>
  <w:style w:type="character" w:customStyle="1" w:styleId="37">
    <w:name w:val="font11"/>
    <w:basedOn w:val="14"/>
    <w:qFormat/>
    <w:uiPriority w:val="0"/>
    <w:rPr>
      <w:rFonts w:hint="default" w:ascii="Times New Roman" w:hAnsi="Times New Roman" w:cs="Times New Roman"/>
      <w:color w:val="000000"/>
      <w:sz w:val="28"/>
      <w:szCs w:val="28"/>
      <w:u w:val="none"/>
    </w:rPr>
  </w:style>
  <w:style w:type="paragraph" w:customStyle="1" w:styleId="3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969</Words>
  <Characters>1175</Characters>
  <Lines>11</Lines>
  <Paragraphs>3</Paragraphs>
  <TotalTime>0</TotalTime>
  <ScaleCrop>false</ScaleCrop>
  <LinksUpToDate>false</LinksUpToDate>
  <CharactersWithSpaces>1329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2025-12-31T07:59:35Z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