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3B5C607">
      <w:pPr>
        <w:tabs>
          <w:tab w:val="left" w:pos="8181"/>
          <w:tab w:val="left" w:pos="8733"/>
        </w:tabs>
        <w:spacing w:line="580" w:lineRule="exact"/>
        <w:ind w:right="-193" w:rightChars="-92" w:firstLine="160" w:firstLineChars="50"/>
        <w:rPr>
          <w:rFonts w:hint="eastAsia" w:eastAsia="方正仿宋_GBK"/>
          <w:sz w:val="32"/>
          <w:szCs w:val="32"/>
        </w:rPr>
      </w:pPr>
      <w:r>
        <w:rPr>
          <w:rFonts w:eastAsia="方正仿宋_GBK"/>
          <w:sz w:val="32"/>
          <w:szCs w:val="32"/>
        </w:rPr>
        <mc:AlternateContent>
          <mc:Choice Requires="wps">
            <w:drawing>
              <wp:anchor distT="0" distB="0" distL="114300" distR="114300" simplePos="0" relativeHeight="251660288" behindDoc="0" locked="0" layoutInCell="1" allowOverlap="1">
                <wp:simplePos x="0" y="0"/>
                <wp:positionH relativeFrom="page">
                  <wp:posOffset>972185</wp:posOffset>
                </wp:positionH>
                <wp:positionV relativeFrom="margin">
                  <wp:posOffset>2971800</wp:posOffset>
                </wp:positionV>
                <wp:extent cx="5636895" cy="22225"/>
                <wp:effectExtent l="0" t="10795" r="1905" b="24130"/>
                <wp:wrapNone/>
                <wp:docPr id="1" name="Line 9"/>
                <wp:cNvGraphicFramePr/>
                <a:graphic xmlns:a="http://schemas.openxmlformats.org/drawingml/2006/main">
                  <a:graphicData uri="http://schemas.microsoft.com/office/word/2010/wordprocessingShape">
                    <wps:wsp>
                      <wps:cNvCnPr/>
                      <wps:spPr>
                        <a:xfrm flipV="1">
                          <a:off x="0" y="0"/>
                          <a:ext cx="5636895" cy="22225"/>
                        </a:xfrm>
                        <a:prstGeom prst="line">
                          <a:avLst/>
                        </a:prstGeom>
                        <a:ln w="22225" cap="flat" cmpd="sng">
                          <a:solidFill>
                            <a:srgbClr val="FF0000"/>
                          </a:solidFill>
                          <a:prstDash val="solid"/>
                          <a:headEnd type="none" w="med" len="med"/>
                          <a:tailEnd type="none" w="med" len="med"/>
                        </a:ln>
                      </wps:spPr>
                      <wps:bodyPr upright="1"/>
                    </wps:wsp>
                  </a:graphicData>
                </a:graphic>
              </wp:anchor>
            </w:drawing>
          </mc:Choice>
          <mc:Fallback>
            <w:pict>
              <v:line id="Line 9" o:spid="_x0000_s1026" o:spt="20" style="position:absolute;left:0pt;flip:y;margin-left:76.55pt;margin-top:234pt;height:1.75pt;width:443.85pt;mso-position-horizontal-relative:page;mso-position-vertical-relative:margin;z-index:251660288;mso-width-relative:page;mso-height-relative:page;" filled="f" stroked="t" coordsize="21600,21600" o:gfxdata="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">
                <v:fill on="f" focussize="0,0"/>
                <v:stroke weight="1.75pt" color="#FF0000" joinstyle="round"/>
                <v:imagedata o:title=""/>
                <o:lock v:ext="edit" aspectratio="f"/>
              </v:line>
            </w:pict>
          </mc:Fallback>
        </mc:AlternateContent>
      </w:r>
      <w:r>
        <w:rPr>
          <w:rFonts w:eastAsia="方正仿宋_GBK"/>
          <w:sz w:val="32"/>
          <w:szCs w:val="32"/>
        </w:rPr>
        <w:pict>
          <v:shape id="AutoShape 8" o:spid="_x0000_s1032" o:spt="136" type="#_x0000_t136" style="position:absolute;left:0pt;margin-left:92.3pt;margin-top:86.85pt;height:52.45pt;width:411pt;mso-position-horizontal-relative:page;mso-position-vertical-relative:margin;z-index:251659264;mso-width-relative:page;mso-height-relative:page;" fillcolor="#FF0000" filled="t" stroked="f" coordsize="21600,21600">
            <v:path/>
            <v:fill on="t" focussize="0,0"/>
            <v:stroke on="f"/>
            <v:imagedata o:title=""/>
            <o:lock v:ext="edit" grouping="f" rotation="f" text="f" aspectratio="f"/>
            <v:textpath on="t" fitshape="t" fitpath="t" trim="t" xscale="f" string="重庆市黔江区发展和改革委员会文件" style="font-family:方正小标宋_GBK;font-size:36pt;font-weight:bold;v-text-align:center;"/>
          </v:shape>
        </w:pict>
      </w:r>
    </w:p>
    <w:p w14:paraId="501236C9">
      <w:pPr>
        <w:tabs>
          <w:tab w:val="left" w:pos="8181"/>
          <w:tab w:val="left" w:pos="8733"/>
        </w:tabs>
        <w:spacing w:line="580" w:lineRule="exact"/>
        <w:ind w:right="-193" w:rightChars="-92" w:firstLine="160" w:firstLineChars="50"/>
        <w:rPr>
          <w:rFonts w:hint="eastAsia" w:eastAsia="方正仿宋_GBK"/>
          <w:sz w:val="32"/>
          <w:szCs w:val="32"/>
        </w:rPr>
      </w:pPr>
    </w:p>
    <w:p w14:paraId="516EA150">
      <w:pPr>
        <w:tabs>
          <w:tab w:val="left" w:pos="8181"/>
          <w:tab w:val="left" w:pos="8733"/>
        </w:tabs>
        <w:spacing w:line="580" w:lineRule="exact"/>
        <w:ind w:right="-193" w:rightChars="-92" w:firstLine="160" w:firstLineChars="50"/>
        <w:rPr>
          <w:rFonts w:hint="eastAsia" w:eastAsia="方正仿宋_GBK"/>
          <w:sz w:val="32"/>
          <w:szCs w:val="32"/>
        </w:rPr>
      </w:pPr>
    </w:p>
    <w:p w14:paraId="20DC31CF">
      <w:pPr>
        <w:tabs>
          <w:tab w:val="left" w:pos="8181"/>
          <w:tab w:val="left" w:pos="8733"/>
        </w:tabs>
        <w:spacing w:line="580" w:lineRule="exact"/>
        <w:ind w:right="-193" w:rightChars="-92" w:firstLine="160" w:firstLineChars="50"/>
        <w:rPr>
          <w:rFonts w:hint="eastAsia" w:eastAsia="方正仿宋_GBK"/>
          <w:sz w:val="32"/>
          <w:szCs w:val="32"/>
        </w:rPr>
      </w:pPr>
    </w:p>
    <w:p w14:paraId="3E4C935D">
      <w:pPr>
        <w:tabs>
          <w:tab w:val="left" w:pos="8181"/>
          <w:tab w:val="left" w:pos="8733"/>
        </w:tabs>
        <w:spacing w:line="580" w:lineRule="exact"/>
        <w:ind w:right="-193" w:rightChars="-92" w:firstLine="160" w:firstLineChars="50"/>
        <w:rPr>
          <w:rFonts w:hint="eastAsia" w:eastAsia="方正仿宋_GBK"/>
          <w:sz w:val="32"/>
          <w:szCs w:val="32"/>
        </w:rPr>
      </w:pPr>
    </w:p>
    <w:p w14:paraId="56715D60">
      <w:pPr>
        <w:tabs>
          <w:tab w:val="left" w:pos="8181"/>
          <w:tab w:val="left" w:pos="8733"/>
        </w:tabs>
        <w:spacing w:line="580" w:lineRule="exact"/>
        <w:ind w:right="-193" w:rightChars="-92" w:firstLine="160" w:firstLineChars="50"/>
        <w:rPr>
          <w:rFonts w:hint="eastAsia" w:eastAsia="方正仿宋_GBK"/>
          <w:sz w:val="32"/>
          <w:szCs w:val="32"/>
        </w:rPr>
      </w:pPr>
      <w:r>
        <w:rPr>
          <w:rFonts w:hint="eastAsia" w:eastAsia="方正仿宋_GBK"/>
          <w:sz w:val="32"/>
          <w:szCs w:val="32"/>
        </w:rPr>
        <w:t xml:space="preserve"> </w:t>
      </w:r>
    </w:p>
    <w:p w14:paraId="3D0504B4">
      <w:pPr>
        <w:tabs>
          <w:tab w:val="left" w:pos="8181"/>
          <w:tab w:val="left" w:pos="8733"/>
        </w:tabs>
        <w:spacing w:line="500" w:lineRule="exact"/>
        <w:ind w:right="-193" w:rightChars="-92" w:firstLine="160" w:firstLineChars="50"/>
        <w:rPr>
          <w:rFonts w:hint="eastAsia" w:eastAsia="方正仿宋_GBK"/>
          <w:sz w:val="32"/>
          <w:szCs w:val="32"/>
        </w:rPr>
      </w:pPr>
    </w:p>
    <w:p w14:paraId="1D0A493E">
      <w:pPr>
        <w:tabs>
          <w:tab w:val="left" w:pos="8181"/>
          <w:tab w:val="left" w:pos="8733"/>
        </w:tabs>
        <w:spacing w:line="200" w:lineRule="exact"/>
        <w:ind w:right="-193" w:rightChars="-92" w:firstLine="160" w:firstLineChars="50"/>
        <w:rPr>
          <w:rFonts w:hint="eastAsia" w:eastAsia="方正仿宋_GBK"/>
          <w:sz w:val="32"/>
          <w:szCs w:val="32"/>
        </w:rPr>
      </w:pPr>
    </w:p>
    <w:p w14:paraId="6C1A7B6A">
      <w:pPr>
        <w:spacing w:line="520" w:lineRule="exact"/>
        <w:jc w:val="center"/>
        <w:rPr>
          <w:rFonts w:hint="eastAsia" w:eastAsia="方正仿宋_GBK"/>
          <w:sz w:val="32"/>
          <w:szCs w:val="32"/>
        </w:rPr>
      </w:pPr>
      <w:r>
        <w:rPr>
          <w:rFonts w:eastAsia="方正仿宋_GBK"/>
          <w:sz w:val="32"/>
          <w:szCs w:val="32"/>
        </w:rPr>
        <w:t>黔江发改委</w:t>
      </w:r>
      <w:r>
        <w:rPr>
          <w:rFonts w:hint="eastAsia" w:eastAsia="方正仿宋_GBK"/>
          <w:sz w:val="32"/>
          <w:szCs w:val="32"/>
        </w:rPr>
        <w:t>发</w:t>
      </w:r>
      <w:r>
        <w:rPr>
          <w:rFonts w:eastAsia="方正仿宋_GBK"/>
          <w:sz w:val="32"/>
          <w:szCs w:val="32"/>
        </w:rPr>
        <w:t>〔20</w:t>
      </w:r>
      <w:r>
        <w:rPr>
          <w:rFonts w:hint="eastAsia" w:eastAsia="方正仿宋_GBK"/>
          <w:sz w:val="32"/>
          <w:szCs w:val="32"/>
        </w:rPr>
        <w:t>2</w:t>
      </w:r>
      <w:r>
        <w:rPr>
          <w:rFonts w:hint="eastAsia" w:eastAsia="方正仿宋_GBK"/>
          <w:sz w:val="32"/>
          <w:szCs w:val="32"/>
          <w:lang w:val="en-US" w:eastAsia="zh-CN"/>
        </w:rPr>
        <w:t>6</w:t>
      </w:r>
      <w:r>
        <w:rPr>
          <w:rFonts w:eastAsia="方正仿宋_GBK"/>
          <w:sz w:val="32"/>
          <w:szCs w:val="32"/>
        </w:rPr>
        <w:t>〕</w:t>
      </w:r>
      <w:r>
        <w:rPr>
          <w:rFonts w:hint="eastAsia" w:eastAsia="方正仿宋_GBK"/>
          <w:sz w:val="32"/>
          <w:szCs w:val="32"/>
          <w:lang w:val="en-US" w:eastAsia="zh-CN"/>
        </w:rPr>
        <w:t>25</w:t>
      </w:r>
      <w:r>
        <w:rPr>
          <w:rFonts w:eastAsia="方正仿宋_GBK"/>
          <w:sz w:val="32"/>
          <w:szCs w:val="32"/>
        </w:rPr>
        <w:t>号</w:t>
      </w:r>
    </w:p>
    <w:p w14:paraId="1925B8BC">
      <w:pPr>
        <w:spacing w:line="520" w:lineRule="exact"/>
        <w:rPr>
          <w:rFonts w:hint="eastAsia" w:eastAsia="方正仿宋_GBK"/>
          <w:sz w:val="32"/>
          <w:szCs w:val="32"/>
        </w:rPr>
      </w:pPr>
      <w:r>
        <w:rPr>
          <w:rFonts w:hint="eastAsia" w:eastAsia="方正仿宋_GBK"/>
          <w:sz w:val="32"/>
          <w:szCs w:val="32"/>
        </w:rPr>
        <w:t xml:space="preserve"> </w:t>
      </w:r>
    </w:p>
    <w:p w14:paraId="690F6812">
      <w:pPr>
        <w:spacing w:line="575" w:lineRule="exact"/>
        <w:rPr>
          <w:rFonts w:hint="eastAsia" w:eastAsia="方正仿宋_GBK"/>
          <w:sz w:val="32"/>
          <w:szCs w:val="32"/>
        </w:rPr>
      </w:pPr>
    </w:p>
    <w:p w14:paraId="47497183">
      <w:pPr>
        <w:spacing w:line="575" w:lineRule="exact"/>
        <w:jc w:val="center"/>
        <w:rPr>
          <w:rFonts w:hint="eastAsia" w:ascii="方正小标宋_GBK" w:eastAsia="方正小标宋_GBK"/>
          <w:sz w:val="44"/>
          <w:szCs w:val="44"/>
        </w:rPr>
      </w:pPr>
      <w:r>
        <w:rPr>
          <w:rFonts w:hint="eastAsia" w:ascii="方正小标宋_GBK" w:eastAsia="方正小标宋_GBK"/>
          <w:sz w:val="44"/>
          <w:szCs w:val="44"/>
        </w:rPr>
        <w:t>重庆市黔江区发展和改革委员会</w:t>
      </w:r>
    </w:p>
    <w:p w14:paraId="4A0D61CA">
      <w:pPr>
        <w:spacing w:line="575" w:lineRule="exact"/>
        <w:jc w:val="center"/>
        <w:rPr>
          <w:rFonts w:hint="eastAsia" w:ascii="方正小标宋_GBK" w:eastAsia="方正小标宋_GBK"/>
          <w:sz w:val="44"/>
          <w:szCs w:val="44"/>
        </w:rPr>
      </w:pPr>
      <w:r>
        <w:rPr>
          <w:rFonts w:hint="eastAsia" w:ascii="方正小标宋_GBK" w:eastAsia="方正小标宋_GBK"/>
          <w:sz w:val="44"/>
          <w:szCs w:val="44"/>
        </w:rPr>
        <w:t>关于黔江区金洞乡2026年特色旅居村</w:t>
      </w:r>
    </w:p>
    <w:p w14:paraId="117E9980">
      <w:pPr>
        <w:spacing w:line="575" w:lineRule="exact"/>
        <w:jc w:val="center"/>
        <w:rPr>
          <w:rFonts w:hint="eastAsia" w:ascii="方正小标宋_GBK" w:eastAsia="方正小标宋_GBK"/>
          <w:sz w:val="44"/>
          <w:szCs w:val="44"/>
        </w:rPr>
      </w:pPr>
      <w:r>
        <w:rPr>
          <w:rFonts w:hint="eastAsia" w:ascii="方正小标宋_GBK" w:eastAsia="方正小标宋_GBK"/>
          <w:sz w:val="44"/>
          <w:szCs w:val="44"/>
        </w:rPr>
        <w:t>配套基础设施建设以工代赈项目</w:t>
      </w:r>
    </w:p>
    <w:p w14:paraId="5AAD360A">
      <w:pPr>
        <w:spacing w:line="575" w:lineRule="exact"/>
        <w:jc w:val="center"/>
        <w:rPr>
          <w:rFonts w:hint="eastAsia" w:ascii="方正小标宋_GBK" w:eastAsia="方正小标宋_GBK"/>
          <w:sz w:val="44"/>
          <w:szCs w:val="44"/>
        </w:rPr>
      </w:pPr>
      <w:r>
        <w:rPr>
          <w:rFonts w:hint="eastAsia" w:ascii="方正小标宋_GBK" w:eastAsia="方正小标宋_GBK"/>
          <w:sz w:val="44"/>
          <w:szCs w:val="44"/>
        </w:rPr>
        <w:t>可行性研究报告的批复</w:t>
      </w:r>
    </w:p>
    <w:p w14:paraId="6C47F62A">
      <w:pPr>
        <w:spacing w:line="575" w:lineRule="exact"/>
        <w:rPr>
          <w:rFonts w:ascii="仿宋_GB2312" w:eastAsia="仿宋_GB2312"/>
          <w:sz w:val="32"/>
        </w:rPr>
      </w:pPr>
    </w:p>
    <w:p w14:paraId="4C78A2A1">
      <w:pPr>
        <w:spacing w:line="575" w:lineRule="exact"/>
        <w:rPr>
          <w:rFonts w:eastAsia="方正仿宋_GBK"/>
          <w:sz w:val="32"/>
          <w:szCs w:val="32"/>
        </w:rPr>
      </w:pPr>
      <w:r>
        <w:rPr>
          <w:rFonts w:eastAsia="方正仿宋_GBK"/>
          <w:sz w:val="32"/>
          <w:szCs w:val="32"/>
        </w:rPr>
        <w:t>金洞乡人民政府：</w:t>
      </w:r>
    </w:p>
    <w:p w14:paraId="0BF325B2">
      <w:pPr>
        <w:spacing w:line="575" w:lineRule="exact"/>
        <w:rPr>
          <w:rFonts w:eastAsia="方正仿宋_GBK"/>
          <w:sz w:val="32"/>
          <w:szCs w:val="32"/>
        </w:rPr>
      </w:pPr>
      <w:r>
        <w:rPr>
          <w:rFonts w:eastAsia="方正仿宋_GBK"/>
          <w:sz w:val="32"/>
          <w:szCs w:val="32"/>
        </w:rPr>
        <w:t xml:space="preserve">    你府《关于审批</w:t>
      </w:r>
      <w:r>
        <w:rPr>
          <w:rFonts w:hint="eastAsia" w:eastAsia="方正仿宋_GBK"/>
          <w:sz w:val="32"/>
          <w:szCs w:val="32"/>
        </w:rPr>
        <w:t>黔江区金洞乡2026年特色旅居村配套基础设施建设以工代赈项目</w:t>
      </w:r>
      <w:r>
        <w:rPr>
          <w:rFonts w:eastAsia="方正仿宋_GBK"/>
          <w:sz w:val="32"/>
          <w:szCs w:val="32"/>
        </w:rPr>
        <w:t>可行性研究报告的函》（金洞府函〔20</w:t>
      </w:r>
      <w:r>
        <w:rPr>
          <w:rFonts w:hint="eastAsia" w:eastAsia="方正仿宋_GBK"/>
          <w:sz w:val="32"/>
          <w:szCs w:val="32"/>
        </w:rPr>
        <w:t>2</w:t>
      </w:r>
      <w:r>
        <w:rPr>
          <w:rFonts w:hint="eastAsia" w:eastAsia="方正仿宋_GBK"/>
          <w:sz w:val="32"/>
          <w:szCs w:val="32"/>
          <w:lang w:val="en-US" w:eastAsia="zh-CN"/>
        </w:rPr>
        <w:t>6</w:t>
      </w:r>
      <w:r>
        <w:rPr>
          <w:rFonts w:eastAsia="方正仿宋_GBK"/>
          <w:sz w:val="32"/>
          <w:szCs w:val="32"/>
        </w:rPr>
        <w:t>〕11号）收悉。经区政府投资项目前期工作服务中心评审，原则同意该项目可行性研究报告。现批复如下：</w:t>
      </w:r>
    </w:p>
    <w:p w14:paraId="2D409B80">
      <w:pPr>
        <w:spacing w:line="575" w:lineRule="exact"/>
        <w:ind w:firstLine="640" w:firstLineChars="200"/>
        <w:rPr>
          <w:rFonts w:eastAsia="方正仿宋_GBK"/>
          <w:sz w:val="32"/>
          <w:szCs w:val="32"/>
        </w:rPr>
      </w:pPr>
      <w:r>
        <w:rPr>
          <w:rFonts w:eastAsia="方正仿宋_GBK"/>
          <w:sz w:val="32"/>
          <w:szCs w:val="32"/>
        </w:rPr>
        <w:t>一、为提升金洞乡鱼泉村农业农村基础设施条件，增加农村劳动力务工收入，同意实施该项目。</w:t>
      </w:r>
    </w:p>
    <w:p w14:paraId="7ACF4420">
      <w:pPr>
        <w:spacing w:line="575" w:lineRule="exact"/>
        <w:ind w:firstLine="640" w:firstLineChars="200"/>
        <w:rPr>
          <w:rFonts w:eastAsia="方正仿宋_GBK"/>
          <w:sz w:val="32"/>
          <w:szCs w:val="32"/>
        </w:rPr>
      </w:pPr>
      <w:r>
        <w:rPr>
          <w:rFonts w:eastAsia="方正仿宋_GBK"/>
          <w:sz w:val="32"/>
          <w:szCs w:val="32"/>
        </w:rPr>
        <w:t>二、项目代码：2</w:t>
      </w:r>
      <w:r>
        <w:rPr>
          <w:rFonts w:hint="eastAsia" w:eastAsia="方正仿宋_GBK"/>
          <w:sz w:val="32"/>
          <w:szCs w:val="32"/>
          <w:lang w:val="en-US" w:eastAsia="zh-CN"/>
        </w:rPr>
        <w:t>6</w:t>
      </w:r>
      <w:r>
        <w:rPr>
          <w:rFonts w:eastAsia="方正仿宋_GBK"/>
          <w:sz w:val="32"/>
          <w:szCs w:val="32"/>
        </w:rPr>
        <w:t>0</w:t>
      </w:r>
      <w:r>
        <w:rPr>
          <w:rFonts w:hint="eastAsia" w:eastAsia="方正仿宋_GBK"/>
          <w:sz w:val="32"/>
          <w:szCs w:val="32"/>
          <w:lang w:val="en-US" w:eastAsia="zh-CN"/>
        </w:rPr>
        <w:t>1</w:t>
      </w:r>
      <w:r>
        <w:rPr>
          <w:rFonts w:eastAsia="方正仿宋_GBK"/>
          <w:sz w:val="32"/>
          <w:szCs w:val="32"/>
        </w:rPr>
        <w:t>-500114-04-01-</w:t>
      </w:r>
      <w:r>
        <w:rPr>
          <w:rFonts w:hint="eastAsia" w:eastAsia="方正仿宋_GBK"/>
          <w:sz w:val="32"/>
          <w:szCs w:val="32"/>
          <w:lang w:val="en-US" w:eastAsia="zh-CN"/>
        </w:rPr>
        <w:t>401033</w:t>
      </w:r>
      <w:r>
        <w:rPr>
          <w:rFonts w:eastAsia="方正仿宋_GBK"/>
          <w:sz w:val="32"/>
          <w:szCs w:val="32"/>
        </w:rPr>
        <w:t>。</w:t>
      </w:r>
    </w:p>
    <w:p w14:paraId="3CBA44DB">
      <w:pPr>
        <w:spacing w:line="575" w:lineRule="exact"/>
        <w:ind w:firstLine="640" w:firstLineChars="200"/>
        <w:rPr>
          <w:rFonts w:eastAsia="方正仿宋_GBK"/>
          <w:sz w:val="32"/>
          <w:szCs w:val="32"/>
        </w:rPr>
      </w:pPr>
      <w:r>
        <w:rPr>
          <w:rFonts w:eastAsia="方正仿宋_GBK"/>
          <w:sz w:val="32"/>
          <w:szCs w:val="32"/>
        </w:rPr>
        <w:t>三、项目法人：黔江区金洞乡人民政府。</w:t>
      </w:r>
    </w:p>
    <w:p w14:paraId="7AB3DB6C">
      <w:pPr>
        <w:spacing w:line="575" w:lineRule="exact"/>
        <w:ind w:firstLine="640" w:firstLineChars="200"/>
        <w:rPr>
          <w:rFonts w:eastAsia="方正仿宋_GBK"/>
          <w:sz w:val="32"/>
          <w:szCs w:val="32"/>
        </w:rPr>
      </w:pPr>
      <w:r>
        <w:rPr>
          <w:rFonts w:eastAsia="方正仿宋_GBK"/>
          <w:sz w:val="32"/>
          <w:szCs w:val="32"/>
        </w:rPr>
        <w:t>四、项目建设地点：黔江区金洞乡鱼泉村。</w:t>
      </w:r>
    </w:p>
    <w:p w14:paraId="1E7447A9">
      <w:pPr>
        <w:spacing w:line="575" w:lineRule="exact"/>
        <w:ind w:firstLine="640" w:firstLineChars="200"/>
        <w:rPr>
          <w:rFonts w:eastAsia="方正仿宋_GBK"/>
          <w:sz w:val="32"/>
          <w:szCs w:val="32"/>
        </w:rPr>
      </w:pPr>
      <w:r>
        <w:rPr>
          <w:rFonts w:eastAsia="方正仿宋_GBK"/>
          <w:sz w:val="32"/>
          <w:szCs w:val="32"/>
        </w:rPr>
        <w:t>五、建设规模、标准及主要建设内容：</w:t>
      </w:r>
      <w:r>
        <w:rPr>
          <w:rFonts w:hint="eastAsia" w:eastAsia="方正仿宋_GBK"/>
          <w:sz w:val="32"/>
          <w:szCs w:val="32"/>
        </w:rPr>
        <w:t>新建3.5米宽道路8.8公里，1米宽人行便道4公里，场地硬化1000平方米，整治0.6米深沟渠3公里，修建挡土墙167立方米，包括路基、路面、排水沟砌筑及挡土墙等</w:t>
      </w:r>
      <w:r>
        <w:rPr>
          <w:rFonts w:eastAsia="方正仿宋_GBK"/>
          <w:sz w:val="32"/>
          <w:szCs w:val="32"/>
        </w:rPr>
        <w:t>。</w:t>
      </w:r>
    </w:p>
    <w:p w14:paraId="3FA4A947">
      <w:pPr>
        <w:spacing w:line="575" w:lineRule="exact"/>
        <w:ind w:firstLine="640" w:firstLineChars="200"/>
        <w:rPr>
          <w:rFonts w:eastAsia="方正仿宋_GBK"/>
          <w:sz w:val="32"/>
          <w:szCs w:val="32"/>
        </w:rPr>
      </w:pPr>
      <w:r>
        <w:rPr>
          <w:rFonts w:eastAsia="方正仿宋_GBK"/>
          <w:sz w:val="32"/>
          <w:szCs w:val="32"/>
        </w:rPr>
        <w:t>六、投资估算及资金来源：</w:t>
      </w:r>
      <w:r>
        <w:rPr>
          <w:rFonts w:hint="eastAsia" w:eastAsia="方正仿宋_GBK"/>
          <w:sz w:val="32"/>
          <w:szCs w:val="32"/>
        </w:rPr>
        <w:t>项目总投资</w:t>
      </w:r>
      <w:r>
        <w:rPr>
          <w:rFonts w:hint="eastAsia" w:eastAsia="方正仿宋_GBK"/>
          <w:sz w:val="32"/>
          <w:szCs w:val="32"/>
          <w:lang w:val="en-US" w:eastAsia="zh-CN"/>
        </w:rPr>
        <w:t>466.00</w:t>
      </w:r>
      <w:r>
        <w:rPr>
          <w:rFonts w:hint="eastAsia" w:eastAsia="方正仿宋_GBK"/>
          <w:sz w:val="32"/>
          <w:szCs w:val="32"/>
        </w:rPr>
        <w:t>万元，其中工程费用</w:t>
      </w:r>
      <w:r>
        <w:rPr>
          <w:rFonts w:hint="eastAsia" w:eastAsia="方正仿宋_GBK"/>
          <w:sz w:val="32"/>
          <w:szCs w:val="32"/>
          <w:lang w:val="en-US" w:eastAsia="zh-CN"/>
        </w:rPr>
        <w:t>436.95</w:t>
      </w:r>
      <w:r>
        <w:rPr>
          <w:rFonts w:hint="eastAsia" w:eastAsia="方正仿宋_GBK"/>
          <w:sz w:val="32"/>
          <w:szCs w:val="32"/>
        </w:rPr>
        <w:t>万元，工程建设其他费</w:t>
      </w:r>
      <w:r>
        <w:rPr>
          <w:rFonts w:hint="eastAsia" w:eastAsia="方正仿宋_GBK"/>
          <w:sz w:val="32"/>
          <w:szCs w:val="32"/>
          <w:lang w:val="en-US" w:eastAsia="zh-CN"/>
        </w:rPr>
        <w:t>29.05</w:t>
      </w:r>
      <w:r>
        <w:rPr>
          <w:rFonts w:hint="eastAsia" w:eastAsia="方正仿宋_GBK"/>
          <w:sz w:val="32"/>
          <w:szCs w:val="32"/>
        </w:rPr>
        <w:t>万元。</w:t>
      </w:r>
      <w:r>
        <w:rPr>
          <w:rFonts w:eastAsia="方正仿宋_GBK"/>
          <w:sz w:val="32"/>
          <w:szCs w:val="32"/>
        </w:rPr>
        <w:t>资金来源为2026年中央预算内以工代赈资金</w:t>
      </w:r>
      <w:r>
        <w:rPr>
          <w:rFonts w:hint="eastAsia" w:eastAsia="方正仿宋_GBK"/>
          <w:sz w:val="32"/>
          <w:szCs w:val="32"/>
          <w:lang w:val="en-US" w:eastAsia="zh-CN"/>
        </w:rPr>
        <w:t>437</w:t>
      </w:r>
      <w:r>
        <w:rPr>
          <w:rFonts w:eastAsia="方正仿宋_GBK"/>
          <w:sz w:val="32"/>
          <w:szCs w:val="32"/>
        </w:rPr>
        <w:t>万元，地方财政性建设资金</w:t>
      </w:r>
      <w:r>
        <w:rPr>
          <w:rFonts w:hint="eastAsia" w:eastAsia="方正仿宋_GBK"/>
          <w:sz w:val="32"/>
          <w:szCs w:val="32"/>
          <w:lang w:val="en-US" w:eastAsia="zh-CN"/>
        </w:rPr>
        <w:t>29</w:t>
      </w:r>
      <w:bookmarkStart w:id="0" w:name="_GoBack"/>
      <w:bookmarkEnd w:id="0"/>
      <w:r>
        <w:rPr>
          <w:rFonts w:eastAsia="方正仿宋_GBK"/>
          <w:sz w:val="32"/>
          <w:szCs w:val="32"/>
        </w:rPr>
        <w:t>万元。</w:t>
      </w:r>
    </w:p>
    <w:p w14:paraId="0DF3D13D">
      <w:pPr>
        <w:spacing w:line="575" w:lineRule="exact"/>
        <w:ind w:firstLine="640" w:firstLineChars="200"/>
        <w:rPr>
          <w:rFonts w:eastAsia="方正仿宋_GBK"/>
          <w:sz w:val="32"/>
          <w:szCs w:val="32"/>
        </w:rPr>
      </w:pPr>
      <w:r>
        <w:rPr>
          <w:rFonts w:eastAsia="方正仿宋_GBK"/>
          <w:sz w:val="32"/>
          <w:szCs w:val="32"/>
        </w:rPr>
        <w:t>七、建设工期：</w:t>
      </w:r>
      <w:r>
        <w:rPr>
          <w:rFonts w:hint="eastAsia" w:eastAsia="方正仿宋_GBK"/>
          <w:sz w:val="32"/>
          <w:szCs w:val="32"/>
          <w:lang w:val="en-US" w:eastAsia="zh-CN"/>
        </w:rPr>
        <w:t>10</w:t>
      </w:r>
      <w:r>
        <w:rPr>
          <w:rFonts w:eastAsia="方正仿宋_GBK"/>
          <w:sz w:val="32"/>
          <w:szCs w:val="32"/>
        </w:rPr>
        <w:t>个月。</w:t>
      </w:r>
    </w:p>
    <w:p w14:paraId="486B2C25">
      <w:pPr>
        <w:spacing w:line="575" w:lineRule="exact"/>
        <w:ind w:firstLine="640" w:firstLineChars="200"/>
        <w:rPr>
          <w:rFonts w:eastAsia="方正仿宋_GBK"/>
          <w:sz w:val="32"/>
          <w:szCs w:val="32"/>
        </w:rPr>
      </w:pPr>
      <w:r>
        <w:rPr>
          <w:rFonts w:eastAsia="方正仿宋_GBK"/>
          <w:sz w:val="32"/>
          <w:szCs w:val="32"/>
        </w:rPr>
        <w:t>八、招标核准：本项目招标范围、招标方式及招标组织形式按照《中华人民共和国招标投标法实施条例》、《重庆市黔江区政府投资管理实施办法》和以工代赈项目建设有关规定组织实施。</w:t>
      </w:r>
    </w:p>
    <w:p w14:paraId="2ACABE7C">
      <w:pPr>
        <w:spacing w:line="575" w:lineRule="exact"/>
        <w:ind w:firstLine="640" w:firstLineChars="200"/>
        <w:rPr>
          <w:rFonts w:hint="eastAsia" w:eastAsia="方正仿宋_GBK"/>
          <w:sz w:val="32"/>
          <w:szCs w:val="32"/>
          <w:lang w:eastAsia="zh-CN"/>
        </w:rPr>
      </w:pPr>
      <w:r>
        <w:rPr>
          <w:rFonts w:eastAsia="方正仿宋_GBK"/>
          <w:sz w:val="32"/>
          <w:szCs w:val="32"/>
        </w:rPr>
        <w:t>九、有关要求</w:t>
      </w:r>
      <w:r>
        <w:rPr>
          <w:rFonts w:hint="eastAsia" w:eastAsia="方正仿宋_GBK"/>
          <w:sz w:val="32"/>
          <w:szCs w:val="32"/>
          <w:lang w:eastAsia="zh-CN"/>
        </w:rPr>
        <w:t>：</w:t>
      </w:r>
    </w:p>
    <w:p w14:paraId="47EDCAE5">
      <w:pPr>
        <w:spacing w:line="575" w:lineRule="exact"/>
        <w:ind w:firstLine="640" w:firstLineChars="200"/>
        <w:rPr>
          <w:rFonts w:eastAsia="方正仿宋_GBK"/>
          <w:sz w:val="32"/>
          <w:szCs w:val="32"/>
        </w:rPr>
      </w:pPr>
      <w:r>
        <w:rPr>
          <w:rFonts w:eastAsia="方正仿宋_GBK"/>
          <w:sz w:val="32"/>
          <w:szCs w:val="32"/>
        </w:rPr>
        <w:t>（</w:t>
      </w:r>
      <w:r>
        <w:rPr>
          <w:rFonts w:hint="eastAsia" w:eastAsia="方正仿宋_GBK"/>
          <w:sz w:val="32"/>
          <w:szCs w:val="32"/>
        </w:rPr>
        <w:t>一</w:t>
      </w:r>
      <w:r>
        <w:rPr>
          <w:rFonts w:eastAsia="方正仿宋_GBK"/>
          <w:sz w:val="32"/>
          <w:szCs w:val="32"/>
        </w:rPr>
        <w:t>）根据《关于印发村庄建设项目简易审批方案的通知》（黔江发改委发〔2022〕64号文）要求，本项目适用村庄建设项目简易审批程序。本批复中明确的项目投资估算为项目控制性投资，不再审批项目投资概算。</w:t>
      </w:r>
    </w:p>
    <w:p w14:paraId="5BC4D52D">
      <w:pPr>
        <w:spacing w:line="575" w:lineRule="exact"/>
        <w:ind w:firstLine="640" w:firstLineChars="200"/>
        <w:rPr>
          <w:rFonts w:eastAsia="方正仿宋_GBK"/>
          <w:sz w:val="32"/>
          <w:szCs w:val="32"/>
        </w:rPr>
      </w:pPr>
      <w:r>
        <w:rPr>
          <w:rFonts w:eastAsia="方正仿宋_GBK"/>
          <w:sz w:val="32"/>
          <w:szCs w:val="32"/>
        </w:rPr>
        <w:t>（</w:t>
      </w:r>
      <w:r>
        <w:rPr>
          <w:rFonts w:hint="eastAsia" w:eastAsia="方正仿宋_GBK"/>
          <w:sz w:val="32"/>
          <w:szCs w:val="32"/>
        </w:rPr>
        <w:t>二</w:t>
      </w:r>
      <w:r>
        <w:rPr>
          <w:rFonts w:eastAsia="方正仿宋_GBK"/>
          <w:sz w:val="32"/>
          <w:szCs w:val="32"/>
        </w:rPr>
        <w:t>）切实加强以工代赈项目实施过程监管，严格执行以工代赈项目劳务用工和报酬发放有关规定，本项目实施过程中要最大限度吸纳当地返乡农民工、家庭经济困难高校毕业生、退伍军人、脱贫人口、防止返贫监测对象和其他农村低收入家庭的劳动力参与工程建设，项目累计用工人数不得少于</w:t>
      </w:r>
      <w:r>
        <w:rPr>
          <w:rFonts w:hint="eastAsia" w:eastAsia="方正仿宋_GBK"/>
          <w:sz w:val="32"/>
          <w:szCs w:val="32"/>
          <w:lang w:val="en-US" w:eastAsia="zh-CN"/>
        </w:rPr>
        <w:t>157</w:t>
      </w:r>
      <w:r>
        <w:rPr>
          <w:rFonts w:eastAsia="方正仿宋_GBK"/>
          <w:sz w:val="32"/>
          <w:szCs w:val="32"/>
        </w:rPr>
        <w:t>人，发放劳务报酬金额不得低于</w:t>
      </w:r>
      <w:r>
        <w:rPr>
          <w:rFonts w:hint="eastAsia" w:eastAsia="方正仿宋_GBK"/>
          <w:sz w:val="32"/>
          <w:szCs w:val="32"/>
          <w:lang w:val="en-US" w:eastAsia="zh-CN"/>
        </w:rPr>
        <w:t>199</w:t>
      </w:r>
      <w:r>
        <w:rPr>
          <w:rFonts w:eastAsia="方正仿宋_GBK"/>
          <w:sz w:val="32"/>
          <w:szCs w:val="32"/>
        </w:rPr>
        <w:t>万元。</w:t>
      </w:r>
    </w:p>
    <w:p w14:paraId="28CBF587">
      <w:pPr>
        <w:spacing w:line="575" w:lineRule="exact"/>
        <w:ind w:firstLine="640" w:firstLineChars="200"/>
        <w:rPr>
          <w:rFonts w:eastAsia="方正仿宋_GBK"/>
          <w:sz w:val="32"/>
          <w:szCs w:val="32"/>
        </w:rPr>
      </w:pPr>
      <w:r>
        <w:rPr>
          <w:rFonts w:eastAsia="方正仿宋_GBK"/>
          <w:sz w:val="32"/>
          <w:szCs w:val="32"/>
        </w:rPr>
        <w:t>（</w:t>
      </w:r>
      <w:r>
        <w:rPr>
          <w:rFonts w:hint="eastAsia" w:eastAsia="方正仿宋_GBK"/>
          <w:sz w:val="32"/>
          <w:szCs w:val="32"/>
        </w:rPr>
        <w:t>三</w:t>
      </w:r>
      <w:r>
        <w:rPr>
          <w:rFonts w:eastAsia="方正仿宋_GBK"/>
          <w:sz w:val="32"/>
          <w:szCs w:val="32"/>
        </w:rPr>
        <w:t>）进一步优化项目施工设计，认真落实安全生产责任制,强化项目资金管理，切实控制投资，严控工程质量，加快推进项目实施，确保早日建成投用。</w:t>
      </w:r>
    </w:p>
    <w:p w14:paraId="47E3B40C">
      <w:pPr>
        <w:spacing w:line="575" w:lineRule="exact"/>
        <w:ind w:left="1598" w:leftChars="304" w:hanging="960" w:hangingChars="300"/>
        <w:rPr>
          <w:rFonts w:eastAsia="方正仿宋_GBK"/>
          <w:sz w:val="32"/>
          <w:szCs w:val="32"/>
        </w:rPr>
      </w:pPr>
    </w:p>
    <w:p w14:paraId="6B780335">
      <w:pPr>
        <w:spacing w:line="575" w:lineRule="exact"/>
        <w:ind w:left="1598" w:leftChars="304" w:hanging="960" w:hangingChars="300"/>
        <w:rPr>
          <w:rFonts w:eastAsia="方正仿宋_GBK"/>
          <w:sz w:val="32"/>
          <w:szCs w:val="32"/>
        </w:rPr>
      </w:pPr>
      <w:r>
        <w:rPr>
          <w:rFonts w:eastAsia="方正仿宋_GBK"/>
          <w:sz w:val="32"/>
          <w:szCs w:val="32"/>
        </w:rPr>
        <w:t>附件：</w:t>
      </w:r>
      <w:r>
        <w:rPr>
          <w:rFonts w:hint="eastAsia" w:eastAsia="方正仿宋_GBK"/>
          <w:sz w:val="32"/>
          <w:szCs w:val="32"/>
        </w:rPr>
        <w:t>黔江区金洞乡2026年特色旅居村配套基础设施建设以工代赈项目</w:t>
      </w:r>
      <w:r>
        <w:rPr>
          <w:rFonts w:eastAsia="方正仿宋_GBK"/>
          <w:sz w:val="32"/>
          <w:szCs w:val="32"/>
        </w:rPr>
        <w:t>投资估算表</w:t>
      </w:r>
    </w:p>
    <w:p w14:paraId="17165A29">
      <w:pPr>
        <w:spacing w:line="600" w:lineRule="exact"/>
        <w:ind w:firstLine="640" w:firstLineChars="200"/>
        <w:rPr>
          <w:rFonts w:eastAsia="方正仿宋_GBK"/>
          <w:sz w:val="32"/>
          <w:szCs w:val="32"/>
        </w:rPr>
      </w:pPr>
    </w:p>
    <w:p w14:paraId="280746E8">
      <w:pPr>
        <w:spacing w:line="575" w:lineRule="exact"/>
        <w:rPr>
          <w:rFonts w:eastAsia="方正仿宋_GBK"/>
          <w:sz w:val="32"/>
          <w:szCs w:val="32"/>
        </w:rPr>
      </w:pPr>
      <w:r>
        <w:rPr>
          <w:rFonts w:eastAsia="方正仿宋_GBK"/>
          <w:sz w:val="32"/>
          <w:szCs w:val="32"/>
        </w:rPr>
        <w:t xml:space="preserve">            </w:t>
      </w:r>
    </w:p>
    <w:p w14:paraId="47CEAF1F">
      <w:pPr>
        <w:spacing w:line="575" w:lineRule="exact"/>
        <w:ind w:firstLine="3520" w:firstLineChars="1100"/>
        <w:rPr>
          <w:rFonts w:eastAsia="方正仿宋_GBK"/>
          <w:sz w:val="32"/>
          <w:szCs w:val="32"/>
        </w:rPr>
      </w:pPr>
      <w:r>
        <w:rPr>
          <w:rFonts w:eastAsia="方正仿宋_GBK"/>
          <w:sz w:val="32"/>
          <w:szCs w:val="32"/>
        </w:rPr>
        <w:t>重庆市黔江区发展和改革委员会</w:t>
      </w:r>
    </w:p>
    <w:p w14:paraId="18FD34F3">
      <w:pPr>
        <w:spacing w:line="575" w:lineRule="exact"/>
        <w:rPr>
          <w:rFonts w:eastAsia="方正仿宋_GBK"/>
          <w:sz w:val="28"/>
          <w:szCs w:val="28"/>
        </w:rPr>
      </w:pPr>
      <w:r>
        <w:rPr>
          <w:rFonts w:eastAsia="方正仿宋_GBK"/>
          <w:sz w:val="32"/>
          <w:szCs w:val="32"/>
        </w:rPr>
        <w:t xml:space="preserve">                  </w:t>
      </w:r>
      <w:r>
        <w:rPr>
          <w:rFonts w:hint="eastAsia" w:eastAsia="方正仿宋_GBK"/>
          <w:sz w:val="32"/>
          <w:szCs w:val="32"/>
        </w:rPr>
        <w:t xml:space="preserve">        </w:t>
      </w:r>
      <w:r>
        <w:rPr>
          <w:rFonts w:eastAsia="方正仿宋_GBK"/>
          <w:sz w:val="32"/>
          <w:szCs w:val="32"/>
        </w:rPr>
        <w:t xml:space="preserve"> </w:t>
      </w:r>
      <w:r>
        <w:rPr>
          <w:rFonts w:hint="default" w:ascii="Times New Roman" w:hAnsi="Times New Roman" w:eastAsia="方正仿宋_GBK" w:cs="Times New Roman"/>
          <w:sz w:val="32"/>
          <w:szCs w:val="32"/>
        </w:rPr>
        <w:t xml:space="preserve"> 202</w:t>
      </w:r>
      <w:r>
        <w:rPr>
          <w:rFonts w:hint="default" w:ascii="Times New Roman" w:hAnsi="Times New Roman" w:eastAsia="方正仿宋_GBK" w:cs="Times New Roman"/>
          <w:sz w:val="32"/>
          <w:szCs w:val="32"/>
          <w:lang w:val="en-US" w:eastAsia="zh-CN"/>
        </w:rPr>
        <w:t>6</w:t>
      </w:r>
      <w:r>
        <w:rPr>
          <w:rFonts w:hint="default" w:ascii="Times New Roman" w:hAnsi="Times New Roman" w:eastAsia="方正仿宋_GBK" w:cs="Times New Roman"/>
          <w:sz w:val="32"/>
          <w:szCs w:val="32"/>
        </w:rPr>
        <w:t>年</w:t>
      </w:r>
      <w:r>
        <w:rPr>
          <w:rFonts w:hint="default" w:ascii="Times New Roman" w:hAnsi="Times New Roman" w:eastAsia="方正仿宋_GBK" w:cs="Times New Roman"/>
          <w:sz w:val="32"/>
          <w:szCs w:val="32"/>
          <w:lang w:val="en-US" w:eastAsia="zh-CN"/>
        </w:rPr>
        <w:t>1</w:t>
      </w:r>
      <w:r>
        <w:rPr>
          <w:rFonts w:hint="default" w:ascii="Times New Roman" w:hAnsi="Times New Roman" w:eastAsia="方正仿宋_GBK" w:cs="Times New Roman"/>
          <w:sz w:val="32"/>
          <w:szCs w:val="32"/>
        </w:rPr>
        <w:t>月</w:t>
      </w:r>
      <w:r>
        <w:rPr>
          <w:rFonts w:hint="eastAsia" w:ascii="Times New Roman" w:hAnsi="Times New Roman" w:eastAsia="方正仿宋_GBK" w:cs="Times New Roman"/>
          <w:sz w:val="32"/>
          <w:szCs w:val="32"/>
          <w:lang w:val="en-US" w:eastAsia="zh-CN"/>
        </w:rPr>
        <w:t>23</w:t>
      </w:r>
      <w:r>
        <w:rPr>
          <w:rFonts w:hint="default" w:ascii="Times New Roman" w:hAnsi="Times New Roman" w:eastAsia="方正仿宋_GBK" w:cs="Times New Roman"/>
          <w:sz w:val="32"/>
          <w:szCs w:val="32"/>
        </w:rPr>
        <w:t>日</w:t>
      </w:r>
    </w:p>
    <w:p w14:paraId="4E5881CE">
      <w:pPr>
        <w:pStyle w:val="5"/>
        <w:spacing w:line="500" w:lineRule="exact"/>
        <w:rPr>
          <w:rFonts w:ascii="Times New Roman" w:hAnsi="Times New Roman" w:eastAsia="方正仿宋_GBK"/>
          <w:sz w:val="28"/>
          <w:szCs w:val="28"/>
        </w:rPr>
      </w:pPr>
    </w:p>
    <w:p w14:paraId="42D0B03F">
      <w:pPr>
        <w:pStyle w:val="5"/>
        <w:spacing w:line="500" w:lineRule="exact"/>
        <w:rPr>
          <w:rFonts w:ascii="Times New Roman" w:hAnsi="Times New Roman" w:eastAsia="方正仿宋_GBK"/>
          <w:sz w:val="28"/>
          <w:szCs w:val="28"/>
        </w:rPr>
      </w:pPr>
    </w:p>
    <w:p w14:paraId="0E5F47B4">
      <w:pPr>
        <w:pStyle w:val="5"/>
        <w:spacing w:line="500" w:lineRule="exact"/>
        <w:rPr>
          <w:rFonts w:ascii="Times New Roman" w:hAnsi="Times New Roman" w:eastAsia="方正仿宋_GBK"/>
          <w:sz w:val="28"/>
          <w:szCs w:val="28"/>
        </w:rPr>
      </w:pPr>
    </w:p>
    <w:p w14:paraId="0C2D3579">
      <w:pPr>
        <w:pStyle w:val="5"/>
        <w:spacing w:line="500" w:lineRule="exact"/>
        <w:rPr>
          <w:rFonts w:ascii="Times New Roman" w:hAnsi="Times New Roman" w:eastAsia="方正仿宋_GBK"/>
          <w:sz w:val="28"/>
          <w:szCs w:val="28"/>
        </w:rPr>
      </w:pPr>
    </w:p>
    <w:p w14:paraId="51AA8B04">
      <w:pPr>
        <w:pStyle w:val="5"/>
        <w:spacing w:line="500" w:lineRule="exact"/>
        <w:rPr>
          <w:rFonts w:ascii="Times New Roman" w:hAnsi="Times New Roman" w:eastAsia="方正仿宋_GBK"/>
          <w:sz w:val="28"/>
          <w:szCs w:val="28"/>
        </w:rPr>
      </w:pPr>
    </w:p>
    <w:p w14:paraId="346A16F7">
      <w:pPr>
        <w:pStyle w:val="5"/>
        <w:spacing w:line="500" w:lineRule="exact"/>
        <w:rPr>
          <w:rFonts w:ascii="Times New Roman" w:hAnsi="Times New Roman" w:eastAsia="方正仿宋_GBK"/>
          <w:sz w:val="28"/>
          <w:szCs w:val="28"/>
        </w:rPr>
      </w:pPr>
    </w:p>
    <w:p w14:paraId="7643A102">
      <w:pPr>
        <w:pStyle w:val="5"/>
        <w:spacing w:line="500" w:lineRule="exact"/>
        <w:rPr>
          <w:rFonts w:ascii="Times New Roman" w:hAnsi="Times New Roman" w:eastAsia="方正仿宋_GBK"/>
          <w:sz w:val="28"/>
          <w:szCs w:val="28"/>
        </w:rPr>
      </w:pPr>
    </w:p>
    <w:p w14:paraId="54749429">
      <w:pPr>
        <w:pStyle w:val="5"/>
        <w:spacing w:line="500" w:lineRule="exact"/>
        <w:rPr>
          <w:rFonts w:ascii="Times New Roman" w:hAnsi="Times New Roman" w:eastAsia="方正仿宋_GBK"/>
          <w:sz w:val="28"/>
          <w:szCs w:val="28"/>
        </w:rPr>
      </w:pPr>
    </w:p>
    <w:p w14:paraId="04DB0061">
      <w:pPr>
        <w:spacing w:line="575" w:lineRule="exact"/>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附件</w:t>
      </w:r>
    </w:p>
    <w:p w14:paraId="5CCBDAFB">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方正黑体_GBK" w:hAnsi="方正黑体_GBK" w:eastAsia="方正黑体_GBK" w:cs="方正黑体_GBK"/>
          <w:sz w:val="32"/>
          <w:szCs w:val="32"/>
        </w:rPr>
      </w:pPr>
    </w:p>
    <w:p w14:paraId="435C9951">
      <w:pPr>
        <w:spacing w:line="575" w:lineRule="exact"/>
        <w:jc w:val="center"/>
        <w:rPr>
          <w:rFonts w:hint="eastAsia" w:ascii="方正小标宋_GBK" w:hAnsi="方正小标宋_GBK" w:eastAsia="方正小标宋_GBK" w:cs="方正小标宋_GBK"/>
          <w:sz w:val="36"/>
          <w:szCs w:val="36"/>
        </w:rPr>
      </w:pPr>
      <w:r>
        <w:rPr>
          <w:rFonts w:hint="eastAsia" w:ascii="方正小标宋_GBK" w:hAnsi="方正小标宋_GBK" w:eastAsia="方正小标宋_GBK" w:cs="方正小标宋_GBK"/>
          <w:sz w:val="36"/>
          <w:szCs w:val="36"/>
        </w:rPr>
        <w:t>黔江区金洞乡2026年特色旅居村配套基础设施建设</w:t>
      </w:r>
    </w:p>
    <w:p w14:paraId="0A0B0A7C">
      <w:pPr>
        <w:spacing w:line="575" w:lineRule="exact"/>
        <w:jc w:val="center"/>
        <w:rPr>
          <w:rFonts w:hint="eastAsia" w:ascii="方正小标宋_GBK" w:hAnsi="方正小标宋_GBK" w:eastAsia="方正小标宋_GBK" w:cs="方正小标宋_GBK"/>
          <w:sz w:val="36"/>
          <w:szCs w:val="36"/>
        </w:rPr>
      </w:pPr>
      <w:r>
        <w:rPr>
          <w:rFonts w:hint="eastAsia" w:ascii="方正小标宋_GBK" w:hAnsi="方正小标宋_GBK" w:eastAsia="方正小标宋_GBK" w:cs="方正小标宋_GBK"/>
          <w:sz w:val="36"/>
          <w:szCs w:val="36"/>
        </w:rPr>
        <w:t>以工代赈项目投资估算表</w:t>
      </w:r>
    </w:p>
    <w:p w14:paraId="6531A619">
      <w:pPr>
        <w:pStyle w:val="5"/>
        <w:spacing w:line="500" w:lineRule="exact"/>
        <w:rPr>
          <w:rFonts w:ascii="Times New Roman" w:hAnsi="Times New Roman" w:eastAsia="方正仿宋_GBK"/>
          <w:sz w:val="28"/>
          <w:szCs w:val="28"/>
        </w:rPr>
      </w:pPr>
    </w:p>
    <w:tbl>
      <w:tblPr>
        <w:tblStyle w:val="10"/>
        <w:tblW w:w="8850" w:type="dxa"/>
        <w:tblInd w:w="91"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810"/>
        <w:gridCol w:w="4515"/>
        <w:gridCol w:w="1995"/>
        <w:gridCol w:w="1530"/>
      </w:tblGrid>
      <w:tr w14:paraId="09B677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810" w:type="dxa"/>
            <w:tcBorders>
              <w:top w:val="single" w:color="000000" w:sz="4" w:space="0"/>
              <w:left w:val="single" w:color="000000" w:sz="4" w:space="0"/>
              <w:bottom w:val="single" w:color="000000" w:sz="4" w:space="0"/>
              <w:right w:val="single" w:color="000000" w:sz="4" w:space="0"/>
            </w:tcBorders>
            <w:noWrap w:val="0"/>
            <w:vAlign w:val="center"/>
          </w:tcPr>
          <w:p w14:paraId="5F2391BE">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方正黑体_GBK" w:cs="Times New Roman"/>
                <w:i w:val="0"/>
                <w:iCs w:val="0"/>
                <w:color w:val="000000"/>
                <w:sz w:val="28"/>
                <w:szCs w:val="28"/>
                <w:u w:val="none"/>
              </w:rPr>
            </w:pPr>
            <w:r>
              <w:rPr>
                <w:rFonts w:hint="default" w:ascii="Times New Roman" w:hAnsi="Times New Roman" w:eastAsia="方正黑体_GBK" w:cs="Times New Roman"/>
                <w:i w:val="0"/>
                <w:iCs w:val="0"/>
                <w:color w:val="000000"/>
                <w:kern w:val="0"/>
                <w:sz w:val="28"/>
                <w:szCs w:val="28"/>
                <w:u w:val="none"/>
                <w:lang w:val="en-US" w:eastAsia="zh-CN" w:bidi="ar"/>
              </w:rPr>
              <w:t>序号</w:t>
            </w:r>
          </w:p>
        </w:tc>
        <w:tc>
          <w:tcPr>
            <w:tcW w:w="4515" w:type="dxa"/>
            <w:tcBorders>
              <w:top w:val="single" w:color="000000" w:sz="4" w:space="0"/>
              <w:left w:val="single" w:color="000000" w:sz="4" w:space="0"/>
              <w:bottom w:val="single" w:color="000000" w:sz="4" w:space="0"/>
              <w:right w:val="single" w:color="000000" w:sz="4" w:space="0"/>
            </w:tcBorders>
            <w:noWrap w:val="0"/>
            <w:vAlign w:val="center"/>
          </w:tcPr>
          <w:p w14:paraId="3C0F89E2">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方正黑体_GBK" w:cs="Times New Roman"/>
                <w:i w:val="0"/>
                <w:iCs w:val="0"/>
                <w:color w:val="000000"/>
                <w:sz w:val="28"/>
                <w:szCs w:val="28"/>
                <w:u w:val="none"/>
              </w:rPr>
            </w:pPr>
            <w:r>
              <w:rPr>
                <w:rFonts w:hint="default" w:ascii="Times New Roman" w:hAnsi="Times New Roman" w:eastAsia="方正黑体_GBK" w:cs="Times New Roman"/>
                <w:i w:val="0"/>
                <w:iCs w:val="0"/>
                <w:color w:val="000000"/>
                <w:kern w:val="0"/>
                <w:sz w:val="28"/>
                <w:szCs w:val="28"/>
                <w:u w:val="none"/>
                <w:lang w:val="en-US" w:eastAsia="zh-CN" w:bidi="ar"/>
              </w:rPr>
              <w:t>工程或费用名称</w:t>
            </w:r>
          </w:p>
        </w:tc>
        <w:tc>
          <w:tcPr>
            <w:tcW w:w="1995" w:type="dxa"/>
            <w:tcBorders>
              <w:top w:val="single" w:color="000000" w:sz="4" w:space="0"/>
              <w:left w:val="single" w:color="000000" w:sz="4" w:space="0"/>
              <w:bottom w:val="single" w:color="000000" w:sz="4" w:space="0"/>
              <w:right w:val="single" w:color="000000" w:sz="4" w:space="0"/>
            </w:tcBorders>
            <w:noWrap w:val="0"/>
            <w:vAlign w:val="center"/>
          </w:tcPr>
          <w:p w14:paraId="0BD28F95">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rPr>
                <w:rFonts w:hint="default" w:ascii="Times New Roman" w:hAnsi="Times New Roman" w:eastAsia="方正黑体_GBK" w:cs="Times New Roman"/>
                <w:i w:val="0"/>
                <w:iCs w:val="0"/>
                <w:color w:val="000000"/>
                <w:sz w:val="28"/>
                <w:szCs w:val="28"/>
                <w:u w:val="none"/>
              </w:rPr>
            </w:pPr>
            <w:r>
              <w:rPr>
                <w:rFonts w:hint="default" w:ascii="Times New Roman" w:hAnsi="Times New Roman" w:eastAsia="方正黑体_GBK" w:cs="Times New Roman"/>
                <w:i w:val="0"/>
                <w:iCs w:val="0"/>
                <w:color w:val="000000"/>
                <w:kern w:val="0"/>
                <w:sz w:val="28"/>
                <w:szCs w:val="28"/>
                <w:u w:val="none"/>
                <w:lang w:val="en-US" w:eastAsia="zh-CN" w:bidi="ar"/>
              </w:rPr>
              <w:t>金额（万元）</w:t>
            </w:r>
          </w:p>
        </w:tc>
        <w:tc>
          <w:tcPr>
            <w:tcW w:w="1530" w:type="dxa"/>
            <w:tcBorders>
              <w:top w:val="single" w:color="000000" w:sz="4" w:space="0"/>
              <w:left w:val="single" w:color="000000" w:sz="4" w:space="0"/>
              <w:bottom w:val="single" w:color="000000" w:sz="4" w:space="0"/>
              <w:right w:val="single" w:color="000000" w:sz="4" w:space="0"/>
            </w:tcBorders>
            <w:noWrap w:val="0"/>
            <w:vAlign w:val="center"/>
          </w:tcPr>
          <w:p w14:paraId="3C68C4CC">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方正黑体_GBK" w:cs="Times New Roman"/>
                <w:i w:val="0"/>
                <w:iCs w:val="0"/>
                <w:color w:val="000000"/>
                <w:sz w:val="28"/>
                <w:szCs w:val="28"/>
                <w:u w:val="none"/>
              </w:rPr>
            </w:pPr>
            <w:r>
              <w:rPr>
                <w:rFonts w:hint="default" w:ascii="Times New Roman" w:hAnsi="Times New Roman" w:eastAsia="方正黑体_GBK" w:cs="Times New Roman"/>
                <w:i w:val="0"/>
                <w:iCs w:val="0"/>
                <w:color w:val="000000"/>
                <w:kern w:val="0"/>
                <w:sz w:val="28"/>
                <w:szCs w:val="28"/>
                <w:u w:val="none"/>
                <w:lang w:val="en-US" w:eastAsia="zh-CN" w:bidi="ar"/>
              </w:rPr>
              <w:t>备注</w:t>
            </w:r>
          </w:p>
        </w:tc>
      </w:tr>
      <w:tr w14:paraId="0288DF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7" w:hRule="exact"/>
        </w:trPr>
        <w:tc>
          <w:tcPr>
            <w:tcW w:w="810" w:type="dxa"/>
            <w:tcBorders>
              <w:top w:val="single" w:color="000000" w:sz="4" w:space="0"/>
              <w:left w:val="single" w:color="000000" w:sz="4" w:space="0"/>
              <w:bottom w:val="single" w:color="000000" w:sz="4" w:space="0"/>
              <w:right w:val="single" w:color="000000" w:sz="4" w:space="0"/>
            </w:tcBorders>
            <w:noWrap w:val="0"/>
            <w:vAlign w:val="center"/>
          </w:tcPr>
          <w:p w14:paraId="17FF6C44">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方正楷体_GBK" w:cs="Times New Roman"/>
                <w:b/>
                <w:bCs/>
                <w:i w:val="0"/>
                <w:iCs w:val="0"/>
                <w:color w:val="000000"/>
                <w:sz w:val="24"/>
                <w:szCs w:val="24"/>
                <w:u w:val="none"/>
              </w:rPr>
            </w:pPr>
            <w:r>
              <w:rPr>
                <w:rFonts w:hint="default" w:ascii="Times New Roman" w:hAnsi="Times New Roman" w:eastAsia="方正楷体_GBK" w:cs="Times New Roman"/>
                <w:b/>
                <w:bCs/>
                <w:i w:val="0"/>
                <w:iCs w:val="0"/>
                <w:color w:val="000000"/>
                <w:kern w:val="0"/>
                <w:sz w:val="24"/>
                <w:szCs w:val="24"/>
                <w:u w:val="none"/>
                <w:lang w:val="en-US" w:eastAsia="zh-CN" w:bidi="ar"/>
              </w:rPr>
              <w:t>一</w:t>
            </w:r>
          </w:p>
        </w:tc>
        <w:tc>
          <w:tcPr>
            <w:tcW w:w="4515" w:type="dxa"/>
            <w:tcBorders>
              <w:top w:val="single" w:color="000000" w:sz="4" w:space="0"/>
              <w:left w:val="single" w:color="000000" w:sz="4" w:space="0"/>
              <w:bottom w:val="single" w:color="000000" w:sz="4" w:space="0"/>
              <w:right w:val="single" w:color="000000" w:sz="4" w:space="0"/>
            </w:tcBorders>
            <w:noWrap w:val="0"/>
            <w:vAlign w:val="center"/>
          </w:tcPr>
          <w:p w14:paraId="2BACA85A">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方正楷体_GBK" w:cs="Times New Roman"/>
                <w:b/>
                <w:bCs/>
                <w:i w:val="0"/>
                <w:iCs w:val="0"/>
                <w:color w:val="000000"/>
                <w:sz w:val="24"/>
                <w:szCs w:val="24"/>
                <w:u w:val="none"/>
              </w:rPr>
            </w:pPr>
            <w:r>
              <w:rPr>
                <w:rFonts w:hint="default" w:ascii="Times New Roman" w:hAnsi="Times New Roman" w:eastAsia="方正楷体_GBK" w:cs="Times New Roman"/>
                <w:b/>
                <w:bCs/>
                <w:i w:val="0"/>
                <w:iCs w:val="0"/>
                <w:color w:val="000000"/>
                <w:kern w:val="0"/>
                <w:sz w:val="24"/>
                <w:szCs w:val="24"/>
                <w:u w:val="none"/>
                <w:lang w:val="en-US" w:eastAsia="zh-CN" w:bidi="ar"/>
              </w:rPr>
              <w:t>工程费用</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6C85371">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方正仿宋_GBK" w:cs="Times New Roman"/>
                <w:b/>
                <w:bCs/>
                <w:i w:val="0"/>
                <w:iCs w:val="0"/>
                <w:color w:val="000000"/>
                <w:sz w:val="24"/>
                <w:szCs w:val="24"/>
                <w:u w:val="none"/>
              </w:rPr>
            </w:pPr>
            <w:r>
              <w:rPr>
                <w:rFonts w:hint="default" w:ascii="Times New Roman" w:hAnsi="Times New Roman" w:eastAsia="方正仿宋_GBK" w:cs="Times New Roman"/>
                <w:b/>
                <w:bCs/>
                <w:i w:val="0"/>
                <w:iCs w:val="0"/>
                <w:color w:val="000000"/>
                <w:kern w:val="0"/>
                <w:sz w:val="24"/>
                <w:szCs w:val="24"/>
                <w:u w:val="none"/>
                <w:lang w:val="en-US" w:eastAsia="zh-CN" w:bidi="ar"/>
              </w:rPr>
              <w:t xml:space="preserve">436.95 </w:t>
            </w:r>
          </w:p>
        </w:tc>
        <w:tc>
          <w:tcPr>
            <w:tcW w:w="1530" w:type="dxa"/>
            <w:vMerge w:val="restart"/>
            <w:tcBorders>
              <w:top w:val="single" w:color="000000" w:sz="4" w:space="0"/>
              <w:left w:val="single" w:color="000000" w:sz="4" w:space="0"/>
              <w:bottom w:val="single" w:color="000000" w:sz="4" w:space="0"/>
              <w:right w:val="single" w:color="000000" w:sz="4" w:space="0"/>
            </w:tcBorders>
            <w:noWrap w:val="0"/>
            <w:vAlign w:val="center"/>
          </w:tcPr>
          <w:p w14:paraId="2F5F527C">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 xml:space="preserve">  </w:t>
            </w:r>
            <w:r>
              <w:rPr>
                <w:rFonts w:hint="default" w:ascii="Times New Roman" w:hAnsi="Times New Roman" w:eastAsia="方正仿宋_GBK" w:cs="Times New Roman"/>
                <w:i w:val="0"/>
                <w:iCs w:val="0"/>
                <w:color w:val="000000"/>
                <w:kern w:val="0"/>
                <w:sz w:val="24"/>
                <w:szCs w:val="24"/>
                <w:u w:val="none"/>
                <w:lang w:val="en-US" w:eastAsia="zh-CN" w:bidi="ar"/>
              </w:rPr>
              <w:t>项目实施过程中最大限度吸纳当地返乡农民工、家庭经济困难高校毕业生、退伍军人、脱贫人口、防止返贫监测对象和其他农村低收入家庭劳动力参与工程建设，项目累计用工人数不得少于</w:t>
            </w:r>
            <w:r>
              <w:rPr>
                <w:rFonts w:hint="default" w:ascii="Times New Roman" w:hAnsi="Times New Roman" w:eastAsia="宋体" w:cs="Times New Roman"/>
                <w:i w:val="0"/>
                <w:iCs w:val="0"/>
                <w:color w:val="000000"/>
                <w:kern w:val="0"/>
                <w:sz w:val="24"/>
                <w:szCs w:val="24"/>
                <w:u w:val="none"/>
                <w:lang w:val="en-US" w:eastAsia="zh-CN" w:bidi="ar"/>
              </w:rPr>
              <w:t>157</w:t>
            </w:r>
            <w:r>
              <w:rPr>
                <w:rFonts w:hint="default" w:ascii="Times New Roman" w:hAnsi="Times New Roman" w:eastAsia="方正仿宋_GBK" w:cs="Times New Roman"/>
                <w:i w:val="0"/>
                <w:iCs w:val="0"/>
                <w:color w:val="000000"/>
                <w:kern w:val="0"/>
                <w:sz w:val="24"/>
                <w:szCs w:val="24"/>
                <w:u w:val="none"/>
                <w:lang w:val="en-US" w:eastAsia="zh-CN" w:bidi="ar"/>
              </w:rPr>
              <w:t>人，发放劳务报酬金额不得低于</w:t>
            </w:r>
            <w:r>
              <w:rPr>
                <w:rFonts w:hint="default" w:ascii="Times New Roman" w:hAnsi="Times New Roman" w:eastAsia="宋体" w:cs="Times New Roman"/>
                <w:i w:val="0"/>
                <w:iCs w:val="0"/>
                <w:color w:val="000000"/>
                <w:kern w:val="0"/>
                <w:sz w:val="24"/>
                <w:szCs w:val="24"/>
                <w:u w:val="none"/>
                <w:lang w:val="en-US" w:eastAsia="zh-CN" w:bidi="ar"/>
              </w:rPr>
              <w:t>199</w:t>
            </w:r>
            <w:r>
              <w:rPr>
                <w:rFonts w:hint="default" w:ascii="Times New Roman" w:hAnsi="Times New Roman" w:eastAsia="方正仿宋_GBK" w:cs="Times New Roman"/>
                <w:i w:val="0"/>
                <w:iCs w:val="0"/>
                <w:color w:val="000000"/>
                <w:kern w:val="0"/>
                <w:sz w:val="24"/>
                <w:szCs w:val="24"/>
                <w:u w:val="none"/>
                <w:lang w:val="en-US" w:eastAsia="zh-CN" w:bidi="ar"/>
              </w:rPr>
              <w:t>万元</w:t>
            </w:r>
          </w:p>
        </w:tc>
      </w:tr>
      <w:tr w14:paraId="4C2B7C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7" w:hRule="exact"/>
        </w:trPr>
        <w:tc>
          <w:tcPr>
            <w:tcW w:w="81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0209381">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方正楷体_GBK" w:cs="Times New Roman"/>
                <w:i w:val="0"/>
                <w:iCs w:val="0"/>
                <w:color w:val="000000"/>
                <w:sz w:val="24"/>
                <w:szCs w:val="24"/>
                <w:u w:val="none"/>
              </w:rPr>
            </w:pPr>
            <w:r>
              <w:rPr>
                <w:rFonts w:hint="default" w:ascii="Times New Roman" w:hAnsi="Times New Roman" w:eastAsia="方正楷体_GBK" w:cs="Times New Roman"/>
                <w:i w:val="0"/>
                <w:iCs w:val="0"/>
                <w:color w:val="000000"/>
                <w:kern w:val="0"/>
                <w:sz w:val="24"/>
                <w:szCs w:val="24"/>
                <w:u w:val="none"/>
                <w:lang w:val="en-US" w:eastAsia="zh-CN" w:bidi="ar"/>
              </w:rPr>
              <w:t>1</w:t>
            </w:r>
          </w:p>
        </w:tc>
        <w:tc>
          <w:tcPr>
            <w:tcW w:w="451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3C2875B4">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金洞乡2026年特色旅居配套基础设施建设以工代赈项目</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D49179B">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 xml:space="preserve">436.95 </w:t>
            </w:r>
          </w:p>
        </w:tc>
        <w:tc>
          <w:tcPr>
            <w:tcW w:w="1530" w:type="dxa"/>
            <w:vMerge w:val="continue"/>
            <w:tcBorders>
              <w:top w:val="single" w:color="000000" w:sz="4" w:space="0"/>
              <w:left w:val="single" w:color="000000" w:sz="4" w:space="0"/>
              <w:bottom w:val="single" w:color="000000" w:sz="4" w:space="0"/>
              <w:right w:val="single" w:color="000000" w:sz="4" w:space="0"/>
            </w:tcBorders>
            <w:noWrap w:val="0"/>
            <w:vAlign w:val="center"/>
          </w:tcPr>
          <w:p w14:paraId="0E84BE23">
            <w:pPr>
              <w:keepNext w:val="0"/>
              <w:keepLines w:val="0"/>
              <w:pageBreakBefore w:val="0"/>
              <w:widowControl/>
              <w:kinsoku/>
              <w:wordWrap/>
              <w:overflowPunct/>
              <w:topLinePunct w:val="0"/>
              <w:autoSpaceDE/>
              <w:autoSpaceDN/>
              <w:bidi w:val="0"/>
              <w:adjustRightInd/>
              <w:snapToGrid/>
              <w:spacing w:line="340" w:lineRule="exact"/>
              <w:jc w:val="center"/>
              <w:rPr>
                <w:rFonts w:hint="default" w:ascii="Times New Roman" w:hAnsi="Times New Roman" w:eastAsia="宋体" w:cs="Times New Roman"/>
                <w:i w:val="0"/>
                <w:iCs w:val="0"/>
                <w:color w:val="000000"/>
                <w:sz w:val="24"/>
                <w:szCs w:val="24"/>
                <w:u w:val="none"/>
              </w:rPr>
            </w:pPr>
          </w:p>
        </w:tc>
      </w:tr>
      <w:tr w14:paraId="7C832F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7" w:hRule="exact"/>
        </w:trPr>
        <w:tc>
          <w:tcPr>
            <w:tcW w:w="810" w:type="dxa"/>
            <w:tcBorders>
              <w:top w:val="single" w:color="000000" w:sz="4" w:space="0"/>
              <w:left w:val="single" w:color="000000" w:sz="4" w:space="0"/>
              <w:bottom w:val="single" w:color="000000" w:sz="4" w:space="0"/>
              <w:right w:val="single" w:color="000000" w:sz="4" w:space="0"/>
            </w:tcBorders>
            <w:noWrap w:val="0"/>
            <w:vAlign w:val="center"/>
          </w:tcPr>
          <w:p w14:paraId="444F0C1D">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方正楷体_GBK" w:cs="Times New Roman"/>
                <w:b/>
                <w:bCs/>
                <w:i w:val="0"/>
                <w:iCs w:val="0"/>
                <w:color w:val="000000"/>
                <w:sz w:val="24"/>
                <w:szCs w:val="24"/>
                <w:u w:val="none"/>
              </w:rPr>
            </w:pPr>
            <w:r>
              <w:rPr>
                <w:rFonts w:hint="default" w:ascii="Times New Roman" w:hAnsi="Times New Roman" w:eastAsia="方正楷体_GBK" w:cs="Times New Roman"/>
                <w:b/>
                <w:bCs/>
                <w:i w:val="0"/>
                <w:iCs w:val="0"/>
                <w:color w:val="000000"/>
                <w:kern w:val="0"/>
                <w:sz w:val="24"/>
                <w:szCs w:val="24"/>
                <w:u w:val="none"/>
                <w:lang w:val="en-US" w:eastAsia="zh-CN" w:bidi="ar"/>
              </w:rPr>
              <w:t>二</w:t>
            </w:r>
          </w:p>
        </w:tc>
        <w:tc>
          <w:tcPr>
            <w:tcW w:w="4515" w:type="dxa"/>
            <w:tcBorders>
              <w:top w:val="single" w:color="000000" w:sz="4" w:space="0"/>
              <w:left w:val="single" w:color="000000" w:sz="4" w:space="0"/>
              <w:bottom w:val="single" w:color="000000" w:sz="4" w:space="0"/>
              <w:right w:val="single" w:color="000000" w:sz="4" w:space="0"/>
            </w:tcBorders>
            <w:noWrap w:val="0"/>
            <w:vAlign w:val="center"/>
          </w:tcPr>
          <w:p w14:paraId="5064571C">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方正楷体_GBK" w:cs="Times New Roman"/>
                <w:b/>
                <w:bCs/>
                <w:i w:val="0"/>
                <w:iCs w:val="0"/>
                <w:color w:val="000000"/>
                <w:sz w:val="24"/>
                <w:szCs w:val="24"/>
                <w:u w:val="none"/>
              </w:rPr>
            </w:pPr>
            <w:r>
              <w:rPr>
                <w:rFonts w:hint="default" w:ascii="Times New Roman" w:hAnsi="Times New Roman" w:eastAsia="方正楷体_GBK" w:cs="Times New Roman"/>
                <w:b/>
                <w:bCs/>
                <w:i w:val="0"/>
                <w:iCs w:val="0"/>
                <w:color w:val="000000"/>
                <w:kern w:val="0"/>
                <w:sz w:val="24"/>
                <w:szCs w:val="24"/>
                <w:u w:val="none"/>
                <w:lang w:val="en-US" w:eastAsia="zh-CN" w:bidi="ar"/>
              </w:rPr>
              <w:t>工程建设其他费</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2C30076">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方正仿宋_GBK" w:cs="Times New Roman"/>
                <w:b/>
                <w:bCs/>
                <w:i w:val="0"/>
                <w:iCs w:val="0"/>
                <w:color w:val="000000"/>
                <w:sz w:val="24"/>
                <w:szCs w:val="24"/>
                <w:u w:val="none"/>
                <w:lang w:val="en-US" w:eastAsia="zh-CN"/>
              </w:rPr>
            </w:pPr>
            <w:r>
              <w:rPr>
                <w:rFonts w:hint="eastAsia" w:ascii="Times New Roman" w:hAnsi="Times New Roman" w:eastAsia="方正仿宋_GBK" w:cs="Times New Roman"/>
                <w:b/>
                <w:bCs/>
                <w:i w:val="0"/>
                <w:iCs w:val="0"/>
                <w:color w:val="000000"/>
                <w:sz w:val="24"/>
                <w:szCs w:val="24"/>
                <w:u w:val="none"/>
                <w:lang w:val="en-US" w:eastAsia="zh-CN"/>
              </w:rPr>
              <w:t>29.05</w:t>
            </w:r>
          </w:p>
        </w:tc>
        <w:tc>
          <w:tcPr>
            <w:tcW w:w="1530" w:type="dxa"/>
            <w:vMerge w:val="continue"/>
            <w:tcBorders>
              <w:top w:val="single" w:color="000000" w:sz="4" w:space="0"/>
              <w:left w:val="single" w:color="000000" w:sz="4" w:space="0"/>
              <w:bottom w:val="single" w:color="000000" w:sz="4" w:space="0"/>
              <w:right w:val="single" w:color="000000" w:sz="4" w:space="0"/>
            </w:tcBorders>
            <w:noWrap w:val="0"/>
            <w:vAlign w:val="center"/>
          </w:tcPr>
          <w:p w14:paraId="098E4F5F">
            <w:pPr>
              <w:keepNext w:val="0"/>
              <w:keepLines w:val="0"/>
              <w:pageBreakBefore w:val="0"/>
              <w:widowControl/>
              <w:kinsoku/>
              <w:wordWrap/>
              <w:overflowPunct/>
              <w:topLinePunct w:val="0"/>
              <w:autoSpaceDE/>
              <w:autoSpaceDN/>
              <w:bidi w:val="0"/>
              <w:adjustRightInd/>
              <w:snapToGrid/>
              <w:spacing w:line="340" w:lineRule="exact"/>
              <w:jc w:val="center"/>
              <w:rPr>
                <w:rFonts w:hint="default" w:ascii="Times New Roman" w:hAnsi="Times New Roman" w:eastAsia="宋体" w:cs="Times New Roman"/>
                <w:i w:val="0"/>
                <w:iCs w:val="0"/>
                <w:color w:val="000000"/>
                <w:sz w:val="24"/>
                <w:szCs w:val="24"/>
                <w:u w:val="none"/>
              </w:rPr>
            </w:pPr>
          </w:p>
        </w:tc>
      </w:tr>
      <w:tr w14:paraId="4428EF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7" w:hRule="exact"/>
        </w:trPr>
        <w:tc>
          <w:tcPr>
            <w:tcW w:w="81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1053D82">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方正楷体_GBK" w:cs="Times New Roman"/>
                <w:i w:val="0"/>
                <w:iCs w:val="0"/>
                <w:color w:val="000000"/>
                <w:sz w:val="24"/>
                <w:szCs w:val="24"/>
                <w:u w:val="none"/>
              </w:rPr>
            </w:pPr>
            <w:r>
              <w:rPr>
                <w:rFonts w:hint="default" w:ascii="Times New Roman" w:hAnsi="Times New Roman" w:eastAsia="方正楷体_GBK" w:cs="Times New Roman"/>
                <w:i w:val="0"/>
                <w:iCs w:val="0"/>
                <w:color w:val="000000"/>
                <w:kern w:val="0"/>
                <w:sz w:val="24"/>
                <w:szCs w:val="24"/>
                <w:u w:val="none"/>
                <w:lang w:val="en-US" w:eastAsia="zh-CN" w:bidi="ar"/>
              </w:rPr>
              <w:t>1</w:t>
            </w:r>
          </w:p>
        </w:tc>
        <w:tc>
          <w:tcPr>
            <w:tcW w:w="451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3E0E379E">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工程建设监理费</w:t>
            </w:r>
          </w:p>
        </w:tc>
        <w:tc>
          <w:tcPr>
            <w:tcW w:w="1995" w:type="dxa"/>
            <w:tcBorders>
              <w:top w:val="single" w:color="000000" w:sz="4" w:space="0"/>
              <w:left w:val="single" w:color="000000" w:sz="4" w:space="0"/>
              <w:bottom w:val="single" w:color="000000" w:sz="4" w:space="0"/>
              <w:right w:val="single" w:color="000000" w:sz="4" w:space="0"/>
            </w:tcBorders>
            <w:noWrap/>
            <w:vAlign w:val="center"/>
          </w:tcPr>
          <w:p w14:paraId="44945E99">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 xml:space="preserve">13.45 </w:t>
            </w:r>
          </w:p>
        </w:tc>
        <w:tc>
          <w:tcPr>
            <w:tcW w:w="1530" w:type="dxa"/>
            <w:vMerge w:val="continue"/>
            <w:tcBorders>
              <w:top w:val="single" w:color="000000" w:sz="4" w:space="0"/>
              <w:left w:val="single" w:color="000000" w:sz="4" w:space="0"/>
              <w:bottom w:val="single" w:color="000000" w:sz="4" w:space="0"/>
              <w:right w:val="single" w:color="000000" w:sz="4" w:space="0"/>
            </w:tcBorders>
            <w:noWrap w:val="0"/>
            <w:vAlign w:val="center"/>
          </w:tcPr>
          <w:p w14:paraId="319D134A">
            <w:pPr>
              <w:keepNext w:val="0"/>
              <w:keepLines w:val="0"/>
              <w:pageBreakBefore w:val="0"/>
              <w:widowControl/>
              <w:kinsoku/>
              <w:wordWrap/>
              <w:overflowPunct/>
              <w:topLinePunct w:val="0"/>
              <w:autoSpaceDE/>
              <w:autoSpaceDN/>
              <w:bidi w:val="0"/>
              <w:adjustRightInd/>
              <w:snapToGrid/>
              <w:spacing w:line="340" w:lineRule="exact"/>
              <w:jc w:val="center"/>
              <w:rPr>
                <w:rFonts w:hint="default" w:ascii="Times New Roman" w:hAnsi="Times New Roman" w:eastAsia="宋体" w:cs="Times New Roman"/>
                <w:i w:val="0"/>
                <w:iCs w:val="0"/>
                <w:color w:val="000000"/>
                <w:sz w:val="24"/>
                <w:szCs w:val="24"/>
                <w:u w:val="none"/>
              </w:rPr>
            </w:pPr>
          </w:p>
        </w:tc>
      </w:tr>
      <w:tr w14:paraId="6123B4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7" w:hRule="exact"/>
        </w:trPr>
        <w:tc>
          <w:tcPr>
            <w:tcW w:w="81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25DF258">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方正楷体_GBK" w:cs="Times New Roman"/>
                <w:i w:val="0"/>
                <w:iCs w:val="0"/>
                <w:color w:val="000000"/>
                <w:sz w:val="24"/>
                <w:szCs w:val="24"/>
                <w:u w:val="none"/>
              </w:rPr>
            </w:pPr>
            <w:r>
              <w:rPr>
                <w:rFonts w:hint="default" w:ascii="Times New Roman" w:hAnsi="Times New Roman" w:eastAsia="方正楷体_GBK" w:cs="Times New Roman"/>
                <w:i w:val="0"/>
                <w:iCs w:val="0"/>
                <w:color w:val="000000"/>
                <w:kern w:val="0"/>
                <w:sz w:val="24"/>
                <w:szCs w:val="24"/>
                <w:u w:val="none"/>
                <w:lang w:val="en-US" w:eastAsia="zh-CN" w:bidi="ar"/>
              </w:rPr>
              <w:t>2</w:t>
            </w:r>
          </w:p>
        </w:tc>
        <w:tc>
          <w:tcPr>
            <w:tcW w:w="451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416C9BFD">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建设项目前期工作费</w:t>
            </w:r>
          </w:p>
        </w:tc>
        <w:tc>
          <w:tcPr>
            <w:tcW w:w="1995" w:type="dxa"/>
            <w:tcBorders>
              <w:top w:val="single" w:color="000000" w:sz="4" w:space="0"/>
              <w:left w:val="single" w:color="000000" w:sz="4" w:space="0"/>
              <w:bottom w:val="single" w:color="000000" w:sz="4" w:space="0"/>
              <w:right w:val="single" w:color="000000" w:sz="4" w:space="0"/>
            </w:tcBorders>
            <w:noWrap/>
            <w:vAlign w:val="center"/>
          </w:tcPr>
          <w:p w14:paraId="6C27E534">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 xml:space="preserve">13.45 </w:t>
            </w:r>
          </w:p>
        </w:tc>
        <w:tc>
          <w:tcPr>
            <w:tcW w:w="1530" w:type="dxa"/>
            <w:vMerge w:val="continue"/>
            <w:tcBorders>
              <w:top w:val="single" w:color="000000" w:sz="4" w:space="0"/>
              <w:left w:val="single" w:color="000000" w:sz="4" w:space="0"/>
              <w:bottom w:val="single" w:color="000000" w:sz="4" w:space="0"/>
              <w:right w:val="single" w:color="000000" w:sz="4" w:space="0"/>
            </w:tcBorders>
            <w:noWrap w:val="0"/>
            <w:vAlign w:val="center"/>
          </w:tcPr>
          <w:p w14:paraId="4C2D9066">
            <w:pPr>
              <w:keepNext w:val="0"/>
              <w:keepLines w:val="0"/>
              <w:pageBreakBefore w:val="0"/>
              <w:widowControl/>
              <w:kinsoku/>
              <w:wordWrap/>
              <w:overflowPunct/>
              <w:topLinePunct w:val="0"/>
              <w:autoSpaceDE/>
              <w:autoSpaceDN/>
              <w:bidi w:val="0"/>
              <w:adjustRightInd/>
              <w:snapToGrid/>
              <w:spacing w:line="340" w:lineRule="exact"/>
              <w:jc w:val="center"/>
              <w:rPr>
                <w:rFonts w:hint="default" w:ascii="Times New Roman" w:hAnsi="Times New Roman" w:eastAsia="宋体" w:cs="Times New Roman"/>
                <w:i w:val="0"/>
                <w:iCs w:val="0"/>
                <w:color w:val="000000"/>
                <w:sz w:val="24"/>
                <w:szCs w:val="24"/>
                <w:u w:val="none"/>
              </w:rPr>
            </w:pPr>
          </w:p>
        </w:tc>
      </w:tr>
      <w:tr w14:paraId="50F7D5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7" w:hRule="exact"/>
        </w:trPr>
        <w:tc>
          <w:tcPr>
            <w:tcW w:w="81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89716E2">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方正楷体_GBK" w:cs="Times New Roman"/>
                <w:i w:val="0"/>
                <w:iCs w:val="0"/>
                <w:color w:val="000000"/>
                <w:sz w:val="24"/>
                <w:szCs w:val="24"/>
                <w:u w:val="none"/>
              </w:rPr>
            </w:pPr>
            <w:r>
              <w:rPr>
                <w:rFonts w:hint="default" w:ascii="Times New Roman" w:hAnsi="Times New Roman" w:eastAsia="方正楷体_GBK" w:cs="Times New Roman"/>
                <w:i w:val="0"/>
                <w:iCs w:val="0"/>
                <w:color w:val="000000"/>
                <w:kern w:val="0"/>
                <w:sz w:val="24"/>
                <w:szCs w:val="24"/>
                <w:u w:val="none"/>
                <w:lang w:val="en-US" w:eastAsia="zh-CN" w:bidi="ar"/>
              </w:rPr>
              <w:t>3</w:t>
            </w:r>
          </w:p>
        </w:tc>
        <w:tc>
          <w:tcPr>
            <w:tcW w:w="451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5826F1B6">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设计文件审查费</w:t>
            </w:r>
          </w:p>
        </w:tc>
        <w:tc>
          <w:tcPr>
            <w:tcW w:w="199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3800AD40">
            <w:pPr>
              <w:keepNext w:val="0"/>
              <w:keepLines w:val="0"/>
              <w:widowControl/>
              <w:suppressLineNumbers w:val="0"/>
              <w:jc w:val="center"/>
              <w:textAlignment w:val="center"/>
              <w:rPr>
                <w:rFonts w:hint="default" w:ascii="Times New Roman" w:hAnsi="Times New Roman" w:eastAsia="方正楷体_GBK" w:cs="Times New Roman"/>
                <w:i w:val="0"/>
                <w:iCs w:val="0"/>
                <w:color w:val="000000"/>
                <w:sz w:val="24"/>
                <w:szCs w:val="24"/>
                <w:u w:val="none"/>
                <w:lang w:val="en-US" w:eastAsia="zh-CN"/>
              </w:rPr>
            </w:pPr>
            <w:r>
              <w:rPr>
                <w:rFonts w:hint="default" w:ascii="Times New Roman" w:hAnsi="Times New Roman" w:eastAsia="方正楷体_GBK" w:cs="Times New Roman"/>
                <w:i w:val="0"/>
                <w:iCs w:val="0"/>
                <w:color w:val="000000"/>
                <w:kern w:val="0"/>
                <w:sz w:val="24"/>
                <w:szCs w:val="24"/>
                <w:u w:val="none"/>
                <w:lang w:val="en-US" w:eastAsia="zh-CN" w:bidi="ar"/>
              </w:rPr>
              <w:t>0.40</w:t>
            </w:r>
          </w:p>
        </w:tc>
        <w:tc>
          <w:tcPr>
            <w:tcW w:w="1530" w:type="dxa"/>
            <w:vMerge w:val="continue"/>
            <w:tcBorders>
              <w:top w:val="single" w:color="000000" w:sz="4" w:space="0"/>
              <w:left w:val="single" w:color="000000" w:sz="4" w:space="0"/>
              <w:bottom w:val="single" w:color="000000" w:sz="4" w:space="0"/>
              <w:right w:val="single" w:color="000000" w:sz="4" w:space="0"/>
            </w:tcBorders>
            <w:noWrap w:val="0"/>
            <w:vAlign w:val="center"/>
          </w:tcPr>
          <w:p w14:paraId="5C62FFD8">
            <w:pPr>
              <w:keepNext w:val="0"/>
              <w:keepLines w:val="0"/>
              <w:pageBreakBefore w:val="0"/>
              <w:widowControl/>
              <w:kinsoku/>
              <w:wordWrap/>
              <w:overflowPunct/>
              <w:topLinePunct w:val="0"/>
              <w:autoSpaceDE/>
              <w:autoSpaceDN/>
              <w:bidi w:val="0"/>
              <w:adjustRightInd/>
              <w:snapToGrid/>
              <w:spacing w:line="340" w:lineRule="exact"/>
              <w:jc w:val="center"/>
              <w:rPr>
                <w:rFonts w:hint="default" w:ascii="Times New Roman" w:hAnsi="Times New Roman" w:eastAsia="宋体" w:cs="Times New Roman"/>
                <w:i w:val="0"/>
                <w:iCs w:val="0"/>
                <w:color w:val="000000"/>
                <w:sz w:val="24"/>
                <w:szCs w:val="24"/>
                <w:u w:val="none"/>
              </w:rPr>
            </w:pPr>
          </w:p>
        </w:tc>
      </w:tr>
      <w:tr w14:paraId="469155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7" w:hRule="exact"/>
        </w:trPr>
        <w:tc>
          <w:tcPr>
            <w:tcW w:w="81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A2A5EEE">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方正楷体_GBK" w:cs="Times New Roman"/>
                <w:i w:val="0"/>
                <w:iCs w:val="0"/>
                <w:color w:val="000000"/>
                <w:sz w:val="24"/>
                <w:szCs w:val="24"/>
                <w:u w:val="none"/>
              </w:rPr>
            </w:pPr>
            <w:r>
              <w:rPr>
                <w:rFonts w:hint="default" w:ascii="Times New Roman" w:hAnsi="Times New Roman" w:eastAsia="方正楷体_GBK" w:cs="Times New Roman"/>
                <w:i w:val="0"/>
                <w:iCs w:val="0"/>
                <w:color w:val="000000"/>
                <w:kern w:val="0"/>
                <w:sz w:val="24"/>
                <w:szCs w:val="24"/>
                <w:u w:val="none"/>
                <w:lang w:val="en-US" w:eastAsia="zh-CN" w:bidi="ar"/>
              </w:rPr>
              <w:t>4</w:t>
            </w:r>
          </w:p>
        </w:tc>
        <w:tc>
          <w:tcPr>
            <w:tcW w:w="451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31BD15C4">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工程保险费</w:t>
            </w:r>
          </w:p>
        </w:tc>
        <w:tc>
          <w:tcPr>
            <w:tcW w:w="199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34C652AC">
            <w:pPr>
              <w:keepNext w:val="0"/>
              <w:keepLines w:val="0"/>
              <w:widowControl/>
              <w:suppressLineNumbers w:val="0"/>
              <w:jc w:val="center"/>
              <w:textAlignment w:val="center"/>
              <w:rPr>
                <w:rFonts w:hint="default" w:ascii="Times New Roman" w:hAnsi="Times New Roman" w:eastAsia="方正楷体_GBK" w:cs="Times New Roman"/>
                <w:i w:val="0"/>
                <w:iCs w:val="0"/>
                <w:color w:val="000000"/>
                <w:sz w:val="24"/>
                <w:szCs w:val="24"/>
                <w:u w:val="none"/>
              </w:rPr>
            </w:pPr>
            <w:r>
              <w:rPr>
                <w:rFonts w:hint="default" w:ascii="Times New Roman" w:hAnsi="Times New Roman" w:eastAsia="方正楷体_GBK" w:cs="Times New Roman"/>
                <w:i w:val="0"/>
                <w:iCs w:val="0"/>
                <w:color w:val="000000"/>
                <w:kern w:val="0"/>
                <w:sz w:val="24"/>
                <w:szCs w:val="24"/>
                <w:u w:val="none"/>
                <w:lang w:val="en-US" w:eastAsia="zh-CN" w:bidi="ar"/>
              </w:rPr>
              <w:t>1.75</w:t>
            </w:r>
          </w:p>
        </w:tc>
        <w:tc>
          <w:tcPr>
            <w:tcW w:w="1530" w:type="dxa"/>
            <w:vMerge w:val="continue"/>
            <w:tcBorders>
              <w:top w:val="single" w:color="000000" w:sz="4" w:space="0"/>
              <w:left w:val="single" w:color="000000" w:sz="4" w:space="0"/>
              <w:bottom w:val="single" w:color="000000" w:sz="4" w:space="0"/>
              <w:right w:val="single" w:color="000000" w:sz="4" w:space="0"/>
            </w:tcBorders>
            <w:noWrap w:val="0"/>
            <w:vAlign w:val="center"/>
          </w:tcPr>
          <w:p w14:paraId="618CBECC">
            <w:pPr>
              <w:keepNext w:val="0"/>
              <w:keepLines w:val="0"/>
              <w:pageBreakBefore w:val="0"/>
              <w:widowControl/>
              <w:kinsoku/>
              <w:wordWrap/>
              <w:overflowPunct/>
              <w:topLinePunct w:val="0"/>
              <w:autoSpaceDE/>
              <w:autoSpaceDN/>
              <w:bidi w:val="0"/>
              <w:adjustRightInd/>
              <w:snapToGrid/>
              <w:spacing w:line="340" w:lineRule="exact"/>
              <w:jc w:val="center"/>
              <w:rPr>
                <w:rFonts w:hint="default" w:ascii="Times New Roman" w:hAnsi="Times New Roman" w:eastAsia="宋体" w:cs="Times New Roman"/>
                <w:i w:val="0"/>
                <w:iCs w:val="0"/>
                <w:color w:val="000000"/>
                <w:sz w:val="24"/>
                <w:szCs w:val="24"/>
                <w:u w:val="none"/>
              </w:rPr>
            </w:pPr>
          </w:p>
        </w:tc>
      </w:tr>
      <w:tr w14:paraId="1B633C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7" w:hRule="exact"/>
        </w:trPr>
        <w:tc>
          <w:tcPr>
            <w:tcW w:w="81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BD42BF3">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方正楷体_GBK" w:cs="Times New Roman"/>
                <w:b/>
                <w:bCs/>
                <w:i w:val="0"/>
                <w:iCs w:val="0"/>
                <w:color w:val="000000"/>
                <w:sz w:val="24"/>
                <w:szCs w:val="24"/>
                <w:u w:val="none"/>
              </w:rPr>
            </w:pPr>
            <w:r>
              <w:rPr>
                <w:rFonts w:hint="default" w:ascii="Times New Roman" w:hAnsi="Times New Roman" w:eastAsia="方正楷体_GBK" w:cs="Times New Roman"/>
                <w:b/>
                <w:bCs/>
                <w:i w:val="0"/>
                <w:iCs w:val="0"/>
                <w:color w:val="000000"/>
                <w:kern w:val="0"/>
                <w:sz w:val="24"/>
                <w:szCs w:val="24"/>
                <w:u w:val="none"/>
                <w:lang w:val="en-US" w:eastAsia="zh-CN" w:bidi="ar"/>
              </w:rPr>
              <w:t>三</w:t>
            </w:r>
          </w:p>
        </w:tc>
        <w:tc>
          <w:tcPr>
            <w:tcW w:w="451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6FABFC2">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方正楷体_GBK" w:cs="Times New Roman"/>
                <w:b/>
                <w:bCs/>
                <w:i w:val="0"/>
                <w:iCs w:val="0"/>
                <w:color w:val="000000"/>
                <w:sz w:val="24"/>
                <w:szCs w:val="24"/>
                <w:u w:val="none"/>
              </w:rPr>
            </w:pPr>
            <w:r>
              <w:rPr>
                <w:rFonts w:hint="default" w:ascii="Times New Roman" w:hAnsi="Times New Roman" w:eastAsia="方正楷体_GBK" w:cs="Times New Roman"/>
                <w:b/>
                <w:bCs/>
                <w:i w:val="0"/>
                <w:iCs w:val="0"/>
                <w:color w:val="000000"/>
                <w:kern w:val="0"/>
                <w:sz w:val="24"/>
                <w:szCs w:val="24"/>
                <w:u w:val="none"/>
                <w:lang w:val="en-US" w:eastAsia="zh-CN" w:bidi="ar"/>
              </w:rPr>
              <w:t>估算总投资</w:t>
            </w:r>
          </w:p>
        </w:tc>
        <w:tc>
          <w:tcPr>
            <w:tcW w:w="199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1B315DBB">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方正仿宋_GBK" w:cs="Times New Roman"/>
                <w:b/>
                <w:bCs/>
                <w:i w:val="0"/>
                <w:iCs w:val="0"/>
                <w:color w:val="000000"/>
                <w:sz w:val="24"/>
                <w:szCs w:val="24"/>
                <w:u w:val="none"/>
              </w:rPr>
            </w:pPr>
            <w:r>
              <w:rPr>
                <w:rFonts w:hint="default" w:ascii="Times New Roman" w:hAnsi="Times New Roman" w:eastAsia="方正仿宋_GBK" w:cs="Times New Roman"/>
                <w:b/>
                <w:bCs/>
                <w:i w:val="0"/>
                <w:iCs w:val="0"/>
                <w:color w:val="000000"/>
                <w:kern w:val="0"/>
                <w:sz w:val="24"/>
                <w:szCs w:val="24"/>
                <w:u w:val="none"/>
                <w:lang w:val="en-US" w:eastAsia="zh-CN" w:bidi="ar"/>
              </w:rPr>
              <w:t xml:space="preserve">466.00 </w:t>
            </w:r>
          </w:p>
        </w:tc>
        <w:tc>
          <w:tcPr>
            <w:tcW w:w="1530" w:type="dxa"/>
            <w:vMerge w:val="continue"/>
            <w:tcBorders>
              <w:top w:val="single" w:color="000000" w:sz="4" w:space="0"/>
              <w:left w:val="single" w:color="000000" w:sz="4" w:space="0"/>
              <w:bottom w:val="single" w:color="000000" w:sz="4" w:space="0"/>
              <w:right w:val="single" w:color="000000" w:sz="4" w:space="0"/>
            </w:tcBorders>
            <w:noWrap w:val="0"/>
            <w:vAlign w:val="center"/>
          </w:tcPr>
          <w:p w14:paraId="49E694A3">
            <w:pPr>
              <w:keepNext w:val="0"/>
              <w:keepLines w:val="0"/>
              <w:pageBreakBefore w:val="0"/>
              <w:widowControl/>
              <w:kinsoku/>
              <w:wordWrap/>
              <w:overflowPunct/>
              <w:topLinePunct w:val="0"/>
              <w:autoSpaceDE/>
              <w:autoSpaceDN/>
              <w:bidi w:val="0"/>
              <w:adjustRightInd/>
              <w:snapToGrid/>
              <w:spacing w:line="340" w:lineRule="exact"/>
              <w:jc w:val="center"/>
              <w:rPr>
                <w:rFonts w:hint="default" w:ascii="Times New Roman" w:hAnsi="Times New Roman" w:eastAsia="宋体" w:cs="Times New Roman"/>
                <w:i w:val="0"/>
                <w:iCs w:val="0"/>
                <w:color w:val="000000"/>
                <w:sz w:val="24"/>
                <w:szCs w:val="24"/>
                <w:u w:val="none"/>
              </w:rPr>
            </w:pPr>
          </w:p>
        </w:tc>
      </w:tr>
    </w:tbl>
    <w:p w14:paraId="4DE5FD7C"/>
    <w:p w14:paraId="1045082A">
      <w:pPr>
        <w:spacing w:line="440" w:lineRule="exact"/>
        <w:ind w:left="-212" w:leftChars="-101" w:right="-193" w:rightChars="-92"/>
        <w:rPr>
          <w:rFonts w:hint="eastAsia" w:eastAsia="方正仿宋_GBK"/>
          <w:sz w:val="28"/>
          <w:szCs w:val="28"/>
          <w:u w:val="single"/>
        </w:rPr>
      </w:pPr>
      <w:r>
        <w:rPr>
          <w:rFonts w:hint="eastAsia" w:eastAsia="方正黑体_GBK"/>
          <w:sz w:val="32"/>
          <w:szCs w:val="32"/>
          <w:u w:val="thick"/>
        </w:rPr>
        <w:t xml:space="preserve">                  </w:t>
      </w:r>
      <w:r>
        <w:rPr>
          <w:rFonts w:eastAsia="方正小标宋_GBK"/>
          <w:sz w:val="32"/>
          <w:szCs w:val="32"/>
          <w:u w:val="thick"/>
        </w:rPr>
        <w:t xml:space="preserve">                                           </w:t>
      </w:r>
    </w:p>
    <w:p w14:paraId="16B8FDF8">
      <w:pPr>
        <w:spacing w:line="440" w:lineRule="exact"/>
        <w:ind w:left="-212" w:leftChars="-101" w:right="-193" w:rightChars="-92"/>
        <w:rPr>
          <w:rFonts w:eastAsia="方正仿宋_GBK"/>
          <w:sz w:val="28"/>
          <w:szCs w:val="28"/>
          <w:u w:val="single"/>
        </w:rPr>
      </w:pPr>
      <w:r>
        <w:rPr>
          <w:rFonts w:hint="eastAsia" w:eastAsia="方正仿宋_GBK"/>
          <w:sz w:val="28"/>
          <w:szCs w:val="28"/>
          <w:u w:val="single"/>
        </w:rPr>
        <w:t xml:space="preserve">  抄送：区纪委监委、区财政局、区审计局。                            </w:t>
      </w:r>
    </w:p>
    <w:p w14:paraId="6E925C49">
      <w:pPr>
        <w:spacing w:line="440" w:lineRule="exact"/>
        <w:ind w:left="-212" w:leftChars="-101" w:right="-193" w:rightChars="-92"/>
        <w:rPr>
          <w:rFonts w:hint="eastAsia"/>
        </w:rPr>
      </w:pPr>
      <w:r>
        <w:rPr>
          <w:rFonts w:eastAsia="方正仿宋_GBK"/>
          <w:sz w:val="28"/>
          <w:szCs w:val="28"/>
          <w:u w:val="thick"/>
        </w:rPr>
        <w:t xml:space="preserve"> </w:t>
      </w:r>
      <w:r>
        <w:rPr>
          <w:rFonts w:hint="eastAsia" w:eastAsia="方正仿宋_GBK"/>
          <w:sz w:val="28"/>
          <w:szCs w:val="28"/>
          <w:u w:val="thick"/>
        </w:rPr>
        <w:t xml:space="preserve"> 重庆市</w:t>
      </w:r>
      <w:r>
        <w:rPr>
          <w:rFonts w:eastAsia="方正仿宋_GBK"/>
          <w:sz w:val="28"/>
          <w:szCs w:val="28"/>
          <w:u w:val="thick"/>
        </w:rPr>
        <w:t xml:space="preserve">黔江区发展和改革委员会办公室  </w:t>
      </w:r>
      <w:r>
        <w:rPr>
          <w:rFonts w:hint="eastAsia" w:eastAsia="方正仿宋_GBK"/>
          <w:sz w:val="28"/>
          <w:szCs w:val="28"/>
          <w:u w:val="thick"/>
        </w:rPr>
        <w:t xml:space="preserve"> </w:t>
      </w:r>
      <w:r>
        <w:rPr>
          <w:rFonts w:eastAsia="方正仿宋_GBK"/>
          <w:sz w:val="28"/>
          <w:szCs w:val="28"/>
          <w:u w:val="thick"/>
        </w:rPr>
        <w:t xml:space="preserve">    </w:t>
      </w:r>
      <w:r>
        <w:rPr>
          <w:rFonts w:hint="eastAsia" w:eastAsia="方正仿宋_GBK"/>
          <w:sz w:val="28"/>
          <w:szCs w:val="28"/>
          <w:u w:val="thick"/>
        </w:rPr>
        <w:t xml:space="preserve">  </w:t>
      </w:r>
      <w:r>
        <w:rPr>
          <w:rFonts w:eastAsia="方正仿宋_GBK"/>
          <w:sz w:val="28"/>
          <w:szCs w:val="28"/>
          <w:u w:val="thick"/>
        </w:rPr>
        <w:t>20</w:t>
      </w:r>
      <w:r>
        <w:rPr>
          <w:rFonts w:hint="eastAsia" w:eastAsia="方正仿宋_GBK"/>
          <w:sz w:val="28"/>
          <w:szCs w:val="28"/>
          <w:u w:val="thick"/>
        </w:rPr>
        <w:t>2</w:t>
      </w:r>
      <w:r>
        <w:rPr>
          <w:rFonts w:hint="eastAsia" w:eastAsia="方正仿宋_GBK"/>
          <w:sz w:val="28"/>
          <w:szCs w:val="28"/>
          <w:u w:val="thick"/>
          <w:lang w:val="en-US" w:eastAsia="zh-CN"/>
        </w:rPr>
        <w:t>6</w:t>
      </w:r>
      <w:r>
        <w:rPr>
          <w:rFonts w:eastAsia="方正仿宋_GBK"/>
          <w:sz w:val="28"/>
          <w:szCs w:val="28"/>
          <w:u w:val="thick"/>
        </w:rPr>
        <w:t>年</w:t>
      </w:r>
      <w:r>
        <w:rPr>
          <w:rFonts w:hint="eastAsia" w:eastAsia="方正仿宋_GBK"/>
          <w:sz w:val="28"/>
          <w:szCs w:val="28"/>
          <w:u w:val="thick"/>
          <w:lang w:val="en-US" w:eastAsia="zh-CN"/>
        </w:rPr>
        <w:t>1</w:t>
      </w:r>
      <w:r>
        <w:rPr>
          <w:rFonts w:eastAsia="方正仿宋_GBK"/>
          <w:sz w:val="28"/>
          <w:szCs w:val="28"/>
          <w:u w:val="thick"/>
        </w:rPr>
        <w:t>月</w:t>
      </w:r>
      <w:r>
        <w:rPr>
          <w:rFonts w:hint="eastAsia" w:eastAsia="方正仿宋_GBK"/>
          <w:sz w:val="28"/>
          <w:szCs w:val="28"/>
          <w:u w:val="thick"/>
          <w:lang w:val="en-US" w:eastAsia="zh-CN"/>
        </w:rPr>
        <w:t>23</w:t>
      </w:r>
      <w:r>
        <w:rPr>
          <w:rFonts w:eastAsia="方正仿宋_GBK"/>
          <w:sz w:val="28"/>
          <w:szCs w:val="28"/>
          <w:u w:val="thick"/>
        </w:rPr>
        <w:t>日印发</w:t>
      </w:r>
      <w:r>
        <w:rPr>
          <w:rFonts w:hint="eastAsia" w:eastAsia="方正仿宋_GBK"/>
          <w:sz w:val="28"/>
          <w:szCs w:val="28"/>
          <w:u w:val="thick"/>
        </w:rPr>
        <w:t xml:space="preserve"> </w:t>
      </w:r>
      <w:r>
        <w:rPr>
          <w:rFonts w:eastAsia="方正仿宋_GBK"/>
          <w:sz w:val="28"/>
          <w:szCs w:val="28"/>
          <w:u w:val="thick"/>
        </w:rPr>
        <w:t xml:space="preserve"> </w:t>
      </w:r>
    </w:p>
    <w:sectPr>
      <w:headerReference r:id="rId3" w:type="default"/>
      <w:footerReference r:id="rId5" w:type="default"/>
      <w:headerReference r:id="rId4" w:type="even"/>
      <w:footerReference r:id="rId6" w:type="even"/>
      <w:pgSz w:w="11907" w:h="16840"/>
      <w:pgMar w:top="2098" w:right="1474" w:bottom="1985" w:left="1588" w:header="851" w:footer="1134" w:gutter="0"/>
      <w:pgNumType w:fmt="numberInDash"/>
      <w:cols w:space="720" w:num="1"/>
      <w:docGrid w:type="lines" w:linePitch="50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embedRegular r:id="rId1" w:fontKey="{A83E8EEB-C2D4-438D-981F-F5FFC9FF17AF}"/>
  </w:font>
  <w:font w:name="方正仿宋_GBK">
    <w:panose1 w:val="03000509000000000000"/>
    <w:charset w:val="86"/>
    <w:family w:val="script"/>
    <w:pitch w:val="default"/>
    <w:sig w:usb0="00000001" w:usb1="080E0000" w:usb2="00000000" w:usb3="00000000" w:csb0="00040000" w:csb1="00000000"/>
    <w:embedRegular r:id="rId2" w:fontKey="{A46CF43F-044D-482E-855C-6618A3F686A3}"/>
  </w:font>
  <w:font w:name="方正黑体_GBK">
    <w:panose1 w:val="03000509000000000000"/>
    <w:charset w:val="86"/>
    <w:family w:val="script"/>
    <w:pitch w:val="default"/>
    <w:sig w:usb0="00000001" w:usb1="080E0000" w:usb2="00000000" w:usb3="00000000" w:csb0="00040000" w:csb1="00000000"/>
    <w:embedRegular r:id="rId3" w:fontKey="{C0286FCA-BC31-40D8-A7BC-C42F4624C800}"/>
  </w:font>
  <w:font w:name="方正楷体_GBK">
    <w:panose1 w:val="03000509000000000000"/>
    <w:charset w:val="86"/>
    <w:family w:val="script"/>
    <w:pitch w:val="default"/>
    <w:sig w:usb0="00000001" w:usb1="080E0000" w:usb2="00000000" w:usb3="00000000" w:csb0="00040000" w:csb1="00000000"/>
    <w:embedRegular r:id="rId4" w:fontKey="{9C4CBE9B-19F6-4A03-AB14-2FF9024E8AC7}"/>
  </w:font>
  <w:font w:name="Verdana">
    <w:panose1 w:val="020B0604030504040204"/>
    <w:charset w:val="00"/>
    <w:family w:val="swiss"/>
    <w:pitch w:val="default"/>
    <w:sig w:usb0="A10006FF" w:usb1="4000205B" w:usb2="00000010" w:usb3="00000000" w:csb0="2000019F" w:csb1="00000000"/>
  </w:font>
  <w:font w:name="方正小标宋_GBK">
    <w:panose1 w:val="03000509000000000000"/>
    <w:charset w:val="86"/>
    <w:family w:val="script"/>
    <w:pitch w:val="default"/>
    <w:sig w:usb0="00000001" w:usb1="080E0000" w:usb2="00000000" w:usb3="00000000" w:csb0="00040000" w:csb1="00000000"/>
    <w:embedRegular r:id="rId5" w:fontKey="{2608B6EE-7EA4-4A83-A29A-DC6FF705DD4A}"/>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5C4AFA">
    <w:pPr>
      <w:pStyle w:val="8"/>
      <w:framePr w:wrap="around" w:vAnchor="text" w:hAnchor="margin" w:xAlign="outside" w:y="1"/>
      <w:rPr>
        <w:rStyle w:val="13"/>
        <w:rFonts w:hint="eastAsia" w:ascii="宋体" w:hAnsi="宋体" w:cs="宋体"/>
        <w:sz w:val="28"/>
        <w:szCs w:val="28"/>
      </w:rPr>
    </w:pPr>
    <w:r>
      <w:rPr>
        <w:rFonts w:hint="eastAsia" w:ascii="宋体" w:hAnsi="宋体" w:cs="宋体"/>
        <w:sz w:val="28"/>
        <w:szCs w:val="28"/>
      </w:rPr>
      <w:fldChar w:fldCharType="begin"/>
    </w:r>
    <w:r>
      <w:rPr>
        <w:rStyle w:val="13"/>
        <w:rFonts w:hint="eastAsia" w:ascii="宋体" w:hAnsi="宋体" w:cs="宋体"/>
        <w:sz w:val="28"/>
        <w:szCs w:val="28"/>
      </w:rPr>
      <w:instrText xml:space="preserve">PAGE  </w:instrText>
    </w:r>
    <w:r>
      <w:rPr>
        <w:rFonts w:hint="eastAsia" w:ascii="宋体" w:hAnsi="宋体" w:cs="宋体"/>
        <w:sz w:val="28"/>
        <w:szCs w:val="28"/>
      </w:rPr>
      <w:fldChar w:fldCharType="separate"/>
    </w:r>
    <w:r>
      <w:rPr>
        <w:rStyle w:val="13"/>
        <w:rFonts w:ascii="宋体" w:hAnsi="宋体" w:cs="宋体"/>
        <w:sz w:val="28"/>
        <w:szCs w:val="28"/>
      </w:rPr>
      <w:t>- 2 -</w:t>
    </w:r>
    <w:r>
      <w:rPr>
        <w:rFonts w:hint="eastAsia" w:ascii="宋体" w:hAnsi="宋体" w:cs="宋体"/>
        <w:sz w:val="28"/>
        <w:szCs w:val="28"/>
      </w:rPr>
      <w:fldChar w:fldCharType="end"/>
    </w:r>
  </w:p>
  <w:p w14:paraId="7F3E6B74">
    <w:pPr>
      <w:pStyle w:val="8"/>
      <w:ind w:right="360" w:firstLine="360"/>
      <w:rPr>
        <w:rFonts w:hint="eastAsia" w:ascii="宋体" w:hAnsi="宋体" w:cs="宋体"/>
        <w:sz w:val="28"/>
        <w:szCs w:val="2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886184">
    <w:pPr>
      <w:framePr w:wrap="around" w:vAnchor="text" w:hAnchor="margin" w:xAlign="outside" w:y="1"/>
      <w:rPr>
        <w:b/>
        <w:bCs/>
        <w:sz w:val="24"/>
      </w:rPr>
    </w:pPr>
    <w:r>
      <w:rPr>
        <w:b/>
        <w:bCs/>
        <w:sz w:val="24"/>
      </w:rPr>
      <w:t>-</w:t>
    </w:r>
    <w:r>
      <w:rPr>
        <w:b/>
        <w:bCs/>
        <w:sz w:val="24"/>
      </w:rPr>
      <w:fldChar w:fldCharType="begin"/>
    </w:r>
    <w:r>
      <w:rPr>
        <w:b/>
        <w:bCs/>
        <w:sz w:val="24"/>
      </w:rPr>
      <w:instrText xml:space="preserve">PAGE  </w:instrText>
    </w:r>
    <w:r>
      <w:rPr>
        <w:b/>
        <w:bCs/>
        <w:sz w:val="24"/>
      </w:rPr>
      <w:fldChar w:fldCharType="separate"/>
    </w:r>
    <w:r>
      <w:rPr>
        <w:b/>
        <w:bCs/>
        <w:sz w:val="24"/>
      </w:rPr>
      <w:t>2</w:t>
    </w:r>
    <w:r>
      <w:rPr>
        <w:b/>
        <w:bCs/>
        <w:sz w:val="24"/>
      </w:rPr>
      <w:fldChar w:fldCharType="end"/>
    </w:r>
    <w:r>
      <w:rPr>
        <w:b/>
        <w:bCs/>
        <w:sz w:val="24"/>
      </w:rPr>
      <w:t>-</w:t>
    </w:r>
  </w:p>
  <w:p w14:paraId="2333C1DA">
    <w:pPr>
      <w:ind w:right="360" w:firstLine="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50A76A">
    <w:pPr>
      <w:pStyle w:val="9"/>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37663E">
    <w:pPr>
      <w:pStyle w:val="9"/>
      <w:jc w:val="both"/>
      <w:rPr>
        <w:rFonts w:hint="eastAsia"/>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TrueTypeFonts/>
  <w:saveSubsetFonts/>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420"/>
  <w:hyphenationZone w:val="360"/>
  <w:drawingGridHorizontalSpacing w:val="105"/>
  <w:drawingGridVerticalSpacing w:val="253"/>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B347F"/>
    <w:rsid w:val="00007491"/>
    <w:rsid w:val="0001235B"/>
    <w:rsid w:val="00012CAD"/>
    <w:rsid w:val="000208B5"/>
    <w:rsid w:val="0002461A"/>
    <w:rsid w:val="0006365A"/>
    <w:rsid w:val="00072558"/>
    <w:rsid w:val="000879C9"/>
    <w:rsid w:val="000D55FF"/>
    <w:rsid w:val="00100BE6"/>
    <w:rsid w:val="0010181F"/>
    <w:rsid w:val="00111D8E"/>
    <w:rsid w:val="00125AB0"/>
    <w:rsid w:val="0013087A"/>
    <w:rsid w:val="0015084D"/>
    <w:rsid w:val="00180203"/>
    <w:rsid w:val="00191283"/>
    <w:rsid w:val="001A7E0D"/>
    <w:rsid w:val="001B15DF"/>
    <w:rsid w:val="001D058E"/>
    <w:rsid w:val="001D2E6A"/>
    <w:rsid w:val="001E492D"/>
    <w:rsid w:val="001E6E69"/>
    <w:rsid w:val="001F1629"/>
    <w:rsid w:val="001F5780"/>
    <w:rsid w:val="001F5DE5"/>
    <w:rsid w:val="00201560"/>
    <w:rsid w:val="00216871"/>
    <w:rsid w:val="0024744D"/>
    <w:rsid w:val="00247D89"/>
    <w:rsid w:val="00252EB6"/>
    <w:rsid w:val="00255228"/>
    <w:rsid w:val="002667D3"/>
    <w:rsid w:val="00270CEA"/>
    <w:rsid w:val="00271953"/>
    <w:rsid w:val="00286DAC"/>
    <w:rsid w:val="00293C64"/>
    <w:rsid w:val="00297A52"/>
    <w:rsid w:val="00297AE7"/>
    <w:rsid w:val="002B4BB7"/>
    <w:rsid w:val="002B745F"/>
    <w:rsid w:val="002C1E58"/>
    <w:rsid w:val="002C66FC"/>
    <w:rsid w:val="002E0898"/>
    <w:rsid w:val="002E2051"/>
    <w:rsid w:val="00303991"/>
    <w:rsid w:val="00304AF7"/>
    <w:rsid w:val="00310E08"/>
    <w:rsid w:val="00316905"/>
    <w:rsid w:val="003179FD"/>
    <w:rsid w:val="003300C4"/>
    <w:rsid w:val="003301E2"/>
    <w:rsid w:val="00362FF7"/>
    <w:rsid w:val="003845D3"/>
    <w:rsid w:val="00384B9C"/>
    <w:rsid w:val="00393D70"/>
    <w:rsid w:val="00394860"/>
    <w:rsid w:val="003A2A4A"/>
    <w:rsid w:val="003B6558"/>
    <w:rsid w:val="003C7BB0"/>
    <w:rsid w:val="003E40ED"/>
    <w:rsid w:val="003E4C4F"/>
    <w:rsid w:val="003E5E47"/>
    <w:rsid w:val="003F344D"/>
    <w:rsid w:val="003F55F9"/>
    <w:rsid w:val="00400417"/>
    <w:rsid w:val="00402288"/>
    <w:rsid w:val="00445E23"/>
    <w:rsid w:val="004462B2"/>
    <w:rsid w:val="0044706D"/>
    <w:rsid w:val="00457B8A"/>
    <w:rsid w:val="004807A2"/>
    <w:rsid w:val="00490DE0"/>
    <w:rsid w:val="00495521"/>
    <w:rsid w:val="004B5367"/>
    <w:rsid w:val="004C5F94"/>
    <w:rsid w:val="004C6647"/>
    <w:rsid w:val="004C7185"/>
    <w:rsid w:val="004E072E"/>
    <w:rsid w:val="004E455D"/>
    <w:rsid w:val="004F5F49"/>
    <w:rsid w:val="00506DE3"/>
    <w:rsid w:val="005219F7"/>
    <w:rsid w:val="00524619"/>
    <w:rsid w:val="00524DDD"/>
    <w:rsid w:val="005438DA"/>
    <w:rsid w:val="00546D08"/>
    <w:rsid w:val="005624E9"/>
    <w:rsid w:val="0059177D"/>
    <w:rsid w:val="00597842"/>
    <w:rsid w:val="005B4233"/>
    <w:rsid w:val="005B6A15"/>
    <w:rsid w:val="005C2DA3"/>
    <w:rsid w:val="005D7AF8"/>
    <w:rsid w:val="005E514A"/>
    <w:rsid w:val="005E63C7"/>
    <w:rsid w:val="005E754C"/>
    <w:rsid w:val="005F130D"/>
    <w:rsid w:val="00600BBF"/>
    <w:rsid w:val="006028F6"/>
    <w:rsid w:val="006064CB"/>
    <w:rsid w:val="0060696A"/>
    <w:rsid w:val="00612917"/>
    <w:rsid w:val="0067023C"/>
    <w:rsid w:val="00673C8C"/>
    <w:rsid w:val="006846E6"/>
    <w:rsid w:val="00687D62"/>
    <w:rsid w:val="0069466B"/>
    <w:rsid w:val="00695B4F"/>
    <w:rsid w:val="00697AE9"/>
    <w:rsid w:val="006A51AB"/>
    <w:rsid w:val="006B262D"/>
    <w:rsid w:val="006B5C36"/>
    <w:rsid w:val="006B6EAD"/>
    <w:rsid w:val="006C2B9E"/>
    <w:rsid w:val="006C6682"/>
    <w:rsid w:val="006C756D"/>
    <w:rsid w:val="006E18AF"/>
    <w:rsid w:val="006F0C8C"/>
    <w:rsid w:val="006F4568"/>
    <w:rsid w:val="006F75A5"/>
    <w:rsid w:val="007038E2"/>
    <w:rsid w:val="007123E7"/>
    <w:rsid w:val="00712DAC"/>
    <w:rsid w:val="007216D0"/>
    <w:rsid w:val="00725B83"/>
    <w:rsid w:val="0075439C"/>
    <w:rsid w:val="00763089"/>
    <w:rsid w:val="00791150"/>
    <w:rsid w:val="00794135"/>
    <w:rsid w:val="00796F09"/>
    <w:rsid w:val="007A15DE"/>
    <w:rsid w:val="007A2188"/>
    <w:rsid w:val="007C04E9"/>
    <w:rsid w:val="007C11C8"/>
    <w:rsid w:val="007C7130"/>
    <w:rsid w:val="007D5E96"/>
    <w:rsid w:val="007D627D"/>
    <w:rsid w:val="007D6B95"/>
    <w:rsid w:val="007E01CB"/>
    <w:rsid w:val="007E096B"/>
    <w:rsid w:val="007E21B5"/>
    <w:rsid w:val="007F050A"/>
    <w:rsid w:val="00825089"/>
    <w:rsid w:val="00830A3C"/>
    <w:rsid w:val="00831F42"/>
    <w:rsid w:val="00834164"/>
    <w:rsid w:val="008443C6"/>
    <w:rsid w:val="008520DD"/>
    <w:rsid w:val="0085214D"/>
    <w:rsid w:val="00864418"/>
    <w:rsid w:val="0086784B"/>
    <w:rsid w:val="00892405"/>
    <w:rsid w:val="008A532E"/>
    <w:rsid w:val="008B1E98"/>
    <w:rsid w:val="008E0EBC"/>
    <w:rsid w:val="008E704A"/>
    <w:rsid w:val="00913D61"/>
    <w:rsid w:val="00957973"/>
    <w:rsid w:val="00964278"/>
    <w:rsid w:val="0097005A"/>
    <w:rsid w:val="00974520"/>
    <w:rsid w:val="009B1CC7"/>
    <w:rsid w:val="009B5A01"/>
    <w:rsid w:val="009C4840"/>
    <w:rsid w:val="009E0E5A"/>
    <w:rsid w:val="009E5E3F"/>
    <w:rsid w:val="009E6BE5"/>
    <w:rsid w:val="00A018F2"/>
    <w:rsid w:val="00A076B7"/>
    <w:rsid w:val="00A11A93"/>
    <w:rsid w:val="00A3142F"/>
    <w:rsid w:val="00A562AF"/>
    <w:rsid w:val="00A56826"/>
    <w:rsid w:val="00A879C3"/>
    <w:rsid w:val="00A96647"/>
    <w:rsid w:val="00A97849"/>
    <w:rsid w:val="00AB2A9A"/>
    <w:rsid w:val="00AB6402"/>
    <w:rsid w:val="00AC1DA6"/>
    <w:rsid w:val="00AC2018"/>
    <w:rsid w:val="00AC353A"/>
    <w:rsid w:val="00AD0726"/>
    <w:rsid w:val="00AD6C57"/>
    <w:rsid w:val="00AE0BE2"/>
    <w:rsid w:val="00B2282B"/>
    <w:rsid w:val="00B2479B"/>
    <w:rsid w:val="00B3060B"/>
    <w:rsid w:val="00B33B07"/>
    <w:rsid w:val="00B33DE1"/>
    <w:rsid w:val="00B472B0"/>
    <w:rsid w:val="00B76DCF"/>
    <w:rsid w:val="00B83162"/>
    <w:rsid w:val="00B840E2"/>
    <w:rsid w:val="00B90210"/>
    <w:rsid w:val="00B977A0"/>
    <w:rsid w:val="00BA1631"/>
    <w:rsid w:val="00BB36AD"/>
    <w:rsid w:val="00BD215A"/>
    <w:rsid w:val="00BE07A2"/>
    <w:rsid w:val="00BF7AF7"/>
    <w:rsid w:val="00C0147D"/>
    <w:rsid w:val="00C01484"/>
    <w:rsid w:val="00C0574F"/>
    <w:rsid w:val="00C1128A"/>
    <w:rsid w:val="00C12402"/>
    <w:rsid w:val="00C25569"/>
    <w:rsid w:val="00C33468"/>
    <w:rsid w:val="00C35230"/>
    <w:rsid w:val="00C36978"/>
    <w:rsid w:val="00C55876"/>
    <w:rsid w:val="00C80349"/>
    <w:rsid w:val="00C80A3B"/>
    <w:rsid w:val="00CA48AC"/>
    <w:rsid w:val="00CB1487"/>
    <w:rsid w:val="00CB7AF0"/>
    <w:rsid w:val="00CC2CB3"/>
    <w:rsid w:val="00CC6368"/>
    <w:rsid w:val="00CE65F6"/>
    <w:rsid w:val="00D00E5A"/>
    <w:rsid w:val="00D068FA"/>
    <w:rsid w:val="00D10619"/>
    <w:rsid w:val="00D1744E"/>
    <w:rsid w:val="00D26314"/>
    <w:rsid w:val="00D31E9D"/>
    <w:rsid w:val="00D328DF"/>
    <w:rsid w:val="00DA039D"/>
    <w:rsid w:val="00DA1AF8"/>
    <w:rsid w:val="00DB347F"/>
    <w:rsid w:val="00DC0751"/>
    <w:rsid w:val="00DC4A80"/>
    <w:rsid w:val="00DD4133"/>
    <w:rsid w:val="00DE3665"/>
    <w:rsid w:val="00DF4FDF"/>
    <w:rsid w:val="00E04B71"/>
    <w:rsid w:val="00E131F2"/>
    <w:rsid w:val="00E1508D"/>
    <w:rsid w:val="00E21D6F"/>
    <w:rsid w:val="00E22F77"/>
    <w:rsid w:val="00E379AE"/>
    <w:rsid w:val="00E409BF"/>
    <w:rsid w:val="00E47B95"/>
    <w:rsid w:val="00E62A8A"/>
    <w:rsid w:val="00E65A29"/>
    <w:rsid w:val="00E70A75"/>
    <w:rsid w:val="00E72401"/>
    <w:rsid w:val="00E8568D"/>
    <w:rsid w:val="00EA2119"/>
    <w:rsid w:val="00EB52D7"/>
    <w:rsid w:val="00ED119F"/>
    <w:rsid w:val="00ED17FC"/>
    <w:rsid w:val="00EE6371"/>
    <w:rsid w:val="00F00EA1"/>
    <w:rsid w:val="00F01F71"/>
    <w:rsid w:val="00F15C39"/>
    <w:rsid w:val="00F22AF0"/>
    <w:rsid w:val="00F248BA"/>
    <w:rsid w:val="00F30423"/>
    <w:rsid w:val="00F31628"/>
    <w:rsid w:val="00F372D5"/>
    <w:rsid w:val="00F4316E"/>
    <w:rsid w:val="00F45C33"/>
    <w:rsid w:val="00F467A7"/>
    <w:rsid w:val="00F5404D"/>
    <w:rsid w:val="00F62C58"/>
    <w:rsid w:val="00F91BE3"/>
    <w:rsid w:val="00FB1403"/>
    <w:rsid w:val="00FC6354"/>
    <w:rsid w:val="00FD1DE0"/>
    <w:rsid w:val="00FD56D1"/>
    <w:rsid w:val="05F73FA6"/>
    <w:rsid w:val="09FA769E"/>
    <w:rsid w:val="0B7A378A"/>
    <w:rsid w:val="0C4A4FFD"/>
    <w:rsid w:val="0CFC0645"/>
    <w:rsid w:val="0D37421D"/>
    <w:rsid w:val="0E090617"/>
    <w:rsid w:val="0FFE4D0A"/>
    <w:rsid w:val="14CA633F"/>
    <w:rsid w:val="15636F5B"/>
    <w:rsid w:val="175C5702"/>
    <w:rsid w:val="189B3AC2"/>
    <w:rsid w:val="193E59D1"/>
    <w:rsid w:val="1CEC7DC1"/>
    <w:rsid w:val="1DC37F83"/>
    <w:rsid w:val="1EA12AFF"/>
    <w:rsid w:val="250D18ED"/>
    <w:rsid w:val="254A0970"/>
    <w:rsid w:val="27CE5C62"/>
    <w:rsid w:val="28D139F4"/>
    <w:rsid w:val="2AD46A97"/>
    <w:rsid w:val="2C7759BF"/>
    <w:rsid w:val="2F827A5E"/>
    <w:rsid w:val="31A87524"/>
    <w:rsid w:val="39705D78"/>
    <w:rsid w:val="397671E0"/>
    <w:rsid w:val="3B2A71FC"/>
    <w:rsid w:val="3EF47EDA"/>
    <w:rsid w:val="44502D48"/>
    <w:rsid w:val="487D33E1"/>
    <w:rsid w:val="4F735634"/>
    <w:rsid w:val="4FFB4CF6"/>
    <w:rsid w:val="534E1E00"/>
    <w:rsid w:val="5481521D"/>
    <w:rsid w:val="5FFE1A79"/>
    <w:rsid w:val="616F605C"/>
    <w:rsid w:val="64070ED3"/>
    <w:rsid w:val="66560D21"/>
    <w:rsid w:val="69A577CB"/>
    <w:rsid w:val="6A6C1DE8"/>
    <w:rsid w:val="6BAE6A0F"/>
    <w:rsid w:val="6C68355C"/>
    <w:rsid w:val="6EF61234"/>
    <w:rsid w:val="770E1FDF"/>
    <w:rsid w:val="78624336"/>
    <w:rsid w:val="798F3B70"/>
    <w:rsid w:val="7AED1855"/>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qFormat="1"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99"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1">
    <w:name w:val="Default Paragraph Font"/>
    <w:link w:val="12"/>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0"/>
    <w:pPr>
      <w:spacing w:after="120"/>
    </w:pPr>
  </w:style>
  <w:style w:type="paragraph" w:styleId="3">
    <w:name w:val="Body Text Indent"/>
    <w:basedOn w:val="1"/>
    <w:qFormat/>
    <w:uiPriority w:val="0"/>
    <w:pPr>
      <w:ind w:firstLine="640" w:firstLineChars="200"/>
    </w:pPr>
    <w:rPr>
      <w:rFonts w:eastAsia="仿宋_GB2312"/>
      <w:sz w:val="32"/>
    </w:rPr>
  </w:style>
  <w:style w:type="paragraph" w:styleId="4">
    <w:name w:val="toc 5"/>
    <w:basedOn w:val="1"/>
    <w:next w:val="1"/>
    <w:qFormat/>
    <w:uiPriority w:val="0"/>
    <w:pPr>
      <w:ind w:left="840"/>
    </w:pPr>
    <w:rPr>
      <w:sz w:val="18"/>
      <w:szCs w:val="18"/>
    </w:rPr>
  </w:style>
  <w:style w:type="paragraph" w:styleId="5">
    <w:name w:val="Plain Text"/>
    <w:basedOn w:val="1"/>
    <w:unhideWhenUsed/>
    <w:qFormat/>
    <w:uiPriority w:val="99"/>
    <w:rPr>
      <w:rFonts w:ascii="宋体" w:hAnsi="Courier New"/>
    </w:rPr>
  </w:style>
  <w:style w:type="paragraph" w:styleId="6">
    <w:name w:val="Body Text Indent 2"/>
    <w:basedOn w:val="1"/>
    <w:qFormat/>
    <w:uiPriority w:val="0"/>
    <w:pPr>
      <w:ind w:firstLine="645"/>
    </w:pPr>
    <w:rPr>
      <w:rFonts w:ascii="黑体" w:eastAsia="黑体"/>
      <w:sz w:val="32"/>
    </w:rPr>
  </w:style>
  <w:style w:type="paragraph" w:styleId="7">
    <w:name w:val="Balloon Text"/>
    <w:basedOn w:val="1"/>
    <w:semiHidden/>
    <w:qFormat/>
    <w:uiPriority w:val="0"/>
    <w:rPr>
      <w:sz w:val="18"/>
      <w:szCs w:val="18"/>
    </w:rPr>
  </w:style>
  <w:style w:type="paragraph" w:styleId="8">
    <w:name w:val="footer"/>
    <w:basedOn w:val="1"/>
    <w:qFormat/>
    <w:uiPriority w:val="0"/>
    <w:pPr>
      <w:tabs>
        <w:tab w:val="center" w:pos="4153"/>
        <w:tab w:val="right" w:pos="8306"/>
      </w:tabs>
      <w:snapToGrid w:val="0"/>
      <w:jc w:val="left"/>
    </w:pPr>
    <w:rPr>
      <w:sz w:val="18"/>
      <w:szCs w:val="18"/>
    </w:rPr>
  </w:style>
  <w:style w:type="paragraph" w:styleId="9">
    <w:name w:val="header"/>
    <w:basedOn w:val="1"/>
    <w:link w:val="14"/>
    <w:qFormat/>
    <w:uiPriority w:val="0"/>
    <w:pPr>
      <w:pBdr>
        <w:bottom w:val="single" w:color="auto" w:sz="6" w:space="1"/>
      </w:pBdr>
      <w:tabs>
        <w:tab w:val="center" w:pos="4153"/>
        <w:tab w:val="right" w:pos="8306"/>
      </w:tabs>
      <w:snapToGrid w:val="0"/>
      <w:jc w:val="center"/>
    </w:pPr>
    <w:rPr>
      <w:sz w:val="18"/>
      <w:szCs w:val="18"/>
    </w:rPr>
  </w:style>
  <w:style w:type="paragraph" w:customStyle="1" w:styleId="12">
    <w:name w:val="默认段落字体 Para Char Char Char Char"/>
    <w:basedOn w:val="1"/>
    <w:link w:val="11"/>
    <w:uiPriority w:val="0"/>
    <w:rPr>
      <w:szCs w:val="20"/>
    </w:rPr>
  </w:style>
  <w:style w:type="character" w:styleId="13">
    <w:name w:val="page number"/>
    <w:qFormat/>
    <w:uiPriority w:val="0"/>
  </w:style>
  <w:style w:type="character" w:customStyle="1" w:styleId="14">
    <w:name w:val="页眉 字符"/>
    <w:link w:val="9"/>
    <w:semiHidden/>
    <w:qFormat/>
    <w:locked/>
    <w:uiPriority w:val="0"/>
    <w:rPr>
      <w:rFonts w:eastAsia="宋体"/>
      <w:kern w:val="2"/>
      <w:sz w:val="18"/>
      <w:szCs w:val="18"/>
      <w:lang w:val="en-US" w:eastAsia="zh-CN" w:bidi="ar-SA"/>
    </w:rPr>
  </w:style>
  <w:style w:type="character" w:customStyle="1" w:styleId="15">
    <w:name w:val="font41"/>
    <w:qFormat/>
    <w:uiPriority w:val="0"/>
    <w:rPr>
      <w:rFonts w:hint="eastAsia" w:ascii="方正仿宋_GBK" w:hAnsi="方正仿宋_GBK" w:eastAsia="方正仿宋_GBK" w:cs="方正仿宋_GBK"/>
      <w:color w:val="000000"/>
      <w:sz w:val="28"/>
      <w:szCs w:val="28"/>
      <w:u w:val="none"/>
    </w:rPr>
  </w:style>
  <w:style w:type="character" w:customStyle="1" w:styleId="16">
    <w:name w:val="font71"/>
    <w:qFormat/>
    <w:uiPriority w:val="0"/>
    <w:rPr>
      <w:rFonts w:ascii="方正黑体_GBK" w:hAnsi="方正黑体_GBK" w:eastAsia="方正黑体_GBK" w:cs="方正黑体_GBK"/>
      <w:color w:val="000000"/>
      <w:sz w:val="28"/>
      <w:szCs w:val="28"/>
      <w:u w:val="none"/>
    </w:rPr>
  </w:style>
  <w:style w:type="character" w:customStyle="1" w:styleId="17">
    <w:name w:val="font81"/>
    <w:qFormat/>
    <w:uiPriority w:val="0"/>
    <w:rPr>
      <w:rFonts w:ascii="方正楷体_GBK" w:hAnsi="方正楷体_GBK" w:eastAsia="方正楷体_GBK" w:cs="方正楷体_GBK"/>
      <w:b/>
      <w:bCs/>
      <w:color w:val="000000"/>
      <w:sz w:val="24"/>
      <w:szCs w:val="24"/>
      <w:u w:val="none"/>
    </w:rPr>
  </w:style>
  <w:style w:type="character" w:customStyle="1" w:styleId="18">
    <w:name w:val="font11"/>
    <w:qFormat/>
    <w:uiPriority w:val="0"/>
    <w:rPr>
      <w:rFonts w:hint="default" w:ascii="Times New Roman" w:hAnsi="Times New Roman" w:cs="Times New Roman"/>
      <w:color w:val="000000"/>
      <w:sz w:val="28"/>
      <w:szCs w:val="28"/>
      <w:u w:val="none"/>
    </w:rPr>
  </w:style>
  <w:style w:type="character" w:customStyle="1" w:styleId="19">
    <w:name w:val="font91"/>
    <w:uiPriority w:val="0"/>
    <w:rPr>
      <w:rFonts w:ascii="方正仿宋_GBK" w:hAnsi="方正仿宋_GBK" w:eastAsia="方正仿宋_GBK" w:cs="方正仿宋_GBK"/>
      <w:color w:val="000000"/>
      <w:sz w:val="24"/>
      <w:szCs w:val="24"/>
      <w:u w:val="none"/>
    </w:rPr>
  </w:style>
  <w:style w:type="character" w:customStyle="1" w:styleId="20">
    <w:name w:val="font21"/>
    <w:qFormat/>
    <w:uiPriority w:val="0"/>
    <w:rPr>
      <w:rFonts w:hint="eastAsia" w:ascii="宋体" w:hAnsi="宋体" w:eastAsia="宋体" w:cs="宋体"/>
      <w:color w:val="000000"/>
      <w:sz w:val="24"/>
      <w:szCs w:val="24"/>
      <w:u w:val="none"/>
    </w:rPr>
  </w:style>
  <w:style w:type="character" w:customStyle="1" w:styleId="21">
    <w:name w:val="font101"/>
    <w:qFormat/>
    <w:uiPriority w:val="0"/>
    <w:rPr>
      <w:rFonts w:hint="eastAsia" w:ascii="方正仿宋_GBK" w:hAnsi="方正仿宋_GBK" w:eastAsia="方正仿宋_GBK" w:cs="方正仿宋_GBK"/>
      <w:color w:val="000000"/>
      <w:sz w:val="24"/>
      <w:szCs w:val="24"/>
      <w:u w:val="none"/>
    </w:rPr>
  </w:style>
  <w:style w:type="paragraph" w:customStyle="1" w:styleId="22">
    <w:name w:val="Char Char Char Char Char Char Char Char Char Char Char Char Char Char Char Char Char Char Char Char Char Char Char Char Char Char Char Char Char Char Char Char Char"/>
    <w:basedOn w:val="1"/>
    <w:qFormat/>
    <w:uiPriority w:val="0"/>
    <w:pPr>
      <w:widowControl/>
      <w:spacing w:after="160" w:line="240" w:lineRule="exact"/>
      <w:jc w:val="left"/>
    </w:pPr>
    <w:rPr>
      <w:rFonts w:ascii="Verdana" w:hAnsi="Verdana" w:eastAsia="仿宋_GB2312" w:cs="Verdana"/>
      <w:kern w:val="0"/>
      <w:sz w:val="24"/>
      <w:lang w:eastAsia="en-US"/>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Info spid="_x0000_s1032"/>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Manager>周光</Manager>
  <Company>县发展计划委员会</Company>
  <Pages>4</Pages>
  <Words>1169</Words>
  <Characters>1300</Characters>
  <Lines>11</Lines>
  <Paragraphs>3</Paragraphs>
  <TotalTime>0</TotalTime>
  <ScaleCrop>false</ScaleCrop>
  <LinksUpToDate>false</LinksUpToDate>
  <CharactersWithSpaces>1463</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2013-01-07T15:17:00Z</dcterms:created>
  <dc:creator>PSJW</dc:creator>
  <cp:lastModifiedBy>董丽莉</cp:lastModifiedBy>
  <cp:lastPrinted>2026-01-30T06:36:00Z</cp:lastPrinted>
  <dcterms:modified xsi:type="dcterms:W3CDTF">2026-01-30T07:04:48Z</dcterms:modified>
  <dc:title>彭水计文件</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KSOTemplateDocerSaveRecord">
    <vt:lpwstr>eyJoZGlkIjoiMTY2Y2ZlYTNkNWI5MzlkYjFiNjgwMzcyNGYwMjIxODUiLCJ1c2VySWQiOiIxOTA1NDczOTIifQ==</vt:lpwstr>
  </property>
  <property fmtid="{D5CDD505-2E9C-101B-9397-08002B2CF9AE}" pid="4" name="ICV">
    <vt:lpwstr>CB6851414C7D4FCB82C887C304F119E4_13</vt:lpwstr>
  </property>
</Properties>
</file>