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E5B7">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2971800</wp:posOffset>
                </wp:positionV>
                <wp:extent cx="5636895" cy="22225"/>
                <wp:effectExtent l="0" t="10795" r="1905" b="24129"/>
                <wp:wrapNone/>
                <wp:docPr id="1" name="Line 9"/>
                <wp:cNvGraphicFramePr/>
                <a:graphic xmlns:a="http://schemas.openxmlformats.org/drawingml/2006/main">
                  <a:graphicData uri="http://schemas.microsoft.com/office/word/2010/wordprocessingShape">
                    <wps:wsp>
                      <wps:cNvCnPr/>
                      <wps:spPr>
                        <a:xfrm rot="21600000" flipV="1">
                          <a:off x="0" y="0"/>
                          <a:ext cx="5636895" cy="22225"/>
                        </a:xfrm>
                        <a:prstGeom prst="line">
                          <a:avLst/>
                        </a:prstGeom>
                        <a:noFill/>
                        <a:ln w="22225"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Line 9" o:spid="_x0000_s1026" o:spt="20" style="position:absolute;left:0pt;flip:y;margin-left:76.55pt;margin-top:234pt;height:1.75pt;width:443.85pt;mso-position-horizontal-relative:page;mso-position-vertical-relative:margin;z-index:251659264;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tWF9XaAAAADAEAAA8A&#10;AAAAAAAAAQAgAAAAIgAAAGRycy9kb3ducmV2LnhtbFBLAQIUABQAAAAIAIdO4kARJDdeFQIAADkE&#10;AAAOAAAAAAAAAAEAIAAAACkBAABkcnMvZTJvRG9jLnhtbFBLBQYAAAAABgAGAFkBAACw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26"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adj="10800">
            <v:path/>
            <v:fill on="t" focussize="0,0"/>
            <v:stroke on="f" color="#000000"/>
            <v:imagedata o:title=""/>
            <o:lock v:ext="edit"/>
            <v:textpath on="t" fitshape="t" fitpath="t" trim="t" xscale="f" string="重庆市黔江区发展和改革委员会文件" style="font-family:方正小标宋_GBK;font-size:36pt;font-weight:bold;v-text-align:center;"/>
          </v:shape>
        </w:pict>
      </w:r>
    </w:p>
    <w:p w14:paraId="5E62BB30">
      <w:pPr>
        <w:tabs>
          <w:tab w:val="left" w:pos="8181"/>
          <w:tab w:val="left" w:pos="8733"/>
        </w:tabs>
        <w:spacing w:line="580" w:lineRule="exact"/>
        <w:ind w:right="-193" w:rightChars="-92" w:firstLine="160" w:firstLineChars="50"/>
        <w:rPr>
          <w:rFonts w:hint="eastAsia" w:eastAsia="方正仿宋_GBK"/>
          <w:sz w:val="32"/>
          <w:szCs w:val="32"/>
        </w:rPr>
      </w:pPr>
    </w:p>
    <w:p w14:paraId="292F4BD8">
      <w:pPr>
        <w:tabs>
          <w:tab w:val="left" w:pos="8181"/>
          <w:tab w:val="left" w:pos="8733"/>
        </w:tabs>
        <w:spacing w:line="580" w:lineRule="exact"/>
        <w:ind w:right="-193" w:rightChars="-92" w:firstLine="160" w:firstLineChars="50"/>
        <w:rPr>
          <w:rFonts w:hint="eastAsia" w:eastAsia="方正仿宋_GBK"/>
          <w:sz w:val="32"/>
          <w:szCs w:val="32"/>
        </w:rPr>
      </w:pPr>
    </w:p>
    <w:p w14:paraId="5C563FC1">
      <w:pPr>
        <w:tabs>
          <w:tab w:val="left" w:pos="8181"/>
          <w:tab w:val="left" w:pos="8733"/>
        </w:tabs>
        <w:spacing w:line="580" w:lineRule="exact"/>
        <w:ind w:right="-193" w:rightChars="-92" w:firstLine="160" w:firstLineChars="50"/>
        <w:rPr>
          <w:rFonts w:hint="eastAsia" w:eastAsia="方正仿宋_GBK"/>
          <w:sz w:val="32"/>
          <w:szCs w:val="32"/>
        </w:rPr>
      </w:pPr>
    </w:p>
    <w:p w14:paraId="23AD2A9F">
      <w:pPr>
        <w:tabs>
          <w:tab w:val="left" w:pos="8181"/>
          <w:tab w:val="left" w:pos="8733"/>
        </w:tabs>
        <w:spacing w:line="580" w:lineRule="exact"/>
        <w:ind w:right="-193" w:rightChars="-92" w:firstLine="160" w:firstLineChars="50"/>
        <w:rPr>
          <w:rFonts w:hint="eastAsia" w:eastAsia="方正仿宋_GBK"/>
          <w:sz w:val="32"/>
          <w:szCs w:val="32"/>
        </w:rPr>
      </w:pPr>
    </w:p>
    <w:p w14:paraId="01775E74">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0DA98AAA">
      <w:pPr>
        <w:pStyle w:val="2"/>
        <w:rPr>
          <w:rFonts w:hint="eastAsia"/>
        </w:rPr>
      </w:pPr>
    </w:p>
    <w:p w14:paraId="06113B14">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lang w:val="en-US" w:eastAsia="zh-CN"/>
        </w:rPr>
        <w:t>26</w:t>
      </w:r>
      <w:r>
        <w:rPr>
          <w:rFonts w:eastAsia="方正仿宋_GBK"/>
          <w:sz w:val="32"/>
          <w:szCs w:val="32"/>
        </w:rPr>
        <w:t>〕</w:t>
      </w:r>
      <w:r>
        <w:rPr>
          <w:rFonts w:hint="eastAsia" w:eastAsia="方正仿宋_GBK"/>
          <w:sz w:val="32"/>
          <w:szCs w:val="32"/>
          <w:lang w:val="en-US" w:eastAsia="zh-CN"/>
        </w:rPr>
        <w:t>47</w:t>
      </w:r>
      <w:r>
        <w:rPr>
          <w:rFonts w:eastAsia="方正仿宋_GBK"/>
          <w:sz w:val="32"/>
          <w:szCs w:val="32"/>
        </w:rPr>
        <w:t>号</w:t>
      </w:r>
    </w:p>
    <w:p w14:paraId="62B6051C">
      <w:pPr>
        <w:spacing w:line="520" w:lineRule="exact"/>
        <w:rPr>
          <w:rFonts w:hint="eastAsia" w:eastAsia="方正仿宋_GBK"/>
          <w:sz w:val="32"/>
          <w:szCs w:val="32"/>
        </w:rPr>
      </w:pPr>
      <w:r>
        <w:rPr>
          <w:rFonts w:hint="eastAsia" w:eastAsia="方正仿宋_GBK"/>
          <w:sz w:val="32"/>
          <w:szCs w:val="32"/>
        </w:rPr>
        <w:t xml:space="preserve"> </w:t>
      </w:r>
    </w:p>
    <w:p w14:paraId="2E0D3C7B">
      <w:pPr>
        <w:spacing w:line="520" w:lineRule="exact"/>
        <w:rPr>
          <w:rFonts w:hint="eastAsia" w:eastAsia="方正仿宋_GBK"/>
          <w:sz w:val="32"/>
          <w:szCs w:val="32"/>
        </w:rPr>
      </w:pPr>
    </w:p>
    <w:p w14:paraId="095BF28B">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50594BA6">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关于黔江区舟白街道县坝社区、五台社区</w:t>
      </w:r>
    </w:p>
    <w:p w14:paraId="0419A4F2">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2026年特色旅居村沟渠整治以工代赈项目</w:t>
      </w:r>
    </w:p>
    <w:p w14:paraId="0E7AC13B">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可行性研究报告的批复</w:t>
      </w:r>
    </w:p>
    <w:p w14:paraId="71AF2F49">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Times New Roman" w:hAnsi="Times New Roman" w:eastAsia="方正仿宋_GBK" w:cs="Times New Roman"/>
          <w:sz w:val="32"/>
        </w:rPr>
      </w:pPr>
    </w:p>
    <w:p w14:paraId="3AB12056">
      <w:pPr>
        <w:keepNext w:val="0"/>
        <w:keepLines w:val="0"/>
        <w:pageBreakBefore w:val="0"/>
        <w:widowControl w:val="0"/>
        <w:kinsoku/>
        <w:wordWrap/>
        <w:overflowPunct/>
        <w:topLinePunct w:val="0"/>
        <w:autoSpaceDE/>
        <w:autoSpaceDN/>
        <w:bidi w:val="0"/>
        <w:adjustRightInd/>
        <w:snapToGrid/>
        <w:spacing w:line="575" w:lineRule="exact"/>
        <w:textAlignment w:val="auto"/>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舟白街道办事处</w:t>
      </w:r>
      <w:r>
        <w:rPr>
          <w:rFonts w:ascii="Times New Roman" w:hAnsi="Times New Roman" w:eastAsia="方正仿宋_GBK" w:cs="Times New Roman"/>
          <w:sz w:val="32"/>
          <w:szCs w:val="32"/>
          <w:lang w:eastAsia="zh-CN"/>
        </w:rPr>
        <w:t>：</w:t>
      </w:r>
    </w:p>
    <w:p w14:paraId="2FABAC91">
      <w:pPr>
        <w:keepNext w:val="0"/>
        <w:keepLines w:val="0"/>
        <w:pageBreakBefore w:val="0"/>
        <w:widowControl w:val="0"/>
        <w:kinsoku/>
        <w:wordWrap/>
        <w:overflowPunct/>
        <w:topLinePunct w:val="0"/>
        <w:autoSpaceDE/>
        <w:autoSpaceDN/>
        <w:bidi w:val="0"/>
        <w:adjustRightInd/>
        <w:snapToGrid/>
        <w:spacing w:line="575" w:lineRule="exact"/>
        <w:textAlignment w:val="auto"/>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    你</w:t>
      </w:r>
      <w:r>
        <w:rPr>
          <w:rFonts w:hint="eastAsia" w:ascii="Times New Roman" w:hAnsi="Times New Roman" w:eastAsia="方正仿宋_GBK" w:cs="Times New Roman"/>
          <w:sz w:val="32"/>
          <w:szCs w:val="32"/>
          <w:lang w:val="en-US" w:eastAsia="zh-CN"/>
        </w:rPr>
        <w:t>单位</w:t>
      </w:r>
      <w:r>
        <w:rPr>
          <w:rFonts w:ascii="Times New Roman" w:hAnsi="Times New Roman" w:eastAsia="方正仿宋_GBK" w:cs="Times New Roman"/>
          <w:sz w:val="32"/>
          <w:szCs w:val="32"/>
          <w:lang w:val="en-US" w:eastAsia="zh-CN"/>
        </w:rPr>
        <w:t>《关于</w:t>
      </w:r>
      <w:r>
        <w:rPr>
          <w:rFonts w:hint="eastAsia" w:ascii="Times New Roman" w:hAnsi="Times New Roman" w:eastAsia="方正仿宋_GBK" w:cs="Times New Roman"/>
          <w:sz w:val="32"/>
          <w:szCs w:val="32"/>
          <w:lang w:val="en-US" w:eastAsia="zh-CN"/>
        </w:rPr>
        <w:t>审批</w:t>
      </w:r>
      <w:r>
        <w:rPr>
          <w:rFonts w:ascii="Times New Roman" w:hAnsi="Times New Roman" w:eastAsia="方正仿宋_GBK" w:cs="Times New Roman"/>
          <w:sz w:val="32"/>
          <w:szCs w:val="32"/>
          <w:lang w:val="en-US" w:eastAsia="zh-CN"/>
        </w:rPr>
        <w:t>黔江区舟白街道县坝社区、五台社区2026年特色旅居村沟渠整治以工代赈项目可行性研究报告的函》（</w:t>
      </w:r>
      <w:r>
        <w:rPr>
          <w:rFonts w:hint="eastAsia" w:ascii="Times New Roman" w:hAnsi="Times New Roman" w:eastAsia="方正仿宋_GBK" w:cs="Times New Roman"/>
          <w:sz w:val="32"/>
          <w:szCs w:val="32"/>
          <w:lang w:val="en-US" w:eastAsia="zh-CN"/>
        </w:rPr>
        <w:t>舟白办事处</w:t>
      </w:r>
      <w:r>
        <w:rPr>
          <w:rFonts w:ascii="Times New Roman" w:hAnsi="Times New Roman" w:eastAsia="方正仿宋_GBK" w:cs="Times New Roman"/>
          <w:sz w:val="32"/>
          <w:szCs w:val="32"/>
          <w:lang w:val="en-US" w:eastAsia="zh-CN"/>
        </w:rPr>
        <w:t>函</w:t>
      </w:r>
      <w:r>
        <w:rPr>
          <w:rFonts w:eastAsia="方正仿宋_GBK"/>
          <w:sz w:val="32"/>
          <w:szCs w:val="32"/>
        </w:rPr>
        <w:t>〔20</w:t>
      </w:r>
      <w:r>
        <w:rPr>
          <w:rFonts w:hint="eastAsia" w:eastAsia="方正仿宋_GBK"/>
          <w:sz w:val="32"/>
          <w:szCs w:val="32"/>
          <w:lang w:val="en-US" w:eastAsia="zh-CN"/>
        </w:rPr>
        <w:t>26</w:t>
      </w:r>
      <w:r>
        <w:rPr>
          <w:rFonts w:eastAsia="方正仿宋_GBK"/>
          <w:sz w:val="32"/>
          <w:szCs w:val="32"/>
        </w:rPr>
        <w:t>〕</w:t>
      </w:r>
      <w:r>
        <w:rPr>
          <w:rFonts w:hint="eastAsia" w:ascii="Times New Roman" w:hAnsi="Times New Roman" w:eastAsia="方正仿宋_GBK" w:cs="Times New Roman"/>
          <w:sz w:val="32"/>
          <w:szCs w:val="32"/>
          <w:lang w:val="en-US" w:eastAsia="zh-CN"/>
        </w:rPr>
        <w:t>12</w:t>
      </w:r>
      <w:r>
        <w:rPr>
          <w:rFonts w:ascii="Times New Roman" w:hAnsi="Times New Roman" w:eastAsia="方正仿宋_GBK" w:cs="Times New Roman"/>
          <w:sz w:val="32"/>
          <w:szCs w:val="32"/>
          <w:lang w:val="en-US" w:eastAsia="zh-CN"/>
        </w:rPr>
        <w:t>号）收悉。经区政府投资项目前期工作服务中心评审，原则同意该项目可行性研究报告。现批复如下：</w:t>
      </w:r>
    </w:p>
    <w:p w14:paraId="7B20AEC8">
      <w:pPr>
        <w:keepNext w:val="0"/>
        <w:keepLines w:val="0"/>
        <w:pageBreakBefore w:val="0"/>
        <w:widowControl w:val="0"/>
        <w:kinsoku/>
        <w:wordWrap/>
        <w:overflowPunct/>
        <w:topLinePunct w:val="0"/>
        <w:autoSpaceDE/>
        <w:autoSpaceDN/>
        <w:bidi w:val="0"/>
        <w:adjustRightInd/>
        <w:snapToGrid/>
        <w:spacing w:line="575" w:lineRule="exact"/>
        <w:ind w:left="0" w:firstLine="640" w:firstLineChars="2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一、为</w:t>
      </w:r>
      <w:r>
        <w:rPr>
          <w:rFonts w:hint="eastAsia" w:ascii="Times New Roman" w:hAnsi="Times New Roman" w:eastAsia="方正仿宋_GBK" w:cs="Times New Roman"/>
          <w:color w:val="000000"/>
          <w:sz w:val="32"/>
          <w:szCs w:val="32"/>
          <w:lang w:val="en-US" w:eastAsia="zh-CN"/>
        </w:rPr>
        <w:t>提升舟白街道县坝社区和五台社区</w:t>
      </w:r>
      <w:r>
        <w:rPr>
          <w:rFonts w:ascii="Times New Roman" w:hAnsi="Times New Roman" w:eastAsia="方正仿宋_GBK" w:cs="Times New Roman"/>
          <w:sz w:val="32"/>
          <w:szCs w:val="32"/>
          <w:lang w:eastAsia="zh-CN"/>
        </w:rPr>
        <w:t>基础设施条件，增加农村劳动力务工收入，同意实施该项目。</w:t>
      </w:r>
    </w:p>
    <w:p w14:paraId="73DF008D">
      <w:pPr>
        <w:keepNext w:val="0"/>
        <w:keepLines w:val="0"/>
        <w:pageBreakBefore w:val="0"/>
        <w:widowControl w:val="0"/>
        <w:kinsoku/>
        <w:wordWrap/>
        <w:overflowPunct/>
        <w:topLinePunct w:val="0"/>
        <w:autoSpaceDE/>
        <w:autoSpaceDN/>
        <w:bidi w:val="0"/>
        <w:adjustRightInd/>
        <w:snapToGrid/>
        <w:spacing w:line="575" w:lineRule="exact"/>
        <w:ind w:left="0" w:firstLine="640" w:firstLineChars="2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二、项目代码：</w:t>
      </w:r>
      <w:r>
        <w:rPr>
          <w:rFonts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lang w:val="en-US" w:eastAsia="zh-CN"/>
        </w:rPr>
        <w:t>-500114-04-01-</w:t>
      </w:r>
      <w:r>
        <w:rPr>
          <w:rFonts w:hint="eastAsia" w:ascii="Times New Roman" w:hAnsi="Times New Roman" w:eastAsia="方正仿宋_GBK" w:cs="Times New Roman"/>
          <w:sz w:val="32"/>
          <w:szCs w:val="32"/>
          <w:lang w:val="en-US" w:eastAsia="zh-CN"/>
        </w:rPr>
        <w:t>712938</w:t>
      </w:r>
      <w:r>
        <w:rPr>
          <w:rFonts w:ascii="Times New Roman" w:hAnsi="Times New Roman" w:eastAsia="方正仿宋_GBK" w:cs="Times New Roman"/>
          <w:sz w:val="32"/>
          <w:szCs w:val="32"/>
          <w:lang w:eastAsia="zh-CN"/>
        </w:rPr>
        <w:t>。</w:t>
      </w:r>
    </w:p>
    <w:p w14:paraId="16A341C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三、项目法人：黔江区人民政府</w:t>
      </w:r>
      <w:r>
        <w:rPr>
          <w:rFonts w:hint="eastAsia" w:ascii="Times New Roman" w:hAnsi="Times New Roman" w:eastAsia="方正仿宋_GBK" w:cs="Times New Roman"/>
          <w:sz w:val="32"/>
          <w:szCs w:val="32"/>
          <w:lang w:eastAsia="zh-CN"/>
        </w:rPr>
        <w:t>舟白街道办事处</w:t>
      </w:r>
      <w:r>
        <w:rPr>
          <w:rFonts w:ascii="Times New Roman" w:hAnsi="Times New Roman" w:eastAsia="方正仿宋_GBK" w:cs="Times New Roman"/>
          <w:sz w:val="32"/>
          <w:szCs w:val="32"/>
          <w:lang w:eastAsia="zh-CN"/>
        </w:rPr>
        <w:t>。</w:t>
      </w:r>
    </w:p>
    <w:p w14:paraId="05B6CB6F">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四、项目建设地点：黔江区舟白街道县坝社区</w:t>
      </w:r>
      <w:r>
        <w:rPr>
          <w:rFonts w:hint="eastAsia" w:ascii="Times New Roman" w:hAnsi="Times New Roman" w:eastAsia="方正仿宋_GBK" w:cs="Times New Roman"/>
          <w:sz w:val="32"/>
          <w:szCs w:val="32"/>
          <w:lang w:eastAsia="zh-CN"/>
        </w:rPr>
        <w:t>和</w:t>
      </w:r>
      <w:r>
        <w:rPr>
          <w:rFonts w:ascii="Times New Roman" w:hAnsi="Times New Roman" w:eastAsia="方正仿宋_GBK" w:cs="Times New Roman"/>
          <w:sz w:val="32"/>
          <w:szCs w:val="32"/>
          <w:lang w:eastAsia="zh-CN"/>
        </w:rPr>
        <w:t>五台社区。</w:t>
      </w:r>
    </w:p>
    <w:p w14:paraId="4221979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五、建设规模、标准及主要建设内容：</w:t>
      </w:r>
      <w:r>
        <w:rPr>
          <w:rFonts w:hint="eastAsia" w:ascii="Times New Roman" w:hAnsi="Times New Roman" w:eastAsia="方正仿宋_GBK" w:cs="Times New Roman"/>
          <w:sz w:val="32"/>
          <w:szCs w:val="32"/>
          <w:lang w:eastAsia="zh-CN"/>
        </w:rPr>
        <w:t>整治</w:t>
      </w:r>
      <w:r>
        <w:rPr>
          <w:rFonts w:hint="eastAsia" w:ascii="Times New Roman" w:hAnsi="Times New Roman" w:eastAsia="方正仿宋_GBK" w:cs="Times New Roman"/>
          <w:sz w:val="32"/>
          <w:szCs w:val="32"/>
          <w:lang w:val="en-US" w:eastAsia="zh-CN"/>
        </w:rPr>
        <w:t>1米宽、1米深排灌</w:t>
      </w:r>
      <w:r>
        <w:rPr>
          <w:rFonts w:hint="eastAsia" w:ascii="Times New Roman" w:hAnsi="Times New Roman" w:eastAsia="方正仿宋_GBK" w:cs="Times New Roman"/>
          <w:sz w:val="32"/>
          <w:szCs w:val="32"/>
          <w:lang w:eastAsia="zh-CN"/>
        </w:rPr>
        <w:t>沟渠</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公里</w:t>
      </w:r>
      <w:r>
        <w:rPr>
          <w:rFonts w:ascii="Times New Roman" w:hAnsi="Times New Roman" w:eastAsia="方正仿宋_GBK" w:cs="Times New Roman"/>
          <w:sz w:val="32"/>
          <w:szCs w:val="32"/>
          <w:lang w:eastAsia="zh-CN"/>
        </w:rPr>
        <w:t>。</w:t>
      </w:r>
    </w:p>
    <w:p w14:paraId="41B89132">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六、投资估算及资金来源：工程估算总投资</w:t>
      </w:r>
      <w:r>
        <w:rPr>
          <w:rFonts w:hint="eastAsia" w:ascii="Times New Roman" w:hAnsi="Times New Roman" w:eastAsia="方正仿宋_GBK" w:cs="Times New Roman"/>
          <w:sz w:val="32"/>
          <w:szCs w:val="32"/>
          <w:lang w:val="en-US" w:eastAsia="zh-CN"/>
        </w:rPr>
        <w:t>305.09</w:t>
      </w:r>
      <w:r>
        <w:rPr>
          <w:rFonts w:ascii="Times New Roman" w:hAnsi="Times New Roman" w:eastAsia="方正仿宋_GBK" w:cs="Times New Roman"/>
          <w:sz w:val="32"/>
          <w:szCs w:val="32"/>
          <w:lang w:eastAsia="zh-CN"/>
        </w:rPr>
        <w:t>万元。其中：工程费用</w:t>
      </w:r>
      <w:r>
        <w:rPr>
          <w:rFonts w:hint="eastAsia" w:ascii="Times New Roman" w:hAnsi="Times New Roman" w:eastAsia="方正仿宋_GBK" w:cs="Times New Roman"/>
          <w:sz w:val="32"/>
          <w:szCs w:val="32"/>
          <w:lang w:val="en-US" w:eastAsia="zh-CN"/>
        </w:rPr>
        <w:t>280.98</w:t>
      </w:r>
      <w:r>
        <w:rPr>
          <w:rFonts w:ascii="Times New Roman" w:hAnsi="Times New Roman" w:eastAsia="方正仿宋_GBK" w:cs="Times New Roman"/>
          <w:sz w:val="32"/>
          <w:szCs w:val="32"/>
          <w:lang w:eastAsia="zh-CN"/>
        </w:rPr>
        <w:t>万元，工程建设其他</w:t>
      </w:r>
      <w:r>
        <w:rPr>
          <w:rFonts w:hint="eastAsia" w:ascii="Times New Roman" w:hAnsi="Times New Roman" w:eastAsia="方正仿宋_GBK" w:cs="Times New Roman"/>
          <w:sz w:val="32"/>
          <w:szCs w:val="32"/>
          <w:lang w:eastAsia="zh-CN"/>
        </w:rPr>
        <w:t>费</w:t>
      </w:r>
      <w:r>
        <w:rPr>
          <w:rFonts w:hint="eastAsia" w:ascii="Times New Roman" w:hAnsi="Times New Roman" w:eastAsia="方正仿宋_GBK" w:cs="Times New Roman"/>
          <w:sz w:val="32"/>
          <w:szCs w:val="32"/>
          <w:lang w:val="en-US" w:eastAsia="zh-CN"/>
        </w:rPr>
        <w:t>24.11</w:t>
      </w:r>
      <w:r>
        <w:rPr>
          <w:rFonts w:ascii="Times New Roman" w:hAnsi="Times New Roman" w:eastAsia="方正仿宋_GBK" w:cs="Times New Roman"/>
          <w:sz w:val="32"/>
          <w:szCs w:val="32"/>
          <w:lang w:eastAsia="zh-CN"/>
        </w:rPr>
        <w:t>万元。资金来源为</w:t>
      </w:r>
      <w:r>
        <w:rPr>
          <w:rFonts w:ascii="Times New Roman" w:hAnsi="Times New Roman" w:eastAsia="方正仿宋_GBK" w:cs="Times New Roman"/>
          <w:sz w:val="32"/>
          <w:szCs w:val="32"/>
          <w:lang w:val="en-US" w:eastAsia="zh-CN"/>
        </w:rPr>
        <w:t>2026年</w:t>
      </w:r>
      <w:r>
        <w:rPr>
          <w:rFonts w:eastAsia="方正仿宋_GBK"/>
          <w:sz w:val="32"/>
          <w:szCs w:val="32"/>
        </w:rPr>
        <w:t>中央财政常态化帮扶资金</w:t>
      </w:r>
      <w:r>
        <w:rPr>
          <w:rFonts w:hint="eastAsia" w:ascii="Times New Roman" w:hAnsi="Times New Roman" w:eastAsia="方正仿宋_GBK" w:cs="Times New Roman"/>
          <w:sz w:val="32"/>
          <w:szCs w:val="32"/>
          <w:lang w:val="en-US" w:eastAsia="zh-CN"/>
        </w:rPr>
        <w:t>280.00</w:t>
      </w:r>
      <w:r>
        <w:rPr>
          <w:rFonts w:ascii="Times New Roman" w:hAnsi="Times New Roman" w:eastAsia="方正仿宋_GBK" w:cs="Times New Roman"/>
          <w:sz w:val="32"/>
          <w:szCs w:val="32"/>
          <w:lang w:val="en-US" w:eastAsia="zh-CN"/>
        </w:rPr>
        <w:t>万元，地方财政性建设资金</w:t>
      </w:r>
      <w:r>
        <w:rPr>
          <w:rFonts w:hint="eastAsia" w:ascii="Times New Roman" w:hAnsi="Times New Roman" w:eastAsia="方正仿宋_GBK" w:cs="Times New Roman"/>
          <w:sz w:val="32"/>
          <w:szCs w:val="32"/>
          <w:lang w:val="en-US" w:eastAsia="zh-CN"/>
        </w:rPr>
        <w:t>25.09</w:t>
      </w:r>
      <w:r>
        <w:rPr>
          <w:rFonts w:ascii="Times New Roman" w:hAnsi="Times New Roman" w:eastAsia="方正仿宋_GBK" w:cs="Times New Roman"/>
          <w:sz w:val="32"/>
          <w:szCs w:val="32"/>
          <w:lang w:val="en-US" w:eastAsia="zh-CN"/>
        </w:rPr>
        <w:t>万元</w:t>
      </w:r>
      <w:r>
        <w:rPr>
          <w:rFonts w:ascii="Times New Roman" w:hAnsi="Times New Roman" w:eastAsia="方正仿宋_GBK" w:cs="Times New Roman"/>
          <w:sz w:val="32"/>
          <w:szCs w:val="32"/>
          <w:lang w:eastAsia="zh-CN"/>
        </w:rPr>
        <w:t>。</w:t>
      </w:r>
    </w:p>
    <w:p w14:paraId="3E9C5CE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color w:val="auto"/>
          <w:sz w:val="32"/>
          <w:szCs w:val="32"/>
          <w:highlight w:val="none"/>
          <w:lang w:eastAsia="zh-CN"/>
        </w:rPr>
      </w:pPr>
      <w:r>
        <w:rPr>
          <w:rFonts w:ascii="Times New Roman" w:hAnsi="Times New Roman" w:eastAsia="方正仿宋_GBK" w:cs="Times New Roman"/>
          <w:color w:val="auto"/>
          <w:sz w:val="32"/>
          <w:szCs w:val="32"/>
          <w:highlight w:val="none"/>
          <w:lang w:eastAsia="zh-CN"/>
        </w:rPr>
        <w:t>七、建设工期：</w:t>
      </w:r>
      <w:r>
        <w:rPr>
          <w:rFonts w:hint="eastAsia" w:ascii="Times New Roman" w:hAnsi="Times New Roman" w:eastAsia="方正仿宋_GBK" w:cs="Times New Roman"/>
          <w:color w:val="auto"/>
          <w:sz w:val="32"/>
          <w:szCs w:val="32"/>
          <w:highlight w:val="none"/>
          <w:lang w:val="en-US" w:eastAsia="zh-CN"/>
        </w:rPr>
        <w:t>10</w:t>
      </w:r>
      <w:r>
        <w:rPr>
          <w:rFonts w:ascii="Times New Roman" w:hAnsi="Times New Roman" w:eastAsia="方正仿宋_GBK" w:cs="Times New Roman"/>
          <w:color w:val="auto"/>
          <w:sz w:val="32"/>
          <w:szCs w:val="32"/>
          <w:highlight w:val="none"/>
          <w:lang w:val="en-US" w:eastAsia="zh-CN"/>
        </w:rPr>
        <w:t>个月</w:t>
      </w:r>
      <w:r>
        <w:rPr>
          <w:rFonts w:ascii="Times New Roman" w:hAnsi="Times New Roman" w:eastAsia="方正仿宋_GBK" w:cs="Times New Roman"/>
          <w:color w:val="auto"/>
          <w:sz w:val="32"/>
          <w:szCs w:val="32"/>
          <w:highlight w:val="none"/>
          <w:lang w:eastAsia="zh-CN"/>
        </w:rPr>
        <w:t>。</w:t>
      </w:r>
    </w:p>
    <w:p w14:paraId="61F367DE">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color w:val="auto"/>
          <w:sz w:val="32"/>
          <w:szCs w:val="32"/>
          <w:highlight w:val="none"/>
          <w:lang w:eastAsia="zh-CN"/>
        </w:rPr>
        <w:t>八、招标核准：本项目招</w:t>
      </w:r>
      <w:r>
        <w:rPr>
          <w:rFonts w:ascii="Times New Roman" w:hAnsi="Times New Roman" w:eastAsia="方正仿宋_GBK" w:cs="Times New Roman"/>
          <w:color w:val="auto"/>
          <w:sz w:val="32"/>
          <w:szCs w:val="32"/>
          <w:lang w:eastAsia="zh-CN"/>
        </w:rPr>
        <w:t>标范围、招标方式及招标组织形式按照《中华人民共和国招标投</w:t>
      </w:r>
      <w:r>
        <w:rPr>
          <w:rFonts w:ascii="Times New Roman" w:hAnsi="Times New Roman" w:eastAsia="方正仿宋_GBK" w:cs="Times New Roman"/>
          <w:sz w:val="32"/>
          <w:szCs w:val="32"/>
          <w:lang w:eastAsia="zh-CN"/>
        </w:rPr>
        <w:t>标法实施条例》、《重庆市黔江区政府投资管理实施办法》和以工代赈项目建设有关规定组织实施。</w:t>
      </w:r>
    </w:p>
    <w:p w14:paraId="30807CCB">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eastAsia="zh-CN"/>
        </w:rPr>
        <w:t>九、有关要求</w:t>
      </w:r>
      <w:r>
        <w:rPr>
          <w:rFonts w:hint="eastAsia" w:ascii="Times New Roman" w:hAnsi="Times New Roman" w:eastAsia="方正仿宋_GBK" w:cs="Times New Roman"/>
          <w:sz w:val="32"/>
          <w:szCs w:val="32"/>
          <w:lang w:val="en-US" w:eastAsia="zh-CN"/>
        </w:rPr>
        <w:t>：</w:t>
      </w:r>
    </w:p>
    <w:p w14:paraId="66F070C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一</w:t>
      </w:r>
      <w:r>
        <w:rPr>
          <w:rFonts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42687E8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ascii="Times New Roman" w:hAnsi="Times New Roman" w:eastAsia="方正仿宋_GBK" w:cs="Times New Roman"/>
          <w:sz w:val="32"/>
          <w:szCs w:val="32"/>
          <w:lang w:val="en-US" w:eastAsia="zh-CN"/>
        </w:rPr>
        <w:t>）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eastAsia" w:ascii="Times New Roman" w:hAnsi="Times New Roman" w:eastAsia="方正仿宋_GBK" w:cs="Times New Roman"/>
          <w:sz w:val="32"/>
          <w:szCs w:val="32"/>
          <w:lang w:val="en-US" w:eastAsia="zh-CN"/>
        </w:rPr>
        <w:t>113</w:t>
      </w:r>
      <w:r>
        <w:rPr>
          <w:rFonts w:ascii="Times New Roman" w:hAnsi="Times New Roman" w:eastAsia="方正仿宋_GBK" w:cs="Times New Roman"/>
          <w:sz w:val="32"/>
          <w:szCs w:val="32"/>
          <w:lang w:val="en-US" w:eastAsia="zh-CN"/>
        </w:rPr>
        <w:t>人，发放劳务报酬金额不得低于</w:t>
      </w:r>
      <w:r>
        <w:rPr>
          <w:rFonts w:hint="eastAsia" w:ascii="Times New Roman" w:hAnsi="Times New Roman" w:eastAsia="方正仿宋_GBK" w:cs="Times New Roman"/>
          <w:sz w:val="32"/>
          <w:szCs w:val="32"/>
          <w:lang w:val="en-US" w:eastAsia="zh-CN"/>
        </w:rPr>
        <w:t>129</w:t>
      </w:r>
      <w:r>
        <w:rPr>
          <w:rFonts w:ascii="Times New Roman" w:hAnsi="Times New Roman" w:eastAsia="方正仿宋_GBK" w:cs="Times New Roman"/>
          <w:sz w:val="32"/>
          <w:szCs w:val="32"/>
          <w:lang w:val="en-US" w:eastAsia="zh-CN"/>
        </w:rPr>
        <w:t>万元。</w:t>
      </w:r>
    </w:p>
    <w:p w14:paraId="268EEAF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ascii="Times New Roman" w:hAnsi="Times New Roman" w:eastAsia="方正仿宋_GBK" w:cs="Times New Roman"/>
          <w:sz w:val="32"/>
          <w:szCs w:val="32"/>
          <w:lang w:val="en-US" w:eastAsia="zh-CN"/>
        </w:rPr>
        <w:t>）进一步优化项目施工设计，</w:t>
      </w:r>
      <w:r>
        <w:rPr>
          <w:rFonts w:ascii="Times New Roman" w:hAnsi="Times New Roman" w:eastAsia="方正仿宋_GBK" w:cs="Times New Roman"/>
          <w:sz w:val="32"/>
          <w:szCs w:val="32"/>
        </w:rPr>
        <w:t>认真落实安全生产责任制</w:t>
      </w:r>
      <w:r>
        <w:rPr>
          <w:rFonts w:hint="eastAsia" w:eastAsia="方正仿宋_GBK" w:cs="Times New Roman"/>
          <w:sz w:val="32"/>
          <w:szCs w:val="32"/>
          <w:lang w:eastAsia="zh-CN"/>
        </w:rPr>
        <w:t>，</w:t>
      </w:r>
      <w:bookmarkStart w:id="0" w:name="_GoBack"/>
      <w:bookmarkEnd w:id="0"/>
      <w:r>
        <w:rPr>
          <w:rFonts w:ascii="Times New Roman" w:hAnsi="Times New Roman" w:eastAsia="方正仿宋_GBK" w:cs="Times New Roman"/>
          <w:sz w:val="32"/>
          <w:szCs w:val="32"/>
        </w:rPr>
        <w:t>强化项目资金管理，切实控制投资，严控工程质量，加快推进项目实施，确保早日</w:t>
      </w:r>
      <w:r>
        <w:rPr>
          <w:rFonts w:ascii="Times New Roman" w:hAnsi="Times New Roman" w:eastAsia="方正仿宋_GBK" w:cs="Times New Roman"/>
          <w:sz w:val="32"/>
          <w:szCs w:val="32"/>
          <w:lang w:eastAsia="zh-CN"/>
        </w:rPr>
        <w:t>建成</w:t>
      </w:r>
      <w:r>
        <w:rPr>
          <w:rFonts w:ascii="Times New Roman" w:hAnsi="Times New Roman" w:eastAsia="方正仿宋_GBK" w:cs="Times New Roman"/>
          <w:sz w:val="32"/>
          <w:szCs w:val="32"/>
        </w:rPr>
        <w:t>投用。</w:t>
      </w:r>
    </w:p>
    <w:p w14:paraId="11FDA906">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ascii="Times New Roman" w:hAnsi="Times New Roman" w:eastAsia="方正仿宋_GBK" w:cs="Times New Roman"/>
          <w:sz w:val="32"/>
          <w:szCs w:val="32"/>
          <w:lang w:eastAsia="zh-CN"/>
        </w:rPr>
      </w:pPr>
    </w:p>
    <w:p w14:paraId="6035B39C">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附件：黔江区舟白街道县坝社区、五台社区2026年特色旅居村沟渠整治以工代赈项目投资估算表</w:t>
      </w:r>
    </w:p>
    <w:p w14:paraId="43B18F8B">
      <w:pPr>
        <w:keepNext w:val="0"/>
        <w:keepLines w:val="0"/>
        <w:pageBreakBefore w:val="0"/>
        <w:widowControl w:val="0"/>
        <w:kinsoku/>
        <w:wordWrap/>
        <w:overflowPunct/>
        <w:topLinePunct w:val="0"/>
        <w:autoSpaceDE/>
        <w:autoSpaceDN/>
        <w:bidi w:val="0"/>
        <w:adjustRightInd/>
        <w:snapToGrid/>
        <w:spacing w:line="575" w:lineRule="exact"/>
        <w:textAlignment w:val="auto"/>
        <w:rPr>
          <w:rFonts w:ascii="Times New Roman" w:hAnsi="Times New Roman" w:eastAsia="方正仿宋_GBK" w:cs="Times New Roman"/>
          <w:sz w:val="32"/>
          <w:szCs w:val="32"/>
          <w:lang w:eastAsia="zh-CN"/>
        </w:rPr>
      </w:pPr>
    </w:p>
    <w:p w14:paraId="48A08EA5">
      <w:pPr>
        <w:keepNext w:val="0"/>
        <w:keepLines w:val="0"/>
        <w:pageBreakBefore w:val="0"/>
        <w:widowControl w:val="0"/>
        <w:kinsoku/>
        <w:wordWrap/>
        <w:overflowPunct/>
        <w:topLinePunct w:val="0"/>
        <w:autoSpaceDE/>
        <w:autoSpaceDN/>
        <w:bidi w:val="0"/>
        <w:adjustRightInd/>
        <w:snapToGrid/>
        <w:spacing w:line="575" w:lineRule="exact"/>
        <w:textAlignment w:val="auto"/>
        <w:rPr>
          <w:rFonts w:ascii="Times New Roman" w:hAnsi="Times New Roman" w:eastAsia="方正仿宋_GBK" w:cs="Times New Roman"/>
          <w:sz w:val="32"/>
          <w:szCs w:val="32"/>
          <w:lang w:eastAsia="zh-CN"/>
        </w:rPr>
      </w:pPr>
    </w:p>
    <w:p w14:paraId="1248EA6E">
      <w:pPr>
        <w:keepNext w:val="0"/>
        <w:keepLines w:val="0"/>
        <w:pageBreakBefore w:val="0"/>
        <w:widowControl w:val="0"/>
        <w:kinsoku/>
        <w:wordWrap/>
        <w:overflowPunct/>
        <w:topLinePunct w:val="0"/>
        <w:autoSpaceDE/>
        <w:autoSpaceDN/>
        <w:bidi w:val="0"/>
        <w:adjustRightInd/>
        <w:snapToGrid/>
        <w:spacing w:line="575" w:lineRule="exact"/>
        <w:ind w:firstLine="4160" w:firstLineChars="1300"/>
        <w:textAlignment w:val="auto"/>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重庆市黔江区发展和改革委员会</w:t>
      </w:r>
    </w:p>
    <w:p w14:paraId="7820E60B">
      <w:pPr>
        <w:keepNext w:val="0"/>
        <w:keepLines w:val="0"/>
        <w:pageBreakBefore w:val="0"/>
        <w:widowControl w:val="0"/>
        <w:kinsoku/>
        <w:wordWrap/>
        <w:overflowPunct/>
        <w:topLinePunct w:val="0"/>
        <w:autoSpaceDE/>
        <w:autoSpaceDN/>
        <w:bidi w:val="0"/>
        <w:adjustRightInd/>
        <w:snapToGrid/>
        <w:spacing w:line="575" w:lineRule="exact"/>
        <w:textAlignment w:val="auto"/>
        <w:rPr>
          <w:rFonts w:ascii="Times New Roman" w:hAnsi="Times New Roman" w:eastAsia="方正仿宋_GBK" w:cs="Times New Roman"/>
          <w:sz w:val="28"/>
          <w:szCs w:val="28"/>
        </w:rPr>
      </w:pPr>
      <w:r>
        <w:rPr>
          <w:rFonts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lang w:eastAsia="zh-CN"/>
        </w:rPr>
        <w:t xml:space="preserve">  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26</w:t>
      </w:r>
      <w:r>
        <w:rPr>
          <w:rFonts w:ascii="Times New Roman" w:hAnsi="Times New Roman" w:eastAsia="方正仿宋_GBK" w:cs="Times New Roman"/>
          <w:sz w:val="32"/>
          <w:szCs w:val="32"/>
          <w:lang w:eastAsia="zh-CN"/>
        </w:rPr>
        <w:t>日</w:t>
      </w:r>
    </w:p>
    <w:p w14:paraId="7824F5B9">
      <w:pPr>
        <w:pStyle w:val="8"/>
        <w:spacing w:line="500" w:lineRule="exact"/>
        <w:rPr>
          <w:rFonts w:ascii="Times New Roman" w:hAnsi="Times New Roman" w:eastAsia="方正仿宋_GBK" w:cs="Times New Roman"/>
          <w:sz w:val="28"/>
          <w:szCs w:val="28"/>
        </w:rPr>
      </w:pPr>
    </w:p>
    <w:p w14:paraId="4D53294B">
      <w:pPr>
        <w:pStyle w:val="8"/>
        <w:spacing w:line="500" w:lineRule="exact"/>
        <w:rPr>
          <w:rFonts w:ascii="Times New Roman" w:hAnsi="Times New Roman" w:eastAsia="方正仿宋_GBK" w:cs="Times New Roman"/>
          <w:sz w:val="28"/>
          <w:szCs w:val="28"/>
        </w:rPr>
      </w:pPr>
    </w:p>
    <w:p w14:paraId="4D175D5C">
      <w:pPr>
        <w:pStyle w:val="8"/>
        <w:spacing w:line="500" w:lineRule="exact"/>
        <w:rPr>
          <w:rFonts w:ascii="Times New Roman" w:hAnsi="Times New Roman" w:eastAsia="方正仿宋_GBK" w:cs="Times New Roman"/>
          <w:sz w:val="28"/>
          <w:szCs w:val="28"/>
        </w:rPr>
      </w:pPr>
    </w:p>
    <w:p w14:paraId="0E809541">
      <w:pPr>
        <w:pStyle w:val="8"/>
        <w:spacing w:line="500" w:lineRule="exact"/>
        <w:rPr>
          <w:rFonts w:ascii="Times New Roman" w:hAnsi="Times New Roman" w:eastAsia="方正仿宋_GBK" w:cs="Times New Roman"/>
          <w:sz w:val="28"/>
          <w:szCs w:val="28"/>
        </w:rPr>
      </w:pPr>
    </w:p>
    <w:p w14:paraId="2B4A4F48">
      <w:pPr>
        <w:pStyle w:val="8"/>
        <w:spacing w:line="500" w:lineRule="exact"/>
        <w:rPr>
          <w:rFonts w:ascii="Times New Roman" w:hAnsi="Times New Roman" w:eastAsia="方正仿宋_GBK" w:cs="Times New Roman"/>
          <w:sz w:val="28"/>
          <w:szCs w:val="28"/>
        </w:rPr>
      </w:pPr>
    </w:p>
    <w:p w14:paraId="419D6265">
      <w:pPr>
        <w:pStyle w:val="8"/>
        <w:spacing w:line="500" w:lineRule="exact"/>
        <w:rPr>
          <w:rFonts w:ascii="Times New Roman" w:hAnsi="Times New Roman" w:eastAsia="方正仿宋_GBK" w:cs="Times New Roman"/>
          <w:sz w:val="28"/>
          <w:szCs w:val="28"/>
        </w:rPr>
      </w:pPr>
    </w:p>
    <w:p w14:paraId="3085ABAD">
      <w:pPr>
        <w:pStyle w:val="8"/>
        <w:spacing w:line="500" w:lineRule="exact"/>
        <w:rPr>
          <w:rFonts w:ascii="Times New Roman" w:hAnsi="Times New Roman" w:eastAsia="方正仿宋_GBK" w:cs="Times New Roman"/>
          <w:sz w:val="28"/>
          <w:szCs w:val="28"/>
        </w:rPr>
      </w:pPr>
    </w:p>
    <w:p w14:paraId="4FF8DD68">
      <w:pPr>
        <w:pStyle w:val="8"/>
        <w:spacing w:line="500" w:lineRule="exact"/>
        <w:rPr>
          <w:rFonts w:ascii="Times New Roman" w:hAnsi="Times New Roman" w:eastAsia="方正仿宋_GBK" w:cs="Times New Roman"/>
          <w:sz w:val="28"/>
          <w:szCs w:val="28"/>
        </w:rPr>
      </w:pPr>
    </w:p>
    <w:p w14:paraId="395D0D04">
      <w:pPr>
        <w:pStyle w:val="8"/>
        <w:spacing w:line="500" w:lineRule="exact"/>
        <w:rPr>
          <w:rFonts w:ascii="Times New Roman" w:hAnsi="Times New Roman" w:eastAsia="方正仿宋_GBK" w:cs="Times New Roman"/>
          <w:sz w:val="28"/>
          <w:szCs w:val="28"/>
        </w:rPr>
      </w:pPr>
    </w:p>
    <w:p w14:paraId="459DFF05">
      <w:pPr>
        <w:pStyle w:val="8"/>
        <w:spacing w:line="500" w:lineRule="exact"/>
        <w:rPr>
          <w:rFonts w:ascii="Times New Roman" w:hAnsi="Times New Roman" w:eastAsia="方正仿宋_GBK" w:cs="Times New Roman"/>
          <w:sz w:val="28"/>
          <w:szCs w:val="28"/>
        </w:rPr>
      </w:pPr>
    </w:p>
    <w:p w14:paraId="4EC18E9A">
      <w:pPr>
        <w:pStyle w:val="8"/>
        <w:spacing w:line="500" w:lineRule="exact"/>
        <w:rPr>
          <w:rFonts w:ascii="Times New Roman" w:hAnsi="Times New Roman" w:eastAsia="方正仿宋_GBK" w:cs="Times New Roman"/>
          <w:sz w:val="28"/>
          <w:szCs w:val="28"/>
        </w:rPr>
      </w:pPr>
    </w:p>
    <w:p w14:paraId="02A6D6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22869844">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lang w:eastAsia="zh-CN"/>
        </w:rPr>
      </w:pPr>
    </w:p>
    <w:p w14:paraId="6E086BA1">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ascii="Times New Roman" w:hAnsi="Times New Roman" w:eastAsia="方正仿宋_GBK" w:cs="Times New Roman"/>
          <w:sz w:val="28"/>
          <w:szCs w:val="28"/>
        </w:rPr>
      </w:pPr>
      <w:r>
        <w:rPr>
          <w:rFonts w:hint="eastAsia" w:ascii="方正小标宋_GBK" w:hAnsi="方正小标宋_GBK" w:eastAsia="方正小标宋_GBK" w:cs="方正小标宋_GBK"/>
          <w:sz w:val="36"/>
          <w:szCs w:val="36"/>
          <w:lang w:eastAsia="zh-CN"/>
        </w:rPr>
        <w:t>黔江区舟白街道县坝社区、五台社区2026年特色旅居村沟渠整治以工代赈项目投资估算表</w:t>
      </w:r>
    </w:p>
    <w:p w14:paraId="27CD2D40">
      <w:pPr>
        <w:pStyle w:val="8"/>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8"/>
          <w:szCs w:val="28"/>
        </w:rPr>
      </w:pPr>
    </w:p>
    <w:tbl>
      <w:tblPr>
        <w:tblStyle w:val="1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870"/>
        <w:gridCol w:w="1995"/>
        <w:gridCol w:w="2205"/>
      </w:tblGrid>
      <w:tr w14:paraId="7B32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BA60">
            <w:pPr>
              <w:keepNext w:val="0"/>
              <w:keepLines w:val="0"/>
              <w:widowControl/>
              <w:suppressLineNumbers w:val="0"/>
              <w:jc w:val="center"/>
              <w:textAlignment w:val="center"/>
              <w:rPr>
                <w:rFonts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rPr>
              <w:t>序</w:t>
            </w:r>
            <w:r>
              <w:rPr>
                <w:rStyle w:val="25"/>
                <w:rFonts w:eastAsia="宋体"/>
                <w:lang w:val="en-US" w:eastAsia="zh-CN"/>
              </w:rPr>
              <w:t xml:space="preserve"> </w:t>
            </w:r>
            <w:r>
              <w:rPr>
                <w:rFonts w:ascii="方正黑体_GBK" w:hAnsi="方正黑体_GBK" w:eastAsia="方正黑体_GBK" w:cs="方正黑体_GBK"/>
                <w:i w:val="0"/>
                <w:iCs w:val="0"/>
                <w:color w:val="000000"/>
                <w:kern w:val="0"/>
                <w:sz w:val="28"/>
                <w:szCs w:val="28"/>
                <w:u w:val="none"/>
                <w:lang w:val="en-US" w:eastAsia="zh-CN"/>
              </w:rPr>
              <w:t>号</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01B">
            <w:pPr>
              <w:keepNext w:val="0"/>
              <w:keepLines w:val="0"/>
              <w:widowControl/>
              <w:suppressLineNumbers w:val="0"/>
              <w:jc w:val="center"/>
              <w:textAlignment w:val="center"/>
              <w:rPr>
                <w:rFonts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rPr>
              <w:t>工程或费用名称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046">
            <w:pPr>
              <w:keepNext w:val="0"/>
              <w:keepLines w:val="0"/>
              <w:widowControl/>
              <w:suppressLineNumbers w:val="0"/>
              <w:jc w:val="left"/>
              <w:textAlignment w:val="center"/>
              <w:rPr>
                <w:rFonts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rPr>
              <w:t>金额（万元）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1D4">
            <w:pPr>
              <w:keepNext w:val="0"/>
              <w:keepLines w:val="0"/>
              <w:widowControl/>
              <w:suppressLineNumbers w:val="0"/>
              <w:jc w:val="center"/>
              <w:textAlignment w:val="center"/>
              <w:rPr>
                <w:rFonts w:ascii="Times New Roman" w:hAnsi="Times New Roman" w:eastAsia="宋体" w:cs="Times New Roman"/>
                <w:i w:val="0"/>
                <w:iCs w:val="0"/>
                <w:color w:val="000000"/>
                <w:sz w:val="28"/>
                <w:szCs w:val="28"/>
                <w:u w:val="none"/>
              </w:rPr>
            </w:pPr>
            <w:r>
              <w:rPr>
                <w:rFonts w:ascii="方正黑体_GBK" w:hAnsi="方正黑体_GBK" w:eastAsia="方正黑体_GBK" w:cs="方正黑体_GBK"/>
                <w:i w:val="0"/>
                <w:iCs w:val="0"/>
                <w:color w:val="000000"/>
                <w:kern w:val="0"/>
                <w:sz w:val="28"/>
                <w:szCs w:val="28"/>
                <w:u w:val="none"/>
                <w:lang w:val="en-US" w:eastAsia="zh-CN"/>
              </w:rPr>
              <w:t>备注</w:t>
            </w:r>
          </w:p>
        </w:tc>
      </w:tr>
      <w:tr w14:paraId="4A05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5237">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Style w:val="26"/>
                <w:lang w:val="en-US" w:eastAsia="zh-CN"/>
              </w:rPr>
              <w:t>一</w:t>
            </w:r>
          </w:p>
        </w:tc>
        <w:tc>
          <w:tcPr>
            <w:tcW w:w="3870" w:type="dxa"/>
            <w:tcBorders>
              <w:top w:val="single" w:color="000000" w:sz="4" w:space="0"/>
              <w:left w:val="single" w:color="000000" w:sz="4" w:space="0"/>
              <w:bottom w:val="single" w:color="000000" w:sz="4" w:space="0"/>
              <w:right w:val="nil"/>
            </w:tcBorders>
            <w:shd w:val="clear" w:color="auto" w:fill="auto"/>
            <w:vAlign w:val="center"/>
          </w:tcPr>
          <w:p w14:paraId="63CAA0DB">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Style w:val="26"/>
                <w:lang w:val="en-US" w:eastAsia="zh-CN"/>
              </w:rPr>
              <w:t>工程费用</w:t>
            </w:r>
          </w:p>
        </w:tc>
        <w:tc>
          <w:tcPr>
            <w:tcBorders>
              <w:top w:val="single" w:color="000000" w:sz="4" w:space="0"/>
              <w:left w:val="single" w:color="000000" w:sz="4" w:space="0"/>
              <w:bottom w:val="single" w:color="000000" w:sz="4" w:space="0"/>
              <w:right w:val="nil"/>
            </w:tcBorders>
            <w:shd w:val="clear" w:color="auto" w:fill="auto"/>
            <w:noWrap/>
            <w:vAlign w:val="center"/>
          </w:tcPr>
          <w:p w14:paraId="03B932B7">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Fonts w:ascii="Times New Roman" w:hAnsi="Times New Roman" w:eastAsia="宋体" w:cs="Times New Roman"/>
                <w:b/>
                <w:bCs/>
                <w:i w:val="0"/>
                <w:iCs w:val="0"/>
                <w:color w:val="000000"/>
                <w:kern w:val="0"/>
                <w:sz w:val="24"/>
                <w:szCs w:val="24"/>
                <w:u w:val="none"/>
                <w:lang w:val="en-US" w:eastAsia="zh-CN"/>
              </w:rPr>
              <w:t xml:space="preserve">280.98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7AD9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 xml:space="preserve">  </w:t>
            </w:r>
            <w:r>
              <w:rPr>
                <w:rStyle w:val="27"/>
                <w:lang w:val="en-US" w:eastAsia="zh-CN"/>
              </w:rPr>
              <w:t>项目实施过程中最大限度吸纳当地返乡农民工、家庭经济困难高校毕业生、退伍军人、脱贫人口、防止返贫监测对象和其他农村低收入家庭劳动力参与工程建设，项目累计用工人数不得少于</w:t>
            </w:r>
            <w:r>
              <w:rPr>
                <w:rFonts w:ascii="Times New Roman" w:hAnsi="Times New Roman" w:eastAsia="宋体" w:cs="Times New Roman"/>
                <w:i w:val="0"/>
                <w:iCs w:val="0"/>
                <w:color w:val="000000"/>
                <w:kern w:val="0"/>
                <w:sz w:val="24"/>
                <w:szCs w:val="24"/>
                <w:u w:val="none"/>
                <w:lang w:val="en-US" w:eastAsia="zh-CN"/>
              </w:rPr>
              <w:t>113</w:t>
            </w:r>
            <w:r>
              <w:rPr>
                <w:rStyle w:val="27"/>
                <w:lang w:val="en-US" w:eastAsia="zh-CN"/>
              </w:rPr>
              <w:t>人，发放劳务报酬金额不得低于</w:t>
            </w:r>
            <w:r>
              <w:rPr>
                <w:rFonts w:ascii="Times New Roman" w:hAnsi="Times New Roman" w:eastAsia="宋体" w:cs="Times New Roman"/>
                <w:i w:val="0"/>
                <w:iCs w:val="0"/>
                <w:color w:val="000000"/>
                <w:kern w:val="0"/>
                <w:sz w:val="24"/>
                <w:szCs w:val="24"/>
                <w:u w:val="none"/>
                <w:lang w:val="en-US" w:eastAsia="zh-CN"/>
              </w:rPr>
              <w:t>129</w:t>
            </w:r>
            <w:r>
              <w:rPr>
                <w:rStyle w:val="27"/>
                <w:lang w:val="en-US" w:eastAsia="zh-CN"/>
              </w:rPr>
              <w:t>万元</w:t>
            </w:r>
          </w:p>
        </w:tc>
      </w:tr>
      <w:tr w14:paraId="1C7A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5E3C">
            <w:pPr>
              <w:keepNext w:val="0"/>
              <w:keepLines w:val="0"/>
              <w:widowControl/>
              <w:suppressLineNumbers w:val="0"/>
              <w:jc w:val="center"/>
              <w:textAlignment w:val="center"/>
              <w:rPr>
                <w:rFonts w:ascii="Times New Roman" w:hAnsi="Times New Roman" w:eastAsia="宋体" w:cs="Times New Roman"/>
                <w:i w:val="0"/>
                <w:iCs w:val="0"/>
                <w:color w:val="000000"/>
                <w:sz w:val="22"/>
                <w:szCs w:val="22"/>
                <w:u w:val="none"/>
              </w:rPr>
            </w:pPr>
            <w:r>
              <w:rPr>
                <w:rFonts w:ascii="Times New Roman" w:hAnsi="Times New Roman" w:eastAsia="宋体" w:cs="Times New Roman"/>
                <w:i w:val="0"/>
                <w:iCs w:val="0"/>
                <w:color w:val="000000"/>
                <w:kern w:val="0"/>
                <w:sz w:val="22"/>
                <w:szCs w:val="22"/>
                <w:u w:val="none"/>
                <w:lang w:val="en-US" w:eastAsia="zh-CN"/>
              </w:rPr>
              <w:t>1</w:t>
            </w:r>
          </w:p>
        </w:tc>
        <w:tc>
          <w:tcPr>
            <w:tcW w:w="3870" w:type="dxa"/>
            <w:tcBorders>
              <w:top w:val="single" w:color="000000" w:sz="4" w:space="0"/>
              <w:left w:val="single" w:color="000000" w:sz="4" w:space="0"/>
              <w:bottom w:val="single" w:color="000000" w:sz="4" w:space="0"/>
              <w:right w:val="nil"/>
            </w:tcBorders>
            <w:shd w:val="clear" w:color="FFFFFF" w:fill="FFFFFF"/>
            <w:vAlign w:val="center"/>
          </w:tcPr>
          <w:p w14:paraId="0CF5A805">
            <w:pPr>
              <w:keepNext w:val="0"/>
              <w:keepLines w:val="0"/>
              <w:widowControl/>
              <w:suppressLineNumbers w:val="0"/>
              <w:jc w:val="left"/>
              <w:textAlignment w:val="center"/>
              <w:rPr>
                <w:rFonts w:ascii="Times New Roman" w:hAnsi="Times New Roman" w:eastAsia="宋体" w:cs="Times New Roman"/>
                <w:i w:val="0"/>
                <w:iCs w:val="0"/>
                <w:color w:val="000000"/>
                <w:sz w:val="24"/>
                <w:szCs w:val="24"/>
                <w:u w:val="none"/>
              </w:rPr>
            </w:pPr>
            <w:r>
              <w:rPr>
                <w:rStyle w:val="28"/>
                <w:lang w:val="en-US" w:eastAsia="zh-CN"/>
              </w:rPr>
              <w:t>黔江区舟白街道县坝社区、五台社区</w:t>
            </w:r>
            <w:r>
              <w:rPr>
                <w:rStyle w:val="29"/>
                <w:rFonts w:eastAsia="宋体"/>
                <w:lang w:val="en-US" w:eastAsia="zh-CN"/>
              </w:rPr>
              <w:t>2026</w:t>
            </w:r>
            <w:r>
              <w:rPr>
                <w:rStyle w:val="28"/>
                <w:lang w:val="en-US" w:eastAsia="zh-CN"/>
              </w:rPr>
              <w:t>年特色旅居村沟渠整治以工代赈项目</w:t>
            </w:r>
          </w:p>
        </w:tc>
        <w:tc>
          <w:tcPr>
            <w:tcBorders>
              <w:top w:val="single" w:color="000000" w:sz="4" w:space="0"/>
              <w:left w:val="single" w:color="000000" w:sz="4" w:space="0"/>
              <w:bottom w:val="single" w:color="000000" w:sz="4" w:space="0"/>
              <w:right w:val="nil"/>
            </w:tcBorders>
            <w:shd w:val="clear" w:color="auto" w:fill="auto"/>
            <w:noWrap/>
            <w:vAlign w:val="center"/>
          </w:tcPr>
          <w:p w14:paraId="141A6F5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 xml:space="preserve">280.98 </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CF74"/>
        </w:tc>
      </w:tr>
      <w:tr w14:paraId="71BE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0" w:type="dxa"/>
            <w:tcBorders>
              <w:top w:val="nil"/>
              <w:left w:val="single" w:color="000000" w:sz="4" w:space="0"/>
              <w:bottom w:val="single" w:color="000000" w:sz="4" w:space="0"/>
              <w:right w:val="single" w:color="000000" w:sz="4" w:space="0"/>
            </w:tcBorders>
            <w:shd w:val="clear" w:color="auto" w:fill="auto"/>
            <w:vAlign w:val="center"/>
          </w:tcPr>
          <w:p w14:paraId="02A5AA0D">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Style w:val="26"/>
                <w:lang w:val="en-US" w:eastAsia="zh-CN"/>
              </w:rPr>
              <w:t>二</w:t>
            </w:r>
          </w:p>
        </w:tc>
        <w:tc>
          <w:tcPr>
            <w:tcW w:w="3870" w:type="dxa"/>
            <w:tcBorders>
              <w:top w:val="nil"/>
              <w:left w:val="single" w:color="000000" w:sz="4" w:space="0"/>
              <w:bottom w:val="single" w:color="000000" w:sz="4" w:space="0"/>
              <w:right w:val="single" w:color="000000" w:sz="4" w:space="0"/>
            </w:tcBorders>
            <w:shd w:val="clear" w:color="auto" w:fill="auto"/>
            <w:vAlign w:val="center"/>
          </w:tcPr>
          <w:p w14:paraId="586C7968">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Style w:val="26"/>
                <w:lang w:val="en-US" w:eastAsia="zh-CN"/>
              </w:rPr>
              <w:t>工程建设其他费</w:t>
            </w:r>
          </w:p>
        </w:tc>
        <w:tc>
          <w:tcPr>
            <w:tcBorders>
              <w:top w:val="single" w:color="000000" w:sz="4" w:space="0"/>
              <w:left w:val="single" w:color="000000" w:sz="4" w:space="0"/>
              <w:bottom w:val="single" w:color="000000" w:sz="4" w:space="0"/>
              <w:right w:val="nil"/>
            </w:tcBorders>
            <w:shd w:val="clear" w:color="auto" w:fill="auto"/>
            <w:noWrap/>
            <w:vAlign w:val="center"/>
          </w:tcPr>
          <w:p w14:paraId="61364E55">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Fonts w:ascii="Times New Roman" w:hAnsi="Times New Roman" w:eastAsia="宋体" w:cs="Times New Roman"/>
                <w:b/>
                <w:bCs/>
                <w:i w:val="0"/>
                <w:iCs w:val="0"/>
                <w:color w:val="000000"/>
                <w:kern w:val="0"/>
                <w:sz w:val="24"/>
                <w:szCs w:val="24"/>
                <w:u w:val="none"/>
                <w:lang w:val="en-US" w:eastAsia="zh-CN"/>
              </w:rPr>
              <w:t xml:space="preserve">24.11 </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F86A"/>
        </w:tc>
      </w:tr>
      <w:tr w14:paraId="28A3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0" w:type="dxa"/>
            <w:tcBorders>
              <w:top w:val="nil"/>
              <w:left w:val="single" w:color="000000" w:sz="4" w:space="0"/>
              <w:bottom w:val="single" w:color="000000" w:sz="4" w:space="0"/>
              <w:right w:val="nil"/>
            </w:tcBorders>
            <w:shd w:val="clear" w:color="auto" w:fill="auto"/>
            <w:vAlign w:val="center"/>
          </w:tcPr>
          <w:p w14:paraId="2785FBF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w:t>
            </w:r>
          </w:p>
        </w:tc>
        <w:tc>
          <w:tcPr>
            <w:tcW w:w="3870" w:type="dxa"/>
            <w:tcBorders>
              <w:top w:val="single" w:color="000000" w:sz="4" w:space="0"/>
              <w:left w:val="single" w:color="000000" w:sz="4" w:space="0"/>
              <w:bottom w:val="single" w:color="000000" w:sz="4" w:space="0"/>
              <w:right w:val="nil"/>
            </w:tcBorders>
            <w:shd w:val="clear" w:color="FFFFFF" w:fill="FFFFFF"/>
            <w:vAlign w:val="center"/>
          </w:tcPr>
          <w:p w14:paraId="547C34F2">
            <w:pPr>
              <w:keepNext w:val="0"/>
              <w:keepLines w:val="0"/>
              <w:widowControl/>
              <w:suppressLineNumbers w:val="0"/>
              <w:jc w:val="left"/>
              <w:textAlignment w:val="center"/>
              <w:rPr>
                <w:rFonts w:ascii="Times New Roman" w:hAnsi="Times New Roman" w:eastAsia="宋体" w:cs="Times New Roman"/>
                <w:i w:val="0"/>
                <w:iCs w:val="0"/>
                <w:color w:val="000000"/>
                <w:sz w:val="24"/>
                <w:szCs w:val="24"/>
                <w:u w:val="none"/>
              </w:rPr>
            </w:pPr>
            <w:r>
              <w:rPr>
                <w:rStyle w:val="28"/>
                <w:lang w:val="en-US" w:eastAsia="zh-CN"/>
              </w:rPr>
              <w:t>前期工作费</w:t>
            </w:r>
          </w:p>
        </w:tc>
        <w:tc>
          <w:tcPr>
            <w:tcBorders>
              <w:top w:val="single" w:color="000000" w:sz="4" w:space="0"/>
              <w:left w:val="single" w:color="000000" w:sz="4" w:space="0"/>
              <w:bottom w:val="single" w:color="000000" w:sz="4" w:space="0"/>
              <w:right w:val="nil"/>
            </w:tcBorders>
            <w:shd w:val="clear" w:color="auto" w:fill="auto"/>
            <w:noWrap/>
            <w:vAlign w:val="center"/>
          </w:tcPr>
          <w:p w14:paraId="41D894C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 xml:space="preserve">15.82 </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3619"/>
        </w:tc>
      </w:tr>
      <w:tr w14:paraId="12D4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0" w:type="dxa"/>
            <w:tcBorders>
              <w:top w:val="nil"/>
              <w:left w:val="single" w:color="000000" w:sz="4" w:space="0"/>
              <w:bottom w:val="single" w:color="000000" w:sz="4" w:space="0"/>
              <w:right w:val="nil"/>
            </w:tcBorders>
            <w:shd w:val="clear" w:color="auto" w:fill="auto"/>
            <w:vAlign w:val="center"/>
          </w:tcPr>
          <w:p w14:paraId="374289C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w:t>
            </w:r>
          </w:p>
        </w:tc>
        <w:tc>
          <w:tcPr>
            <w:tcW w:w="3870" w:type="dxa"/>
            <w:tcBorders>
              <w:top w:val="single" w:color="000000" w:sz="4" w:space="0"/>
              <w:left w:val="single" w:color="000000" w:sz="4" w:space="0"/>
              <w:bottom w:val="single" w:color="000000" w:sz="4" w:space="0"/>
              <w:right w:val="nil"/>
            </w:tcBorders>
            <w:shd w:val="clear" w:color="FFFFFF" w:fill="FFFFFF"/>
            <w:vAlign w:val="center"/>
          </w:tcPr>
          <w:p w14:paraId="2538DF94">
            <w:pPr>
              <w:keepNext w:val="0"/>
              <w:keepLines w:val="0"/>
              <w:widowControl/>
              <w:suppressLineNumbers w:val="0"/>
              <w:jc w:val="left"/>
              <w:textAlignment w:val="center"/>
              <w:rPr>
                <w:rFonts w:ascii="Times New Roman" w:hAnsi="Times New Roman" w:eastAsia="宋体" w:cs="Times New Roman"/>
                <w:i w:val="0"/>
                <w:iCs w:val="0"/>
                <w:color w:val="000000"/>
                <w:sz w:val="24"/>
                <w:szCs w:val="24"/>
                <w:u w:val="none"/>
              </w:rPr>
            </w:pPr>
            <w:r>
              <w:rPr>
                <w:rStyle w:val="28"/>
                <w:lang w:val="en-US" w:eastAsia="zh-CN"/>
              </w:rPr>
              <w:t>工程监理费</w:t>
            </w:r>
          </w:p>
        </w:tc>
        <w:tc>
          <w:tcPr>
            <w:tcW w:w="1995" w:type="dxa"/>
            <w:tcBorders>
              <w:top w:val="single" w:color="000000" w:sz="4" w:space="0"/>
              <w:left w:val="single" w:color="000000" w:sz="4" w:space="0"/>
              <w:bottom w:val="single" w:color="000000" w:sz="4" w:space="0"/>
              <w:right w:val="nil"/>
            </w:tcBorders>
            <w:shd w:val="clear" w:color="FFFFFF" w:fill="FFFFFF"/>
            <w:vAlign w:val="center"/>
          </w:tcPr>
          <w:p w14:paraId="5DE3698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5.62</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5613"/>
        </w:tc>
      </w:tr>
      <w:tr w14:paraId="1E8C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0" w:type="dxa"/>
            <w:tcBorders>
              <w:top w:val="nil"/>
              <w:left w:val="single" w:color="000000" w:sz="4" w:space="0"/>
              <w:bottom w:val="single" w:color="000000" w:sz="4" w:space="0"/>
              <w:right w:val="nil"/>
            </w:tcBorders>
            <w:shd w:val="clear" w:color="auto" w:fill="auto"/>
            <w:vAlign w:val="center"/>
          </w:tcPr>
          <w:p w14:paraId="1E3CA70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w:t>
            </w:r>
          </w:p>
        </w:tc>
        <w:tc>
          <w:tcPr>
            <w:tcW w:w="3870" w:type="dxa"/>
            <w:tcBorders>
              <w:top w:val="single" w:color="000000" w:sz="4" w:space="0"/>
              <w:left w:val="single" w:color="000000" w:sz="4" w:space="0"/>
              <w:bottom w:val="single" w:color="000000" w:sz="4" w:space="0"/>
              <w:right w:val="nil"/>
            </w:tcBorders>
            <w:shd w:val="clear" w:color="FFFFFF" w:fill="FFFFFF"/>
            <w:vAlign w:val="center"/>
          </w:tcPr>
          <w:p w14:paraId="54F96CD3">
            <w:pPr>
              <w:keepNext w:val="0"/>
              <w:keepLines w:val="0"/>
              <w:widowControl/>
              <w:suppressLineNumbers w:val="0"/>
              <w:jc w:val="left"/>
              <w:textAlignment w:val="center"/>
              <w:rPr>
                <w:rFonts w:ascii="Times New Roman" w:hAnsi="Times New Roman" w:eastAsia="宋体" w:cs="Times New Roman"/>
                <w:i w:val="0"/>
                <w:iCs w:val="0"/>
                <w:color w:val="000000"/>
                <w:sz w:val="24"/>
                <w:szCs w:val="24"/>
                <w:u w:val="none"/>
              </w:rPr>
            </w:pPr>
            <w:r>
              <w:rPr>
                <w:rStyle w:val="28"/>
                <w:lang w:val="en-US" w:eastAsia="zh-CN"/>
              </w:rPr>
              <w:t>竣工验收费</w:t>
            </w:r>
          </w:p>
        </w:tc>
        <w:tc>
          <w:tcPr>
            <w:tcW w:w="1995" w:type="dxa"/>
            <w:tcBorders>
              <w:top w:val="single" w:color="000000" w:sz="4" w:space="0"/>
              <w:left w:val="single" w:color="000000" w:sz="4" w:space="0"/>
              <w:bottom w:val="single" w:color="000000" w:sz="4" w:space="0"/>
              <w:right w:val="nil"/>
            </w:tcBorders>
            <w:shd w:val="clear" w:color="FFFFFF" w:fill="FFFFFF"/>
            <w:vAlign w:val="center"/>
          </w:tcPr>
          <w:p w14:paraId="30BD223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 xml:space="preserve">1.83 </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357C"/>
        </w:tc>
      </w:tr>
      <w:tr w14:paraId="3AEB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0" w:type="dxa"/>
            <w:tcBorders>
              <w:top w:val="nil"/>
              <w:left w:val="single" w:color="000000" w:sz="4" w:space="0"/>
              <w:bottom w:val="single" w:color="000000" w:sz="4" w:space="0"/>
              <w:right w:val="nil"/>
            </w:tcBorders>
            <w:shd w:val="clear" w:color="auto" w:fill="auto"/>
            <w:vAlign w:val="center"/>
          </w:tcPr>
          <w:p w14:paraId="6FED668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w:t>
            </w:r>
          </w:p>
        </w:tc>
        <w:tc>
          <w:tcPr>
            <w:tcW w:w="3870" w:type="dxa"/>
            <w:tcBorders>
              <w:top w:val="single" w:color="000000" w:sz="4" w:space="0"/>
              <w:left w:val="single" w:color="000000" w:sz="4" w:space="0"/>
              <w:bottom w:val="single" w:color="000000" w:sz="4" w:space="0"/>
              <w:right w:val="nil"/>
            </w:tcBorders>
            <w:shd w:val="clear" w:color="FFFFFF" w:fill="FFFFFF"/>
            <w:vAlign w:val="center"/>
          </w:tcPr>
          <w:p w14:paraId="3894360B">
            <w:pPr>
              <w:keepNext w:val="0"/>
              <w:keepLines w:val="0"/>
              <w:widowControl/>
              <w:suppressLineNumbers w:val="0"/>
              <w:jc w:val="left"/>
              <w:textAlignment w:val="center"/>
              <w:rPr>
                <w:rFonts w:ascii="Times New Roman" w:hAnsi="Times New Roman" w:eastAsia="宋体" w:cs="Times New Roman"/>
                <w:i w:val="0"/>
                <w:iCs w:val="0"/>
                <w:color w:val="000000"/>
                <w:sz w:val="24"/>
                <w:szCs w:val="24"/>
                <w:u w:val="none"/>
              </w:rPr>
            </w:pPr>
            <w:r>
              <w:rPr>
                <w:rStyle w:val="28"/>
                <w:lang w:val="en-US" w:eastAsia="zh-CN"/>
              </w:rPr>
              <w:t>工程保险费</w:t>
            </w:r>
          </w:p>
        </w:tc>
        <w:tc>
          <w:tcPr>
            <w:tcW w:w="1995" w:type="dxa"/>
            <w:tcBorders>
              <w:top w:val="single" w:color="000000" w:sz="4" w:space="0"/>
              <w:left w:val="single" w:color="000000" w:sz="4" w:space="0"/>
              <w:bottom w:val="single" w:color="000000" w:sz="4" w:space="0"/>
              <w:right w:val="nil"/>
            </w:tcBorders>
            <w:shd w:val="clear" w:color="FFFFFF" w:fill="FFFFFF"/>
            <w:vAlign w:val="center"/>
          </w:tcPr>
          <w:p w14:paraId="77A7B9E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0.84</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06B23"/>
        </w:tc>
      </w:tr>
      <w:tr w14:paraId="0CE8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5A5">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Style w:val="26"/>
                <w:lang w:val="en-US" w:eastAsia="zh-CN"/>
              </w:rPr>
              <w:t>三</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6902">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Style w:val="26"/>
                <w:lang w:val="en-US" w:eastAsia="zh-CN"/>
              </w:rPr>
              <w:t>工程估算总投资</w:t>
            </w:r>
          </w:p>
        </w:tc>
        <w:tc>
          <w:tcPr>
            <w:tcW w:w="1995" w:type="dxa"/>
            <w:tcBorders>
              <w:top w:val="single" w:color="000000" w:sz="4" w:space="0"/>
              <w:left w:val="single" w:color="000000" w:sz="4" w:space="0"/>
              <w:bottom w:val="single" w:color="000000" w:sz="4" w:space="0"/>
              <w:right w:val="nil"/>
            </w:tcBorders>
            <w:shd w:val="clear" w:color="FFFFFF" w:fill="FFFFFF"/>
            <w:vAlign w:val="center"/>
          </w:tcPr>
          <w:p w14:paraId="4EECBD59">
            <w:pPr>
              <w:keepNext w:val="0"/>
              <w:keepLines w:val="0"/>
              <w:widowControl/>
              <w:suppressLineNumbers w:val="0"/>
              <w:jc w:val="center"/>
              <w:textAlignment w:val="center"/>
              <w:rPr>
                <w:rFonts w:ascii="Times New Roman" w:hAnsi="Times New Roman" w:eastAsia="宋体" w:cs="Times New Roman"/>
                <w:b/>
                <w:bCs/>
                <w:i w:val="0"/>
                <w:iCs w:val="0"/>
                <w:color w:val="000000"/>
                <w:sz w:val="24"/>
                <w:szCs w:val="24"/>
                <w:u w:val="none"/>
              </w:rPr>
            </w:pPr>
            <w:r>
              <w:rPr>
                <w:rFonts w:ascii="Times New Roman" w:hAnsi="Times New Roman" w:eastAsia="宋体" w:cs="Times New Roman"/>
                <w:b/>
                <w:bCs/>
                <w:i w:val="0"/>
                <w:iCs w:val="0"/>
                <w:color w:val="000000"/>
                <w:kern w:val="0"/>
                <w:sz w:val="24"/>
                <w:szCs w:val="24"/>
                <w:u w:val="none"/>
                <w:lang w:val="en-US" w:eastAsia="zh-CN"/>
              </w:rPr>
              <w:t xml:space="preserve">305.09 </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E94A"/>
        </w:tc>
      </w:tr>
    </w:tbl>
    <w:p w14:paraId="7F6EC0AF">
      <w:pPr>
        <w:pStyle w:val="8"/>
        <w:spacing w:line="500" w:lineRule="exact"/>
        <w:rPr>
          <w:rFonts w:ascii="Times New Roman" w:hAnsi="Times New Roman" w:eastAsia="方正仿宋_GBK" w:cs="Times New Roman"/>
          <w:sz w:val="28"/>
          <w:szCs w:val="28"/>
        </w:rPr>
      </w:pPr>
    </w:p>
    <w:p w14:paraId="63D26E01">
      <w:pPr>
        <w:pStyle w:val="8"/>
        <w:spacing w:line="500" w:lineRule="exact"/>
        <w:rPr>
          <w:rFonts w:ascii="Times New Roman" w:hAnsi="Times New Roman" w:eastAsia="方正仿宋_GBK" w:cs="Times New Roman"/>
          <w:sz w:val="28"/>
          <w:szCs w:val="28"/>
        </w:rPr>
      </w:pPr>
    </w:p>
    <w:p w14:paraId="6BC65489">
      <w:pPr>
        <w:pStyle w:val="8"/>
        <w:spacing w:line="500" w:lineRule="exact"/>
        <w:rPr>
          <w:rFonts w:ascii="Times New Roman" w:hAnsi="Times New Roman" w:eastAsia="方正仿宋_GBK" w:cs="Times New Roman"/>
          <w:sz w:val="28"/>
          <w:szCs w:val="28"/>
        </w:rPr>
      </w:pPr>
    </w:p>
    <w:p w14:paraId="0F990A44">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861C489">
      <w:pPr>
        <w:spacing w:line="440" w:lineRule="exact"/>
        <w:ind w:left="-212" w:leftChars="-101" w:right="-193" w:rightChars="-92"/>
        <w:rPr>
          <w:rFonts w:eastAsia="方正仿宋_GBK"/>
          <w:sz w:val="28"/>
          <w:szCs w:val="28"/>
          <w:u w:val="single"/>
          <w:lang w:val="en-US" w:eastAsia="zh-CN"/>
        </w:rPr>
      </w:pPr>
      <w:r>
        <w:rPr>
          <w:rFonts w:hint="eastAsia" w:eastAsia="方正仿宋_GBK"/>
          <w:sz w:val="28"/>
          <w:szCs w:val="28"/>
          <w:u w:val="single"/>
          <w:lang w:val="en-US" w:eastAsia="zh-CN"/>
        </w:rPr>
        <w:t xml:space="preserve">  抄送：区纪委监委、区财政局、区审计局。                            </w:t>
      </w:r>
    </w:p>
    <w:p w14:paraId="4949484E">
      <w:pPr>
        <w:spacing w:line="440" w:lineRule="exact"/>
        <w:ind w:left="-212" w:leftChars="-101" w:right="-193" w:rightChars="-92"/>
        <w:rPr>
          <w:rFonts w:hint="eastAsia"/>
          <w:lang w:val="en-US" w:eastAsia="zh-CN"/>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lang w:val="en-US" w:eastAsia="zh-CN"/>
        </w:rPr>
        <w:t>26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13A66">
    <w:pPr>
      <w:pStyle w:val="11"/>
      <w:framePr w:wrap="around" w:vAnchor="text" w:hAnchor="margin" w:xAlign="outside" w:y="1"/>
      <w:rPr>
        <w:rStyle w:val="15"/>
        <w:rFonts w:hint="eastAsia" w:ascii="宋体" w:hAnsi="宋体" w:eastAsia="宋体" w:cs="宋体"/>
        <w:sz w:val="28"/>
        <w:szCs w:val="28"/>
      </w:rPr>
    </w:pP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- 1 -</w:t>
    </w:r>
    <w:r>
      <w:rPr>
        <w:rFonts w:hint="eastAsia" w:ascii="宋体" w:hAnsi="宋体" w:eastAsia="宋体" w:cs="宋体"/>
        <w:sz w:val="28"/>
        <w:szCs w:val="28"/>
      </w:rPr>
      <w:fldChar w:fldCharType="end"/>
    </w:r>
  </w:p>
  <w:p w14:paraId="705673FA">
    <w:pPr>
      <w:pStyle w:val="11"/>
      <w:ind w:right="360"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9C5C">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1C9AB357">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70C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A221">
    <w:pPr>
      <w:pStyle w:val="12"/>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dit="forms" w:enforcement="0"/>
  <w:defaultTabStop w:val="42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27E8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840"/>
    </w:pPr>
    <w:rPr>
      <w:sz w:val="18"/>
      <w:szCs w:val="18"/>
    </w:rPr>
  </w:style>
  <w:style w:type="paragraph" w:styleId="7">
    <w:name w:val="Body Text Indent"/>
    <w:basedOn w:val="1"/>
    <w:qFormat/>
    <w:uiPriority w:val="0"/>
    <w:pPr>
      <w:ind w:firstLine="200" w:firstLineChars="200"/>
    </w:pPr>
    <w:rPr>
      <w:rFonts w:eastAsia="仿宋_GB2312"/>
      <w:sz w:val="32"/>
    </w:rPr>
  </w:style>
  <w:style w:type="paragraph" w:styleId="8">
    <w:name w:val="Plain Text"/>
    <w:basedOn w:val="1"/>
    <w:qFormat/>
    <w:uiPriority w:val="0"/>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character" w:customStyle="1" w:styleId="16">
    <w:name w:val="heading 1 Char"/>
    <w:basedOn w:val="14"/>
    <w:link w:val="4"/>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5"/>
    <w:uiPriority w:val="0"/>
    <w:rPr>
      <w:rFonts w:ascii="Times New Roman" w:hAnsi="Times New Roman" w:eastAsia="黑体" w:cs="Times New Roman"/>
      <w:b/>
      <w:bCs/>
      <w:kern w:val="2"/>
      <w:sz w:val="32"/>
      <w:szCs w:val="32"/>
      <w:lang w:val="en-US" w:eastAsia="zh-CN" w:bidi="ar-SA"/>
    </w:rPr>
  </w:style>
  <w:style w:type="character" w:customStyle="1" w:styleId="18">
    <w:name w:val="heading 3 Char"/>
    <w:basedOn w:val="14"/>
    <w:link w:val="6"/>
    <w:uiPriority w:val="0"/>
    <w:rPr>
      <w:rFonts w:ascii="Times New Roman" w:hAnsi="Times New Roman" w:eastAsia="宋体" w:cs="Times New Roman"/>
      <w:b/>
      <w:bCs/>
      <w:kern w:val="2"/>
      <w:sz w:val="32"/>
      <w:szCs w:val="32"/>
      <w:lang w:val="en-US" w:eastAsia="zh-CN" w:bidi="ar-SA"/>
    </w:rPr>
  </w:style>
  <w:style w:type="paragraph" w:customStyle="1" w:styleId="19">
    <w:name w:val="默认段落字体 Para Char Char Char Char"/>
    <w:basedOn w:val="1"/>
    <w:qFormat/>
    <w:uiPriority w:val="0"/>
    <w:rPr>
      <w:szCs w:val="20"/>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rPr>
  </w:style>
  <w:style w:type="character" w:customStyle="1" w:styleId="21">
    <w:name w:val="font41"/>
    <w:basedOn w:val="14"/>
    <w:qFormat/>
    <w:uiPriority w:val="0"/>
    <w:rPr>
      <w:rFonts w:ascii="方正仿宋_GBK" w:hAnsi="方正仿宋_GBK" w:eastAsia="方正仿宋_GBK" w:cs="方正仿宋_GBK"/>
      <w:color w:val="000000"/>
      <w:sz w:val="28"/>
      <w:szCs w:val="28"/>
      <w:u w:val="none"/>
    </w:rPr>
  </w:style>
  <w:style w:type="character" w:customStyle="1" w:styleId="22">
    <w:name w:val="font21"/>
    <w:basedOn w:val="14"/>
    <w:qFormat/>
    <w:uiPriority w:val="0"/>
    <w:rPr>
      <w:rFonts w:ascii="宋体" w:hAnsi="宋体" w:eastAsia="宋体" w:cs="宋体"/>
      <w:color w:val="000000"/>
      <w:sz w:val="24"/>
      <w:szCs w:val="24"/>
      <w:u w:val="none"/>
    </w:rPr>
  </w:style>
  <w:style w:type="character" w:customStyle="1" w:styleId="23">
    <w:name w:val="font81"/>
    <w:basedOn w:val="14"/>
    <w:qFormat/>
    <w:uiPriority w:val="0"/>
    <w:rPr>
      <w:rFonts w:ascii="方正仿宋_GBK" w:hAnsi="方正仿宋_GBK" w:eastAsia="方正仿宋_GBK" w:cs="方正仿宋_GBK"/>
      <w:color w:val="000000"/>
      <w:sz w:val="24"/>
      <w:szCs w:val="24"/>
      <w:u w:val="none"/>
    </w:rPr>
  </w:style>
  <w:style w:type="character" w:customStyle="1" w:styleId="24">
    <w:name w:val="font51"/>
    <w:basedOn w:val="14"/>
    <w:qFormat/>
    <w:uiPriority w:val="0"/>
    <w:rPr>
      <w:rFonts w:ascii="Times New Roman" w:hAnsi="Times New Roman" w:cs="Times New Roman"/>
      <w:color w:val="000000"/>
      <w:sz w:val="24"/>
      <w:szCs w:val="24"/>
      <w:u w:val="none"/>
    </w:rPr>
  </w:style>
  <w:style w:type="character" w:customStyle="1" w:styleId="25">
    <w:name w:val="font12"/>
    <w:basedOn w:val="14"/>
    <w:qFormat/>
    <w:uiPriority w:val="0"/>
    <w:rPr>
      <w:rFonts w:ascii="Times New Roman" w:hAnsi="Times New Roman" w:cs="Times New Roman"/>
      <w:color w:val="000000"/>
      <w:sz w:val="28"/>
      <w:szCs w:val="28"/>
      <w:u w:val="none"/>
    </w:rPr>
  </w:style>
  <w:style w:type="character" w:customStyle="1" w:styleId="26">
    <w:name w:val="font91"/>
    <w:basedOn w:val="14"/>
    <w:qFormat/>
    <w:uiPriority w:val="0"/>
    <w:rPr>
      <w:rFonts w:ascii="方正楷体_GBK" w:hAnsi="方正楷体_GBK" w:eastAsia="方正楷体_GBK" w:cs="方正楷体_GBK"/>
      <w:b/>
      <w:bCs/>
      <w:color w:val="000000"/>
      <w:sz w:val="24"/>
      <w:szCs w:val="24"/>
      <w:u w:val="none"/>
    </w:rPr>
  </w:style>
  <w:style w:type="character" w:customStyle="1" w:styleId="27">
    <w:name w:val="font101"/>
    <w:basedOn w:val="14"/>
    <w:qFormat/>
    <w:uiPriority w:val="0"/>
    <w:rPr>
      <w:rFonts w:ascii="方正仿宋_GBK" w:hAnsi="方正仿宋_GBK" w:eastAsia="方正仿宋_GBK" w:cs="方正仿宋_GBK"/>
      <w:color w:val="000000"/>
      <w:sz w:val="24"/>
      <w:szCs w:val="24"/>
      <w:u w:val="none"/>
    </w:rPr>
  </w:style>
  <w:style w:type="character" w:customStyle="1" w:styleId="28">
    <w:name w:val="font111"/>
    <w:basedOn w:val="14"/>
    <w:qFormat/>
    <w:uiPriority w:val="0"/>
    <w:rPr>
      <w:rFonts w:ascii="方正仿宋_GBK" w:hAnsi="方正仿宋_GBK" w:eastAsia="方正仿宋_GBK" w:cs="方正仿宋_GBK"/>
      <w:color w:val="000000"/>
      <w:sz w:val="24"/>
      <w:szCs w:val="24"/>
      <w:u w:val="none"/>
    </w:rPr>
  </w:style>
  <w:style w:type="character" w:customStyle="1" w:styleId="29">
    <w:name w:val="font61"/>
    <w:basedOn w:val="14"/>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7B80E-C5B8-46B1-91D5-5CAA067EA4D3}">
  <ds:schemaRefs/>
</ds:datastoreItem>
</file>

<file path=docProps/app.xml><?xml version="1.0" encoding="utf-8"?>
<Properties xmlns="http://schemas.openxmlformats.org/officeDocument/2006/extended-properties" xmlns:vt="http://schemas.openxmlformats.org/officeDocument/2006/docPropsVTypes">
  <Template>Normal.eit</Template>
  <Manager>周光</Manager>
  <Company>县发展计划委员会</Company>
  <Pages>4</Pages>
  <Words>1163</Words>
  <Characters>1288</Characters>
  <Lines>0</Lines>
  <Paragraphs>56</Paragraphs>
  <TotalTime>2</TotalTime>
  <ScaleCrop>false</ScaleCrop>
  <LinksUpToDate>false</LinksUpToDate>
  <CharactersWithSpaces>1439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2013-01-07T07:17:00Z</dcterms:created>
  <dc:creator>PSJW</dc:creator>
  <cp:lastModifiedBy>董丽莉</cp:lastModifiedBy>
  <cp:lastPrinted>2026-03-05T06:28:09Z</cp:lastPrinted>
  <dcterms:modified xsi:type="dcterms:W3CDTF">2026-03-05T06:28:11Z</dcterms:modified>
  <dc:title>彭水计文件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93E1FDDCD4A040A68D7C735824389E13_13</vt:lpwstr>
  </property>
</Properties>
</file>