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60</w:t>
      </w:r>
      <w:bookmarkStart w:id="0" w:name="_GoBack"/>
      <w:bookmarkEnd w:id="0"/>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A82BF47">
      <w:pPr>
        <w:spacing w:line="595" w:lineRule="exac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关于</w:t>
      </w:r>
      <w:r>
        <w:rPr>
          <w:rFonts w:hint="default" w:ascii="Times New Roman" w:hAnsi="Times New Roman" w:eastAsia="方正小标宋_GBK" w:cs="Times New Roman"/>
          <w:sz w:val="44"/>
          <w:szCs w:val="44"/>
        </w:rPr>
        <w:t>国道G319线K2116+663~K2159+720段</w:t>
      </w:r>
    </w:p>
    <w:p w14:paraId="72A2A46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灾害防治项目</w:t>
      </w:r>
      <w:r>
        <w:rPr>
          <w:rFonts w:hint="eastAsia" w:ascii="方正小标宋_GBK" w:hAnsi="方正小标宋_GBK" w:eastAsia="方正小标宋_GBK" w:cs="方正小标宋_GBK"/>
          <w:sz w:val="44"/>
          <w:szCs w:val="44"/>
        </w:rPr>
        <w:t>投资概算的批复</w:t>
      </w:r>
    </w:p>
    <w:p w14:paraId="2BB52399">
      <w:pPr>
        <w:pStyle w:val="6"/>
        <w:keepNext w:val="0"/>
        <w:keepLines w:val="0"/>
        <w:pageBreakBefore w:val="0"/>
        <w:widowControl w:val="0"/>
        <w:kinsoku/>
        <w:wordWrap/>
        <w:overflowPunct/>
        <w:topLinePunct w:val="0"/>
        <w:bidi w:val="0"/>
        <w:spacing w:line="575" w:lineRule="exact"/>
        <w:textAlignment w:val="auto"/>
        <w:rPr>
          <w:rFonts w:hint="default" w:ascii="Times New Roman" w:hAnsi="Times New Roman" w:eastAsia="方正仿宋_GBK" w:cs="Times New Roman"/>
          <w:sz w:val="32"/>
          <w:szCs w:val="32"/>
        </w:rPr>
      </w:pPr>
    </w:p>
    <w:p w14:paraId="310BECE2">
      <w:pPr>
        <w:keepNext w:val="0"/>
        <w:keepLines w:val="0"/>
        <w:pageBreakBefore w:val="0"/>
        <w:widowControl w:val="0"/>
        <w:kinsoku/>
        <w:wordWrap/>
        <w:overflowPunct/>
        <w:topLinePunct w:val="0"/>
        <w:autoSpaceDE w:val="0"/>
        <w:autoSpaceDN w:val="0"/>
        <w:bidi w:val="0"/>
        <w:adjustRightInd w:val="0"/>
        <w:spacing w:line="575"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区交通运输委</w:t>
      </w:r>
      <w:r>
        <w:rPr>
          <w:rFonts w:hint="default" w:ascii="Times New Roman" w:hAnsi="Times New Roman" w:eastAsia="方正仿宋_GBK" w:cs="Times New Roman"/>
          <w:sz w:val="32"/>
          <w:szCs w:val="32"/>
        </w:rPr>
        <w:t>：</w:t>
      </w:r>
    </w:p>
    <w:p w14:paraId="45EBBECC">
      <w:pPr>
        <w:keepNext w:val="0"/>
        <w:keepLines w:val="0"/>
        <w:pageBreakBefore w:val="0"/>
        <w:widowControl w:val="0"/>
        <w:kinsoku/>
        <w:wordWrap/>
        <w:overflowPunct/>
        <w:topLinePunct w:val="0"/>
        <w:bidi w:val="0"/>
        <w:snapToGrid w:val="0"/>
        <w:spacing w:line="575"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你单位《关于审查国道G319线K2116+663~K2159+720段</w:t>
      </w:r>
    </w:p>
    <w:p w14:paraId="0A3BDC6F">
      <w:pPr>
        <w:keepNext w:val="0"/>
        <w:keepLines w:val="0"/>
        <w:pageBreakBefore w:val="0"/>
        <w:widowControl w:val="0"/>
        <w:kinsoku/>
        <w:wordWrap/>
        <w:overflowPunct/>
        <w:topLinePunct w:val="0"/>
        <w:bidi w:val="0"/>
        <w:snapToGrid w:val="0"/>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灾害防治项目</w:t>
      </w:r>
      <w:r>
        <w:rPr>
          <w:rFonts w:hint="default" w:ascii="Times New Roman" w:hAnsi="Times New Roman" w:eastAsia="方正仿宋_GBK" w:cs="Times New Roman"/>
          <w:sz w:val="32"/>
          <w:szCs w:val="32"/>
        </w:rPr>
        <w:t>概算的</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黔江交通函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kern w:val="0"/>
          <w:sz w:val="32"/>
          <w:szCs w:val="32"/>
        </w:rPr>
        <w:t>中煤科工重庆设计研究院（集团）有限公司</w:t>
      </w:r>
      <w:r>
        <w:rPr>
          <w:rFonts w:hint="default" w:ascii="Times New Roman" w:hAnsi="Times New Roman" w:eastAsia="方正仿宋_GBK" w:cs="Times New Roman"/>
          <w:sz w:val="32"/>
          <w:szCs w:val="32"/>
          <w:lang w:eastAsia="zh-CN"/>
        </w:rPr>
        <w:t>评审，结合</w:t>
      </w:r>
      <w:r>
        <w:rPr>
          <w:rFonts w:hint="default" w:ascii="Times New Roman" w:hAnsi="Times New Roman" w:eastAsia="方正仿宋_GBK" w:cs="Times New Roman"/>
          <w:sz w:val="32"/>
          <w:szCs w:val="32"/>
        </w:rPr>
        <w:t>区政府投资</w:t>
      </w:r>
      <w:r>
        <w:rPr>
          <w:rFonts w:hint="default" w:ascii="Times New Roman" w:hAnsi="Times New Roman" w:eastAsia="方正仿宋_GBK" w:cs="Times New Roman"/>
          <w:sz w:val="32"/>
          <w:szCs w:val="32"/>
          <w:lang w:eastAsia="zh-CN"/>
        </w:rPr>
        <w:t>项目前期工作服务</w:t>
      </w:r>
      <w:r>
        <w:rPr>
          <w:rFonts w:hint="default" w:ascii="Times New Roman" w:hAnsi="Times New Roman" w:eastAsia="方正仿宋_GBK" w:cs="Times New Roman"/>
          <w:sz w:val="32"/>
          <w:szCs w:val="32"/>
        </w:rPr>
        <w:t>中心</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评审</w:t>
      </w:r>
      <w:r>
        <w:rPr>
          <w:rFonts w:hint="default" w:ascii="Times New Roman" w:hAnsi="Times New Roman" w:eastAsia="方正仿宋_GBK" w:cs="Times New Roman"/>
          <w:sz w:val="32"/>
          <w:szCs w:val="32"/>
          <w:lang w:eastAsia="zh-CN"/>
        </w:rPr>
        <w:t>意见，现将国道G319线K2116+663~K2159+720段灾害防治项目（项目代码：</w:t>
      </w:r>
      <w:r>
        <w:rPr>
          <w:rFonts w:hint="default" w:ascii="Times New Roman" w:hAnsi="Times New Roman" w:eastAsia="方正仿宋_GBK" w:cs="Times New Roman"/>
          <w:sz w:val="32"/>
          <w:szCs w:val="32"/>
          <w:lang w:val="en-US" w:eastAsia="zh-CN"/>
        </w:rPr>
        <w:t>2512-500114-04-01-677830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投资概算批复如下：</w:t>
      </w:r>
    </w:p>
    <w:p w14:paraId="1C39374C">
      <w:pPr>
        <w:keepNext w:val="0"/>
        <w:keepLines w:val="0"/>
        <w:pageBreakBefore w:val="0"/>
        <w:widowControl w:val="0"/>
        <w:kinsoku/>
        <w:wordWrap/>
        <w:overflowPunct/>
        <w:topLinePunct w:val="0"/>
        <w:bidi w:val="0"/>
        <w:spacing w:line="575" w:lineRule="exact"/>
        <w:ind w:firstLine="627" w:firstLineChars="196"/>
        <w:jc w:val="lef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一、原则同意工程概算编制原则和标准。</w:t>
      </w:r>
    </w:p>
    <w:p w14:paraId="32913B65">
      <w:pPr>
        <w:pStyle w:val="6"/>
        <w:keepNext w:val="0"/>
        <w:keepLines w:val="0"/>
        <w:pageBreakBefore w:val="0"/>
        <w:widowControl w:val="0"/>
        <w:kinsoku/>
        <w:wordWrap/>
        <w:overflowPunct/>
        <w:topLinePunct w:val="0"/>
        <w:bidi w:val="0"/>
        <w:spacing w:line="575"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Cs/>
          <w:color w:val="000000"/>
          <w:sz w:val="32"/>
          <w:szCs w:val="32"/>
        </w:rPr>
        <w:t>二、建设规模及主要建设内容：</w:t>
      </w:r>
      <w:r>
        <w:rPr>
          <w:rFonts w:hint="default" w:ascii="Times New Roman" w:hAnsi="Times New Roman" w:eastAsia="方正仿宋_GBK" w:cs="Times New Roman"/>
          <w:sz w:val="32"/>
          <w:szCs w:val="32"/>
          <w:lang w:val="zh-CN" w:bidi="ar"/>
        </w:rPr>
        <w:t>项目实施桩号为K2116+663~K2159+720，项目全长43.057km，沿线共计9个工点。主要灾害类型包括危岩体掉块、风化剥落、崩塌等。主要包括清方、SNS柔性防护网、支撑柱、路面、排水、交安设施等建设内容</w:t>
      </w:r>
      <w:r>
        <w:rPr>
          <w:rFonts w:hint="default" w:ascii="Times New Roman" w:hAnsi="Times New Roman" w:eastAsia="方正仿宋_GBK" w:cs="Times New Roman"/>
          <w:sz w:val="32"/>
          <w:szCs w:val="32"/>
          <w:lang w:val="zh-CN"/>
        </w:rPr>
        <w:t>。</w:t>
      </w:r>
    </w:p>
    <w:p w14:paraId="783D278C">
      <w:pPr>
        <w:pStyle w:val="6"/>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Cs/>
          <w:color w:val="000000"/>
          <w:sz w:val="32"/>
          <w:szCs w:val="32"/>
        </w:rPr>
        <w:t>三、概算总投资及资金来源：概算总投资</w:t>
      </w:r>
      <w:r>
        <w:rPr>
          <w:rFonts w:hint="default" w:ascii="Times New Roman" w:hAnsi="Times New Roman" w:eastAsia="方正仿宋_GBK" w:cs="Times New Roman"/>
          <w:sz w:val="32"/>
          <w:szCs w:val="32"/>
        </w:rPr>
        <w:t>为1198.8万元，其中：工程费用996.9万元，土地使用及拆迁补偿费1.0万元，工程建设其他费143.8万元，基本预备费57.1万元。</w:t>
      </w:r>
      <w:r>
        <w:rPr>
          <w:rFonts w:hint="default" w:ascii="Times New Roman" w:hAnsi="Times New Roman" w:eastAsia="方正仿宋_GBK" w:cs="Times New Roman"/>
          <w:sz w:val="32"/>
          <w:szCs w:val="32"/>
          <w:lang w:val="zh-CN"/>
        </w:rPr>
        <w:t>资金来源为国市专项补助资金，不足部分由业主自筹。</w:t>
      </w:r>
    </w:p>
    <w:p w14:paraId="01FD196A">
      <w:pPr>
        <w:pStyle w:val="6"/>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四、请据此进一步深化工程设计等前期工作，施工图严格根据经批准的初步设计确定的建设内容、规模和标准等实行限额设计，项目预算按照同口径控制在投资概算以内，并履行完善相关建设手续。要按照资金来源落实建设资金后开展下步工作，严禁新增政府隐性债务。要严格执行工程招投标制，合同管理制，工程监理制，切实加强工程管理，确保工程质量、进度和投资有效控制。</w:t>
      </w:r>
    </w:p>
    <w:p w14:paraId="1A65D60D">
      <w:pPr>
        <w:pStyle w:val="6"/>
        <w:keepNext w:val="0"/>
        <w:keepLines w:val="0"/>
        <w:pageBreakBefore w:val="0"/>
        <w:widowControl w:val="0"/>
        <w:kinsoku/>
        <w:wordWrap/>
        <w:overflowPunct/>
        <w:topLinePunct w:val="0"/>
        <w:bidi w:val="0"/>
        <w:spacing w:line="575" w:lineRule="exact"/>
        <w:textAlignment w:val="auto"/>
        <w:rPr>
          <w:rFonts w:hint="default" w:ascii="Times New Roman" w:hAnsi="Times New Roman" w:eastAsia="方正仿宋_GBK" w:cs="Times New Roman"/>
          <w:sz w:val="32"/>
          <w:szCs w:val="32"/>
        </w:rPr>
      </w:pPr>
    </w:p>
    <w:p w14:paraId="413C52D7">
      <w:pPr>
        <w:keepNext w:val="0"/>
        <w:keepLines w:val="0"/>
        <w:pageBreakBefore w:val="0"/>
        <w:widowControl w:val="0"/>
        <w:kinsoku/>
        <w:wordWrap/>
        <w:overflowPunct/>
        <w:topLinePunct w:val="0"/>
        <w:bidi w:val="0"/>
        <w:snapToGrid w:val="0"/>
        <w:spacing w:line="575"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lang w:eastAsia="zh-CN"/>
        </w:rPr>
        <w:t>国道G319线K2116+663~K2159+720段灾害防治项</w:t>
      </w:r>
    </w:p>
    <w:p w14:paraId="7CD24771">
      <w:pPr>
        <w:keepNext w:val="0"/>
        <w:keepLines w:val="0"/>
        <w:pageBreakBefore w:val="0"/>
        <w:widowControl w:val="0"/>
        <w:kinsoku/>
        <w:wordWrap/>
        <w:overflowPunct/>
        <w:topLinePunct w:val="0"/>
        <w:bidi w:val="0"/>
        <w:snapToGrid w:val="0"/>
        <w:spacing w:line="575"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目</w:t>
      </w:r>
      <w:r>
        <w:rPr>
          <w:rFonts w:hint="default" w:ascii="Times New Roman" w:hAnsi="Times New Roman" w:eastAsia="方正仿宋_GBK" w:cs="Times New Roman"/>
          <w:sz w:val="32"/>
          <w:szCs w:val="32"/>
        </w:rPr>
        <w:t>投资概算表</w:t>
      </w:r>
    </w:p>
    <w:p w14:paraId="2802A027">
      <w:pPr>
        <w:keepNext w:val="0"/>
        <w:keepLines w:val="0"/>
        <w:pageBreakBefore w:val="0"/>
        <w:widowControl w:val="0"/>
        <w:kinsoku/>
        <w:wordWrap/>
        <w:overflowPunct/>
        <w:topLinePunct w:val="0"/>
        <w:bidi w:val="0"/>
        <w:spacing w:line="575"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244B4666">
      <w:pPr>
        <w:keepNext w:val="0"/>
        <w:keepLines w:val="0"/>
        <w:pageBreakBefore w:val="0"/>
        <w:widowControl w:val="0"/>
        <w:kinsoku/>
        <w:wordWrap/>
        <w:overflowPunct/>
        <w:topLinePunct w:val="0"/>
        <w:bidi w:val="0"/>
        <w:spacing w:line="575" w:lineRule="exact"/>
        <w:ind w:firstLine="4160" w:firstLineChars="13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r>
        <w:rPr>
          <w:rFonts w:hint="default" w:ascii="Times New Roman" w:hAnsi="Times New Roman" w:eastAsia="方正仿宋_GBK" w:cs="Times New Roman"/>
          <w:sz w:val="32"/>
          <w:szCs w:val="32"/>
          <w:lang w:val="en-US" w:eastAsia="zh-CN"/>
        </w:rPr>
        <w:t xml:space="preserve">     </w:t>
      </w:r>
    </w:p>
    <w:p w14:paraId="3989A7FD">
      <w:pPr>
        <w:pStyle w:val="4"/>
        <w:keepNext w:val="0"/>
        <w:keepLines w:val="0"/>
        <w:pageBreakBefore w:val="0"/>
        <w:widowControl w:val="0"/>
        <w:kinsoku/>
        <w:wordWrap/>
        <w:overflowPunct/>
        <w:topLinePunct w:val="0"/>
        <w:bidi w:val="0"/>
        <w:spacing w:line="575" w:lineRule="exact"/>
        <w:ind w:firstLine="643"/>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p>
    <w:p w14:paraId="7497BCA4">
      <w:pPr>
        <w:pStyle w:val="6"/>
        <w:rPr>
          <w:rFonts w:hint="eastAsia" w:ascii="方正黑体_GBK" w:hAnsi="方正黑体_GBK" w:eastAsia="方正黑体_GBK" w:cs="方正黑体_GBK"/>
          <w:sz w:val="36"/>
          <w:szCs w:val="36"/>
        </w:rPr>
      </w:pPr>
      <w:r>
        <w:rPr>
          <w:rFonts w:hint="eastAsia" w:ascii="方正黑体_GBK" w:hAnsi="方正黑体_GBK" w:eastAsia="方正黑体_GBK" w:cs="方正黑体_GBK"/>
          <w:kern w:val="0"/>
          <w:sz w:val="28"/>
          <w:szCs w:val="28"/>
        </w:rPr>
        <w:t>附件</w:t>
      </w:r>
    </w:p>
    <w:p w14:paraId="7CED0326">
      <w:pPr>
        <w:pStyle w:val="6"/>
        <w:spacing w:line="580" w:lineRule="exac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t>国道G319线K2116+663~K2159+720段灾害防治项目</w:t>
      </w:r>
    </w:p>
    <w:p w14:paraId="740C62ED">
      <w:pPr>
        <w:pStyle w:val="6"/>
        <w:spacing w:line="580" w:lineRule="exac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rPr>
        <w:t>投</w:t>
      </w:r>
      <w:r>
        <w:rPr>
          <w:rFonts w:hint="eastAsia" w:ascii="方正小标宋_GBK" w:hAnsi="方正小标宋_GBK" w:eastAsia="方正小标宋_GBK" w:cs="方正小标宋_GBK"/>
          <w:kern w:val="0"/>
          <w:sz w:val="36"/>
          <w:szCs w:val="36"/>
          <w:lang w:eastAsia="zh-CN"/>
        </w:rPr>
        <w:t>资概算表</w:t>
      </w:r>
    </w:p>
    <w:p w14:paraId="52FB2A9F">
      <w:pPr>
        <w:pStyle w:val="6"/>
        <w:spacing w:line="580" w:lineRule="exact"/>
        <w:jc w:val="both"/>
        <w:rPr>
          <w:rFonts w:hint="eastAsia" w:ascii="方正仿宋_GBK" w:hAnsi="方正仿宋_GBK" w:cs="方正仿宋_GBK"/>
          <w:kern w:val="0"/>
          <w:sz w:val="24"/>
          <w:szCs w:val="24"/>
        </w:rPr>
      </w:pPr>
      <w:r>
        <w:rPr>
          <w:rFonts w:hint="eastAsia" w:ascii="方正小标宋_GBK" w:hAnsi="方正小标宋_GBK" w:eastAsia="方正小标宋_GBK" w:cs="方正小标宋_GBK"/>
          <w:kern w:val="0"/>
          <w:sz w:val="44"/>
          <w:szCs w:val="44"/>
          <w:lang w:val="en-US" w:eastAsia="zh-CN"/>
        </w:rPr>
        <w:t xml:space="preserve">                                </w:t>
      </w:r>
      <w:r>
        <w:rPr>
          <w:rFonts w:hint="eastAsia" w:ascii="方正小标宋_GBK" w:hAnsi="方正小标宋_GBK" w:eastAsia="方正小标宋_GBK" w:cs="方正小标宋_GBK"/>
          <w:kern w:val="0"/>
          <w:sz w:val="44"/>
          <w:szCs w:val="44"/>
        </w:rPr>
        <w:t xml:space="preserve"> </w:t>
      </w:r>
      <w:r>
        <w:rPr>
          <w:rFonts w:hint="eastAsia" w:ascii="方正仿宋_GBK" w:hAnsi="方正仿宋_GBK" w:eastAsia="方正仿宋_GBK" w:cs="方正仿宋_GBK"/>
          <w:kern w:val="0"/>
          <w:sz w:val="24"/>
          <w:szCs w:val="24"/>
        </w:rPr>
        <w:t xml:space="preserve"> 单位：万</w:t>
      </w:r>
      <w:r>
        <w:rPr>
          <w:rFonts w:hint="eastAsia" w:ascii="方正仿宋_GBK" w:hAnsi="方正仿宋_GBK" w:eastAsia="方正仿宋_GBK" w:cs="方正仿宋_GBK"/>
          <w:kern w:val="0"/>
          <w:sz w:val="24"/>
          <w:szCs w:val="24"/>
          <w:lang w:eastAsia="zh-CN"/>
        </w:rPr>
        <w:t>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760"/>
        <w:gridCol w:w="1425"/>
        <w:gridCol w:w="1650"/>
        <w:gridCol w:w="1905"/>
      </w:tblGrid>
      <w:tr w14:paraId="3CD0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023" w:type="dxa"/>
            <w:noWrap w:val="0"/>
            <w:vAlign w:val="center"/>
          </w:tcPr>
          <w:p w14:paraId="1AA1A26D">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kern w:val="0"/>
                <w:sz w:val="28"/>
                <w:szCs w:val="28"/>
                <w:lang w:val="en-US" w:eastAsia="zh-CN" w:bidi="ar-SA"/>
              </w:rPr>
            </w:pPr>
            <w:r>
              <w:rPr>
                <w:rFonts w:hint="default" w:ascii="Times New Roman" w:hAnsi="Times New Roman" w:eastAsia="方正黑体_GBK" w:cs="Times New Roman"/>
                <w:kern w:val="0"/>
                <w:sz w:val="28"/>
                <w:szCs w:val="28"/>
              </w:rPr>
              <w:t>序号</w:t>
            </w:r>
          </w:p>
        </w:tc>
        <w:tc>
          <w:tcPr>
            <w:tcW w:w="2760" w:type="dxa"/>
            <w:noWrap w:val="0"/>
            <w:vAlign w:val="center"/>
          </w:tcPr>
          <w:p w14:paraId="0F80813A">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kern w:val="0"/>
                <w:sz w:val="28"/>
                <w:szCs w:val="28"/>
                <w:lang w:val="en-US" w:eastAsia="zh-CN" w:bidi="ar-SA"/>
              </w:rPr>
            </w:pPr>
            <w:r>
              <w:rPr>
                <w:rFonts w:hint="default" w:ascii="Times New Roman" w:hAnsi="Times New Roman" w:eastAsia="方正黑体_GBK" w:cs="Times New Roman"/>
                <w:kern w:val="0"/>
                <w:sz w:val="28"/>
                <w:szCs w:val="28"/>
              </w:rPr>
              <w:t>名   称</w:t>
            </w:r>
          </w:p>
        </w:tc>
        <w:tc>
          <w:tcPr>
            <w:tcW w:w="1425" w:type="dxa"/>
            <w:noWrap w:val="0"/>
            <w:vAlign w:val="center"/>
          </w:tcPr>
          <w:p w14:paraId="31BD6CB2">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kern w:val="0"/>
                <w:sz w:val="28"/>
                <w:szCs w:val="28"/>
                <w:lang w:val="en-US" w:eastAsia="zh-CN" w:bidi="ar-SA"/>
              </w:rPr>
            </w:pPr>
            <w:r>
              <w:rPr>
                <w:rFonts w:hint="default" w:ascii="Times New Roman" w:hAnsi="Times New Roman" w:eastAsia="方正黑体_GBK" w:cs="Times New Roman"/>
                <w:kern w:val="0"/>
                <w:sz w:val="28"/>
                <w:szCs w:val="28"/>
                <w:lang w:eastAsia="zh-CN"/>
              </w:rPr>
              <w:t>规模</w:t>
            </w:r>
          </w:p>
        </w:tc>
        <w:tc>
          <w:tcPr>
            <w:tcW w:w="1650" w:type="dxa"/>
            <w:noWrap w:val="0"/>
            <w:vAlign w:val="center"/>
          </w:tcPr>
          <w:p w14:paraId="0B288613">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b w:val="0"/>
                <w:bCs w:val="0"/>
                <w:kern w:val="0"/>
                <w:sz w:val="22"/>
                <w:szCs w:val="22"/>
                <w:lang w:val="en-US" w:eastAsia="zh-CN" w:bidi="ar-SA"/>
              </w:rPr>
            </w:pPr>
            <w:r>
              <w:rPr>
                <w:rFonts w:hint="default" w:ascii="Times New Roman" w:hAnsi="Times New Roman" w:eastAsia="方正黑体_GBK" w:cs="Times New Roman"/>
                <w:b w:val="0"/>
                <w:bCs w:val="0"/>
                <w:kern w:val="0"/>
                <w:sz w:val="22"/>
                <w:szCs w:val="22"/>
                <w:lang w:val="en-US" w:eastAsia="zh-CN" w:bidi="ar-SA"/>
              </w:rPr>
              <w:t xml:space="preserve">审核单价 </w:t>
            </w:r>
          </w:p>
          <w:p w14:paraId="5D6E8A1A">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kern w:val="0"/>
                <w:sz w:val="28"/>
                <w:szCs w:val="28"/>
                <w:lang w:val="en-US" w:eastAsia="zh-CN" w:bidi="ar-SA"/>
              </w:rPr>
            </w:pPr>
            <w:r>
              <w:rPr>
                <w:rFonts w:hint="default" w:ascii="Times New Roman" w:hAnsi="Times New Roman" w:eastAsia="方正黑体_GBK" w:cs="Times New Roman"/>
                <w:b w:val="0"/>
                <w:bCs w:val="0"/>
                <w:kern w:val="0"/>
                <w:sz w:val="22"/>
                <w:szCs w:val="22"/>
                <w:lang w:val="en-US" w:eastAsia="zh-CN" w:bidi="ar-SA"/>
              </w:rPr>
              <w:t>（或取费率）</w:t>
            </w:r>
          </w:p>
        </w:tc>
        <w:tc>
          <w:tcPr>
            <w:tcW w:w="1905" w:type="dxa"/>
            <w:noWrap w:val="0"/>
            <w:vAlign w:val="center"/>
          </w:tcPr>
          <w:p w14:paraId="453CB148">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方正黑体_GBK" w:cs="Times New Roman"/>
                <w:kern w:val="0"/>
                <w:sz w:val="28"/>
                <w:szCs w:val="28"/>
                <w:lang w:val="en-US" w:eastAsia="zh-CN" w:bidi="ar-SA"/>
              </w:rPr>
            </w:pPr>
            <w:r>
              <w:rPr>
                <w:rFonts w:hint="default" w:ascii="Times New Roman" w:hAnsi="Times New Roman" w:eastAsia="方正黑体_GBK" w:cs="Times New Roman"/>
                <w:kern w:val="0"/>
                <w:sz w:val="28"/>
                <w:szCs w:val="28"/>
              </w:rPr>
              <w:t>审核金额</w:t>
            </w:r>
          </w:p>
        </w:tc>
      </w:tr>
      <w:tr w14:paraId="06F1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46240EA0">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1"/>
                <w:rFonts w:hint="default" w:ascii="Times New Roman" w:hAnsi="Times New Roman" w:cs="Times New Roman"/>
                <w:sz w:val="20"/>
                <w:szCs w:val="20"/>
                <w:lang w:val="en-US" w:eastAsia="zh-CN" w:bidi="ar"/>
              </w:rPr>
              <w:t>一</w:t>
            </w:r>
          </w:p>
        </w:tc>
        <w:tc>
          <w:tcPr>
            <w:tcW w:w="2760" w:type="dxa"/>
            <w:noWrap w:val="0"/>
            <w:vAlign w:val="center"/>
          </w:tcPr>
          <w:p w14:paraId="657272E8">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21"/>
                <w:rFonts w:hint="default" w:ascii="Times New Roman" w:hAnsi="Times New Roman" w:cs="Times New Roman"/>
                <w:sz w:val="20"/>
                <w:szCs w:val="20"/>
                <w:lang w:val="en-US" w:eastAsia="zh-CN" w:bidi="ar"/>
              </w:rPr>
              <w:t>工程费用</w:t>
            </w:r>
          </w:p>
        </w:tc>
        <w:tc>
          <w:tcPr>
            <w:tcW w:w="1425" w:type="dxa"/>
            <w:noWrap w:val="0"/>
            <w:vAlign w:val="center"/>
          </w:tcPr>
          <w:p w14:paraId="72981CDD">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43.057km</w:t>
            </w:r>
          </w:p>
        </w:tc>
        <w:tc>
          <w:tcPr>
            <w:tcW w:w="1650" w:type="dxa"/>
            <w:noWrap w:val="0"/>
            <w:vAlign w:val="center"/>
          </w:tcPr>
          <w:p w14:paraId="2029BA50">
            <w:pPr>
              <w:jc w:val="center"/>
              <w:rPr>
                <w:rFonts w:hint="default" w:ascii="Times New Roman" w:hAnsi="Times New Roman" w:eastAsia="方正小标宋_GBK" w:cs="Times New Roman"/>
                <w:kern w:val="0"/>
                <w:sz w:val="20"/>
                <w:szCs w:val="20"/>
                <w:vertAlign w:val="baseline"/>
              </w:rPr>
            </w:pPr>
          </w:p>
        </w:tc>
        <w:tc>
          <w:tcPr>
            <w:tcW w:w="1905" w:type="dxa"/>
            <w:noWrap w:val="0"/>
            <w:vAlign w:val="center"/>
          </w:tcPr>
          <w:p w14:paraId="2C57ED33">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b/>
                <w:i w:val="0"/>
                <w:color w:val="000000"/>
                <w:kern w:val="0"/>
                <w:sz w:val="20"/>
                <w:szCs w:val="20"/>
                <w:u w:val="none"/>
                <w:lang w:val="en-US" w:eastAsia="zh-CN" w:bidi="ar"/>
              </w:rPr>
              <w:t xml:space="preserve">996.9 </w:t>
            </w:r>
          </w:p>
        </w:tc>
      </w:tr>
      <w:tr w14:paraId="3343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1260F6FE">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1</w:t>
            </w:r>
          </w:p>
        </w:tc>
        <w:tc>
          <w:tcPr>
            <w:tcW w:w="2760" w:type="dxa"/>
            <w:noWrap w:val="0"/>
            <w:vAlign w:val="center"/>
          </w:tcPr>
          <w:p w14:paraId="71887CB1">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国道</w:t>
            </w:r>
            <w:r>
              <w:rPr>
                <w:rStyle w:val="22"/>
                <w:rFonts w:hint="default" w:ascii="Times New Roman" w:hAnsi="Times New Roman" w:eastAsia="宋体" w:cs="Times New Roman"/>
                <w:sz w:val="20"/>
                <w:szCs w:val="20"/>
                <w:lang w:val="en-US" w:eastAsia="zh-CN" w:bidi="ar"/>
              </w:rPr>
              <w:t xml:space="preserve">G319 </w:t>
            </w:r>
            <w:r>
              <w:rPr>
                <w:rStyle w:val="30"/>
                <w:rFonts w:hint="default" w:ascii="Times New Roman" w:hAnsi="Times New Roman" w:cs="Times New Roman"/>
                <w:sz w:val="20"/>
                <w:szCs w:val="20"/>
                <w:lang w:val="en-US" w:eastAsia="zh-CN" w:bidi="ar"/>
              </w:rPr>
              <w:t>线</w:t>
            </w:r>
            <w:r>
              <w:rPr>
                <w:rStyle w:val="22"/>
                <w:rFonts w:hint="default" w:ascii="Times New Roman" w:hAnsi="Times New Roman" w:eastAsia="宋体" w:cs="Times New Roman"/>
                <w:sz w:val="20"/>
                <w:szCs w:val="20"/>
                <w:lang w:val="en-US" w:eastAsia="zh-CN" w:bidi="ar"/>
              </w:rPr>
              <w:t>K2116+663</w:t>
            </w:r>
            <w:r>
              <w:rPr>
                <w:rStyle w:val="30"/>
                <w:rFonts w:hint="default" w:ascii="Times New Roman" w:hAnsi="Times New Roman" w:cs="Times New Roman"/>
                <w:sz w:val="20"/>
                <w:szCs w:val="20"/>
                <w:lang w:val="en-US" w:eastAsia="zh-CN" w:bidi="ar"/>
              </w:rPr>
              <w:t>～</w:t>
            </w:r>
            <w:r>
              <w:rPr>
                <w:rStyle w:val="22"/>
                <w:rFonts w:hint="default" w:ascii="Times New Roman" w:hAnsi="Times New Roman" w:eastAsia="宋体" w:cs="Times New Roman"/>
                <w:sz w:val="20"/>
                <w:szCs w:val="20"/>
                <w:lang w:val="en-US" w:eastAsia="zh-CN" w:bidi="ar"/>
              </w:rPr>
              <w:t xml:space="preserve">K2159+720 </w:t>
            </w:r>
            <w:r>
              <w:rPr>
                <w:rStyle w:val="30"/>
                <w:rFonts w:hint="default" w:ascii="Times New Roman" w:hAnsi="Times New Roman" w:cs="Times New Roman"/>
                <w:sz w:val="20"/>
                <w:szCs w:val="20"/>
                <w:lang w:val="en-US" w:eastAsia="zh-CN" w:bidi="ar"/>
              </w:rPr>
              <w:t>段灾害防治项目</w:t>
            </w:r>
          </w:p>
        </w:tc>
        <w:tc>
          <w:tcPr>
            <w:tcW w:w="1425" w:type="dxa"/>
            <w:noWrap w:val="0"/>
            <w:vAlign w:val="center"/>
          </w:tcPr>
          <w:p w14:paraId="23AA0806">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43.057km</w:t>
            </w:r>
          </w:p>
        </w:tc>
        <w:tc>
          <w:tcPr>
            <w:tcW w:w="1650" w:type="dxa"/>
            <w:noWrap w:val="0"/>
            <w:vAlign w:val="center"/>
          </w:tcPr>
          <w:p w14:paraId="557A3E53">
            <w:pPr>
              <w:jc w:val="left"/>
              <w:rPr>
                <w:rFonts w:hint="default" w:ascii="Times New Roman" w:hAnsi="Times New Roman" w:eastAsia="方正小标宋_GBK" w:cs="Times New Roman"/>
                <w:kern w:val="0"/>
                <w:sz w:val="20"/>
                <w:szCs w:val="20"/>
                <w:vertAlign w:val="baseline"/>
              </w:rPr>
            </w:pPr>
          </w:p>
        </w:tc>
        <w:tc>
          <w:tcPr>
            <w:tcW w:w="1905" w:type="dxa"/>
            <w:noWrap w:val="0"/>
            <w:vAlign w:val="center"/>
          </w:tcPr>
          <w:p w14:paraId="41A3D757">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996.9</w:t>
            </w:r>
          </w:p>
        </w:tc>
      </w:tr>
      <w:tr w14:paraId="0D38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006B346F">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二</w:t>
            </w:r>
          </w:p>
        </w:tc>
        <w:tc>
          <w:tcPr>
            <w:tcW w:w="2760" w:type="dxa"/>
            <w:noWrap w:val="0"/>
            <w:vAlign w:val="center"/>
          </w:tcPr>
          <w:p w14:paraId="7BC56EF8">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21"/>
                <w:rFonts w:hint="default" w:ascii="Times New Roman" w:hAnsi="Times New Roman" w:cs="Times New Roman"/>
                <w:sz w:val="20"/>
                <w:szCs w:val="20"/>
                <w:lang w:val="en-US" w:eastAsia="zh-CN" w:bidi="ar"/>
              </w:rPr>
              <w:t>土地使用及拆迁补偿费</w:t>
            </w:r>
          </w:p>
        </w:tc>
        <w:tc>
          <w:tcPr>
            <w:tcW w:w="1425" w:type="dxa"/>
            <w:noWrap w:val="0"/>
            <w:vAlign w:val="center"/>
          </w:tcPr>
          <w:p w14:paraId="5FA57071">
            <w:pPr>
              <w:jc w:val="center"/>
              <w:rPr>
                <w:rFonts w:hint="default" w:ascii="Times New Roman" w:hAnsi="Times New Roman" w:eastAsia="方正小标宋_GBK" w:cs="Times New Roman"/>
                <w:kern w:val="0"/>
                <w:sz w:val="20"/>
                <w:szCs w:val="20"/>
                <w:vertAlign w:val="baseline"/>
              </w:rPr>
            </w:pPr>
          </w:p>
        </w:tc>
        <w:tc>
          <w:tcPr>
            <w:tcW w:w="1650" w:type="dxa"/>
            <w:noWrap w:val="0"/>
            <w:vAlign w:val="center"/>
          </w:tcPr>
          <w:p w14:paraId="3CE58690">
            <w:pPr>
              <w:jc w:val="center"/>
              <w:rPr>
                <w:rFonts w:hint="default" w:ascii="Times New Roman" w:hAnsi="Times New Roman" w:eastAsia="方正小标宋_GBK" w:cs="Times New Roman"/>
                <w:kern w:val="0"/>
                <w:sz w:val="20"/>
                <w:szCs w:val="20"/>
                <w:vertAlign w:val="baseline"/>
              </w:rPr>
            </w:pPr>
          </w:p>
        </w:tc>
        <w:tc>
          <w:tcPr>
            <w:tcW w:w="1905" w:type="dxa"/>
            <w:noWrap w:val="0"/>
            <w:vAlign w:val="center"/>
          </w:tcPr>
          <w:p w14:paraId="230960FB">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b/>
                <w:i w:val="0"/>
                <w:color w:val="000000"/>
                <w:kern w:val="0"/>
                <w:sz w:val="20"/>
                <w:szCs w:val="20"/>
                <w:u w:val="none"/>
                <w:lang w:val="en-US" w:eastAsia="zh-CN" w:bidi="ar"/>
              </w:rPr>
              <w:t xml:space="preserve">1.0 </w:t>
            </w:r>
          </w:p>
        </w:tc>
      </w:tr>
      <w:tr w14:paraId="77C4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48C95241">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1"/>
                <w:rFonts w:hint="default" w:ascii="Times New Roman" w:hAnsi="Times New Roman" w:cs="Times New Roman"/>
                <w:sz w:val="20"/>
                <w:szCs w:val="20"/>
                <w:lang w:val="en-US" w:eastAsia="zh-CN" w:bidi="ar"/>
              </w:rPr>
              <w:t>三</w:t>
            </w:r>
          </w:p>
        </w:tc>
        <w:tc>
          <w:tcPr>
            <w:tcW w:w="2760" w:type="dxa"/>
            <w:noWrap w:val="0"/>
            <w:vAlign w:val="center"/>
          </w:tcPr>
          <w:p w14:paraId="2E621E3D">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21"/>
                <w:rFonts w:hint="default" w:ascii="Times New Roman" w:hAnsi="Times New Roman" w:cs="Times New Roman"/>
                <w:sz w:val="20"/>
                <w:szCs w:val="20"/>
                <w:lang w:val="en-US" w:eastAsia="zh-CN" w:bidi="ar"/>
              </w:rPr>
              <w:t>工程建设其他费用</w:t>
            </w:r>
          </w:p>
        </w:tc>
        <w:tc>
          <w:tcPr>
            <w:tcW w:w="1425" w:type="dxa"/>
            <w:noWrap w:val="0"/>
            <w:vAlign w:val="center"/>
          </w:tcPr>
          <w:p w14:paraId="0EBE4D56">
            <w:pPr>
              <w:jc w:val="center"/>
              <w:rPr>
                <w:rFonts w:hint="default" w:ascii="Times New Roman" w:hAnsi="Times New Roman" w:eastAsia="方正小标宋_GBK" w:cs="Times New Roman"/>
                <w:kern w:val="0"/>
                <w:sz w:val="20"/>
                <w:szCs w:val="20"/>
                <w:vertAlign w:val="baseline"/>
              </w:rPr>
            </w:pPr>
          </w:p>
        </w:tc>
        <w:tc>
          <w:tcPr>
            <w:tcW w:w="1650" w:type="dxa"/>
            <w:noWrap w:val="0"/>
            <w:vAlign w:val="center"/>
          </w:tcPr>
          <w:p w14:paraId="5A3D6BB9">
            <w:pPr>
              <w:jc w:val="center"/>
              <w:rPr>
                <w:rFonts w:hint="default" w:ascii="Times New Roman" w:hAnsi="Times New Roman" w:eastAsia="方正小标宋_GBK" w:cs="Times New Roman"/>
                <w:kern w:val="0"/>
                <w:sz w:val="20"/>
                <w:szCs w:val="20"/>
                <w:vertAlign w:val="baseline"/>
              </w:rPr>
            </w:pPr>
          </w:p>
        </w:tc>
        <w:tc>
          <w:tcPr>
            <w:tcW w:w="1905" w:type="dxa"/>
            <w:noWrap w:val="0"/>
            <w:vAlign w:val="center"/>
          </w:tcPr>
          <w:p w14:paraId="2C6BE6FD">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b/>
                <w:i w:val="0"/>
                <w:color w:val="000000"/>
                <w:kern w:val="0"/>
                <w:sz w:val="20"/>
                <w:szCs w:val="20"/>
                <w:u w:val="none"/>
                <w:lang w:val="en-US" w:eastAsia="zh-CN" w:bidi="ar"/>
              </w:rPr>
              <w:t xml:space="preserve">143.8 </w:t>
            </w:r>
          </w:p>
        </w:tc>
      </w:tr>
      <w:tr w14:paraId="1E0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70F245E5">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1</w:t>
            </w:r>
          </w:p>
        </w:tc>
        <w:tc>
          <w:tcPr>
            <w:tcW w:w="2760" w:type="dxa"/>
            <w:noWrap w:val="0"/>
            <w:vAlign w:val="center"/>
          </w:tcPr>
          <w:p w14:paraId="63554F85">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建设单位（业主）管理费</w:t>
            </w:r>
          </w:p>
        </w:tc>
        <w:tc>
          <w:tcPr>
            <w:tcW w:w="1425" w:type="dxa"/>
            <w:noWrap w:val="0"/>
            <w:vAlign w:val="center"/>
          </w:tcPr>
          <w:p w14:paraId="579F3106">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noWrap w:val="0"/>
            <w:vAlign w:val="center"/>
          </w:tcPr>
          <w:p w14:paraId="48371914">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方正仿宋_GBK" w:cs="Times New Roman"/>
                <w:i w:val="0"/>
                <w:color w:val="000000"/>
                <w:kern w:val="0"/>
                <w:sz w:val="20"/>
                <w:szCs w:val="20"/>
                <w:u w:val="none"/>
                <w:lang w:val="en-US" w:eastAsia="zh-CN" w:bidi="ar"/>
              </w:rPr>
              <w:t>累进制</w:t>
            </w:r>
          </w:p>
        </w:tc>
        <w:tc>
          <w:tcPr>
            <w:tcW w:w="1905" w:type="dxa"/>
            <w:noWrap w:val="0"/>
            <w:vAlign w:val="center"/>
          </w:tcPr>
          <w:p w14:paraId="662A82BF">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 xml:space="preserve">35.2 </w:t>
            </w:r>
          </w:p>
        </w:tc>
      </w:tr>
      <w:tr w14:paraId="7F20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043A13A6">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2</w:t>
            </w:r>
          </w:p>
        </w:tc>
        <w:tc>
          <w:tcPr>
            <w:tcW w:w="2760" w:type="dxa"/>
            <w:noWrap w:val="0"/>
            <w:vAlign w:val="center"/>
          </w:tcPr>
          <w:p w14:paraId="6FCD9A76">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建设项目信息化费</w:t>
            </w:r>
          </w:p>
        </w:tc>
        <w:tc>
          <w:tcPr>
            <w:tcW w:w="1425" w:type="dxa"/>
            <w:noWrap w:val="0"/>
            <w:vAlign w:val="center"/>
          </w:tcPr>
          <w:p w14:paraId="68ACEF46">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noWrap w:val="0"/>
            <w:vAlign w:val="center"/>
          </w:tcPr>
          <w:p w14:paraId="25965354">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方正仿宋_GBK" w:cs="Times New Roman"/>
                <w:i w:val="0"/>
                <w:color w:val="000000"/>
                <w:kern w:val="0"/>
                <w:sz w:val="20"/>
                <w:szCs w:val="20"/>
                <w:u w:val="none"/>
                <w:lang w:val="en-US" w:eastAsia="zh-CN" w:bidi="ar"/>
              </w:rPr>
              <w:t>累进制</w:t>
            </w:r>
          </w:p>
        </w:tc>
        <w:tc>
          <w:tcPr>
            <w:tcW w:w="1905" w:type="dxa"/>
            <w:noWrap w:val="0"/>
            <w:vAlign w:val="center"/>
          </w:tcPr>
          <w:p w14:paraId="61B87503">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 xml:space="preserve">6.2 </w:t>
            </w:r>
          </w:p>
        </w:tc>
      </w:tr>
      <w:tr w14:paraId="5EAC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4F6CFC9E">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3</w:t>
            </w:r>
          </w:p>
        </w:tc>
        <w:tc>
          <w:tcPr>
            <w:tcW w:w="2760" w:type="dxa"/>
            <w:noWrap w:val="0"/>
            <w:vAlign w:val="center"/>
          </w:tcPr>
          <w:p w14:paraId="4C97527B">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工程监理费</w:t>
            </w:r>
          </w:p>
        </w:tc>
        <w:tc>
          <w:tcPr>
            <w:tcW w:w="1425" w:type="dxa"/>
            <w:noWrap w:val="0"/>
            <w:vAlign w:val="center"/>
          </w:tcPr>
          <w:p w14:paraId="7575D2DF">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noWrap w:val="0"/>
            <w:vAlign w:val="center"/>
          </w:tcPr>
          <w:p w14:paraId="72DD7220">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方正仿宋_GBK" w:cs="Times New Roman"/>
                <w:i w:val="0"/>
                <w:color w:val="000000"/>
                <w:kern w:val="0"/>
                <w:sz w:val="20"/>
                <w:szCs w:val="20"/>
                <w:u w:val="none"/>
                <w:lang w:val="en-US" w:eastAsia="zh-CN" w:bidi="ar"/>
              </w:rPr>
              <w:t>累进制</w:t>
            </w:r>
          </w:p>
        </w:tc>
        <w:tc>
          <w:tcPr>
            <w:tcW w:w="1905" w:type="dxa"/>
            <w:noWrap w:val="0"/>
            <w:vAlign w:val="center"/>
          </w:tcPr>
          <w:p w14:paraId="66769985">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 xml:space="preserve">26.9 </w:t>
            </w:r>
          </w:p>
        </w:tc>
      </w:tr>
      <w:tr w14:paraId="6B18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32012541">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4</w:t>
            </w:r>
          </w:p>
        </w:tc>
        <w:tc>
          <w:tcPr>
            <w:tcW w:w="2760" w:type="dxa"/>
            <w:noWrap w:val="0"/>
            <w:vAlign w:val="center"/>
          </w:tcPr>
          <w:p w14:paraId="69CCF548">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设计文件审查费</w:t>
            </w:r>
          </w:p>
        </w:tc>
        <w:tc>
          <w:tcPr>
            <w:tcW w:w="1425" w:type="dxa"/>
            <w:noWrap w:val="0"/>
            <w:vAlign w:val="center"/>
          </w:tcPr>
          <w:p w14:paraId="6E7D76FE">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noWrap w:val="0"/>
            <w:vAlign w:val="center"/>
          </w:tcPr>
          <w:p w14:paraId="4B1CF2F8">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方正仿宋_GBK" w:cs="Times New Roman"/>
                <w:i w:val="0"/>
                <w:color w:val="000000"/>
                <w:kern w:val="0"/>
                <w:sz w:val="20"/>
                <w:szCs w:val="20"/>
                <w:u w:val="none"/>
                <w:lang w:val="en-US" w:eastAsia="zh-CN" w:bidi="ar"/>
              </w:rPr>
              <w:t>累进制</w:t>
            </w:r>
          </w:p>
        </w:tc>
        <w:tc>
          <w:tcPr>
            <w:tcW w:w="1905" w:type="dxa"/>
            <w:noWrap w:val="0"/>
            <w:vAlign w:val="center"/>
          </w:tcPr>
          <w:p w14:paraId="00B70FD5">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 xml:space="preserve">8.8 </w:t>
            </w:r>
          </w:p>
        </w:tc>
      </w:tr>
      <w:tr w14:paraId="735D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7520570E">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5</w:t>
            </w:r>
          </w:p>
        </w:tc>
        <w:tc>
          <w:tcPr>
            <w:tcW w:w="2760" w:type="dxa"/>
            <w:noWrap w:val="0"/>
            <w:vAlign w:val="center"/>
          </w:tcPr>
          <w:p w14:paraId="0F2E7086">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竣（交）工验收试验检测费</w:t>
            </w:r>
          </w:p>
        </w:tc>
        <w:tc>
          <w:tcPr>
            <w:tcW w:w="1425" w:type="dxa"/>
            <w:noWrap w:val="0"/>
            <w:vAlign w:val="center"/>
          </w:tcPr>
          <w:p w14:paraId="31D5A837">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noWrap w:val="0"/>
            <w:vAlign w:val="center"/>
          </w:tcPr>
          <w:p w14:paraId="7CBC75C5">
            <w:pPr>
              <w:jc w:val="center"/>
              <w:rPr>
                <w:rFonts w:hint="default" w:ascii="Times New Roman" w:hAnsi="Times New Roman" w:eastAsia="方正小标宋_GBK" w:cs="Times New Roman"/>
                <w:kern w:val="0"/>
                <w:sz w:val="20"/>
                <w:szCs w:val="20"/>
                <w:vertAlign w:val="baseline"/>
              </w:rPr>
            </w:pPr>
          </w:p>
        </w:tc>
        <w:tc>
          <w:tcPr>
            <w:tcW w:w="1905" w:type="dxa"/>
            <w:noWrap w:val="0"/>
            <w:vAlign w:val="center"/>
          </w:tcPr>
          <w:p w14:paraId="36F86242">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 xml:space="preserve">0.3 </w:t>
            </w:r>
          </w:p>
        </w:tc>
      </w:tr>
      <w:tr w14:paraId="3B70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noWrap w:val="0"/>
            <w:vAlign w:val="center"/>
          </w:tcPr>
          <w:p w14:paraId="30F036E9">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6</w:t>
            </w:r>
          </w:p>
        </w:tc>
        <w:tc>
          <w:tcPr>
            <w:tcW w:w="2760" w:type="dxa"/>
            <w:noWrap w:val="0"/>
            <w:vAlign w:val="center"/>
          </w:tcPr>
          <w:p w14:paraId="48212B0D">
            <w:pPr>
              <w:keepNext w:val="0"/>
              <w:keepLines w:val="0"/>
              <w:widowControl/>
              <w:suppressLineNumbers w:val="0"/>
              <w:jc w:val="left"/>
              <w:textAlignment w:val="center"/>
              <w:rPr>
                <w:rFonts w:hint="default" w:ascii="Times New Roman" w:hAnsi="Times New Roman" w:cs="Times New Roman"/>
                <w:sz w:val="20"/>
                <w:szCs w:val="20"/>
              </w:rPr>
            </w:pPr>
            <w:r>
              <w:rPr>
                <w:rStyle w:val="30"/>
                <w:rFonts w:hint="default" w:ascii="Times New Roman" w:hAnsi="Times New Roman" w:cs="Times New Roman"/>
                <w:sz w:val="20"/>
                <w:szCs w:val="20"/>
                <w:lang w:val="en-US" w:eastAsia="zh-CN" w:bidi="ar"/>
              </w:rPr>
              <w:t>建设项目前期工作费</w:t>
            </w:r>
          </w:p>
        </w:tc>
        <w:tc>
          <w:tcPr>
            <w:tcW w:w="1425" w:type="dxa"/>
            <w:noWrap w:val="0"/>
            <w:vAlign w:val="center"/>
          </w:tcPr>
          <w:p w14:paraId="17783810">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noWrap w:val="0"/>
            <w:vAlign w:val="center"/>
          </w:tcPr>
          <w:p w14:paraId="7DDCF0F7">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方正仿宋_GBK" w:cs="Times New Roman"/>
                <w:i w:val="0"/>
                <w:color w:val="000000"/>
                <w:kern w:val="0"/>
                <w:sz w:val="20"/>
                <w:szCs w:val="20"/>
                <w:u w:val="none"/>
                <w:lang w:val="en-US" w:eastAsia="zh-CN" w:bidi="ar"/>
              </w:rPr>
              <w:t>累进制</w:t>
            </w:r>
          </w:p>
        </w:tc>
        <w:tc>
          <w:tcPr>
            <w:tcW w:w="1905" w:type="dxa"/>
            <w:noWrap w:val="0"/>
            <w:vAlign w:val="center"/>
          </w:tcPr>
          <w:p w14:paraId="1DB25C92">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 xml:space="preserve">52.4 </w:t>
            </w:r>
          </w:p>
        </w:tc>
      </w:tr>
      <w:tr w14:paraId="49F3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shd w:val="clear" w:color="auto" w:fill="auto"/>
            <w:noWrap w:val="0"/>
            <w:vAlign w:val="center"/>
          </w:tcPr>
          <w:p w14:paraId="3E23279D">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7</w:t>
            </w:r>
          </w:p>
        </w:tc>
        <w:tc>
          <w:tcPr>
            <w:tcW w:w="2760" w:type="dxa"/>
            <w:shd w:val="clear" w:color="FFFFFF" w:fill="FFFFFF"/>
            <w:noWrap w:val="0"/>
            <w:vAlign w:val="center"/>
          </w:tcPr>
          <w:p w14:paraId="680ECE9C">
            <w:pPr>
              <w:keepNext w:val="0"/>
              <w:keepLines w:val="0"/>
              <w:widowControl/>
              <w:suppressLineNumbers w:val="0"/>
              <w:jc w:val="left"/>
              <w:textAlignment w:val="center"/>
              <w:rPr>
                <w:rFonts w:hint="default" w:ascii="Times New Roman" w:hAnsi="Times New Roman" w:eastAsia="方正小标宋_GBK" w:cs="Times New Roman"/>
                <w:kern w:val="0"/>
                <w:sz w:val="20"/>
                <w:szCs w:val="20"/>
                <w:vertAlign w:val="baseline"/>
              </w:rPr>
            </w:pPr>
            <w:r>
              <w:rPr>
                <w:rStyle w:val="30"/>
                <w:rFonts w:hint="default" w:ascii="Times New Roman" w:hAnsi="Times New Roman" w:cs="Times New Roman"/>
                <w:sz w:val="20"/>
                <w:szCs w:val="20"/>
                <w:lang w:val="en-US" w:eastAsia="zh-CN" w:bidi="ar"/>
              </w:rPr>
              <w:t>水土保持方案编制费</w:t>
            </w:r>
          </w:p>
        </w:tc>
        <w:tc>
          <w:tcPr>
            <w:tcW w:w="1425" w:type="dxa"/>
            <w:shd w:val="clear" w:color="FFFFFF" w:fill="FFFFFF"/>
            <w:noWrap w:val="0"/>
            <w:vAlign w:val="center"/>
          </w:tcPr>
          <w:p w14:paraId="0E34CE24">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shd w:val="clear" w:color="auto" w:fill="auto"/>
            <w:noWrap w:val="0"/>
            <w:vAlign w:val="center"/>
          </w:tcPr>
          <w:p w14:paraId="001DC8E3">
            <w:pPr>
              <w:jc w:val="center"/>
              <w:rPr>
                <w:rFonts w:hint="default" w:ascii="Times New Roman" w:hAnsi="Times New Roman" w:eastAsia="方正小标宋_GBK" w:cs="Times New Roman"/>
                <w:kern w:val="0"/>
                <w:sz w:val="20"/>
                <w:szCs w:val="20"/>
                <w:vertAlign w:val="baseline"/>
              </w:rPr>
            </w:pPr>
          </w:p>
        </w:tc>
        <w:tc>
          <w:tcPr>
            <w:tcW w:w="1905" w:type="dxa"/>
            <w:shd w:val="clear" w:color="FFFFFF" w:fill="FFFFFF"/>
            <w:noWrap w:val="0"/>
            <w:vAlign w:val="center"/>
          </w:tcPr>
          <w:p w14:paraId="6E041A23">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 xml:space="preserve">5.0 </w:t>
            </w:r>
          </w:p>
        </w:tc>
      </w:tr>
      <w:tr w14:paraId="6E24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shd w:val="clear" w:color="auto" w:fill="auto"/>
            <w:noWrap w:val="0"/>
            <w:vAlign w:val="center"/>
          </w:tcPr>
          <w:p w14:paraId="717FF25C">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w:t>
            </w:r>
          </w:p>
        </w:tc>
        <w:tc>
          <w:tcPr>
            <w:tcW w:w="2760" w:type="dxa"/>
            <w:shd w:val="clear" w:color="FFFFFF" w:fill="FFFFFF"/>
            <w:noWrap w:val="0"/>
            <w:vAlign w:val="center"/>
          </w:tcPr>
          <w:p w14:paraId="42D57A8C">
            <w:pPr>
              <w:keepNext w:val="0"/>
              <w:keepLines w:val="0"/>
              <w:widowControl/>
              <w:suppressLineNumbers w:val="0"/>
              <w:jc w:val="left"/>
              <w:textAlignment w:val="center"/>
              <w:rPr>
                <w:rFonts w:hint="default" w:ascii="Times New Roman" w:hAnsi="Times New Roman" w:eastAsia="方正仿宋_GBK" w:cs="Times New Roman"/>
                <w:b/>
                <w:i w:val="0"/>
                <w:color w:val="000000"/>
                <w:kern w:val="0"/>
                <w:sz w:val="20"/>
                <w:szCs w:val="20"/>
                <w:u w:val="none"/>
                <w:lang w:val="en-US" w:eastAsia="zh-CN" w:bidi="ar"/>
              </w:rPr>
            </w:pPr>
            <w:r>
              <w:rPr>
                <w:rStyle w:val="30"/>
                <w:rFonts w:hint="default" w:ascii="Times New Roman" w:hAnsi="Times New Roman" w:cs="Times New Roman"/>
                <w:sz w:val="20"/>
                <w:szCs w:val="20"/>
                <w:lang w:val="en-US" w:eastAsia="zh-CN" w:bidi="ar"/>
              </w:rPr>
              <w:t>工程保通管理费</w:t>
            </w:r>
          </w:p>
        </w:tc>
        <w:tc>
          <w:tcPr>
            <w:tcW w:w="1425" w:type="dxa"/>
            <w:shd w:val="clear" w:color="FFFFFF" w:fill="FFFFFF"/>
            <w:noWrap w:val="0"/>
            <w:vAlign w:val="center"/>
          </w:tcPr>
          <w:p w14:paraId="2315A975">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shd w:val="clear" w:color="FFFFFF" w:fill="FFFFFF"/>
            <w:noWrap w:val="0"/>
            <w:vAlign w:val="center"/>
          </w:tcPr>
          <w:p w14:paraId="7D8F702F">
            <w:pPr>
              <w:jc w:val="center"/>
              <w:rPr>
                <w:rFonts w:hint="default" w:ascii="Times New Roman" w:hAnsi="Times New Roman" w:eastAsia="方正小标宋_GBK" w:cs="Times New Roman"/>
                <w:kern w:val="0"/>
                <w:sz w:val="20"/>
                <w:szCs w:val="20"/>
                <w:vertAlign w:val="baseline"/>
              </w:rPr>
            </w:pPr>
          </w:p>
        </w:tc>
        <w:tc>
          <w:tcPr>
            <w:tcW w:w="1905" w:type="dxa"/>
            <w:shd w:val="clear" w:color="FFFFFF" w:fill="FFFFFF"/>
            <w:noWrap w:val="0"/>
            <w:vAlign w:val="center"/>
          </w:tcPr>
          <w:p w14:paraId="1EE62CE9">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5.0 </w:t>
            </w:r>
          </w:p>
        </w:tc>
      </w:tr>
      <w:tr w14:paraId="46C9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shd w:val="clear" w:color="auto" w:fill="auto"/>
            <w:noWrap w:val="0"/>
            <w:vAlign w:val="center"/>
          </w:tcPr>
          <w:p w14:paraId="5B945C61">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w:t>
            </w:r>
          </w:p>
        </w:tc>
        <w:tc>
          <w:tcPr>
            <w:tcW w:w="2760" w:type="dxa"/>
            <w:shd w:val="clear" w:color="FFFFFF" w:fill="FFFFFF"/>
            <w:noWrap w:val="0"/>
            <w:vAlign w:val="center"/>
          </w:tcPr>
          <w:p w14:paraId="08A00D27">
            <w:pPr>
              <w:keepNext w:val="0"/>
              <w:keepLines w:val="0"/>
              <w:widowControl/>
              <w:suppressLineNumbers w:val="0"/>
              <w:jc w:val="left"/>
              <w:textAlignment w:val="center"/>
              <w:rPr>
                <w:rFonts w:hint="default" w:ascii="Times New Roman" w:hAnsi="Times New Roman" w:cs="Times New Roman"/>
                <w:sz w:val="20"/>
                <w:szCs w:val="20"/>
              </w:rPr>
            </w:pPr>
            <w:r>
              <w:rPr>
                <w:rStyle w:val="30"/>
                <w:rFonts w:hint="default" w:ascii="Times New Roman" w:hAnsi="Times New Roman" w:cs="Times New Roman"/>
                <w:sz w:val="20"/>
                <w:szCs w:val="20"/>
                <w:lang w:val="en-US" w:eastAsia="zh-CN" w:bidi="ar"/>
              </w:rPr>
              <w:t>工程保险费</w:t>
            </w:r>
          </w:p>
        </w:tc>
        <w:tc>
          <w:tcPr>
            <w:tcW w:w="1425" w:type="dxa"/>
            <w:shd w:val="clear" w:color="FFFFFF" w:fill="FFFFFF"/>
            <w:noWrap w:val="0"/>
            <w:vAlign w:val="center"/>
          </w:tcPr>
          <w:p w14:paraId="67400B98">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shd w:val="clear" w:color="FFFFFF" w:fill="FFFFFF"/>
            <w:noWrap w:val="0"/>
            <w:vAlign w:val="center"/>
          </w:tcPr>
          <w:p w14:paraId="0CD16F91">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i w:val="0"/>
                <w:color w:val="000000"/>
                <w:kern w:val="0"/>
                <w:sz w:val="20"/>
                <w:szCs w:val="20"/>
                <w:u w:val="none"/>
                <w:lang w:val="en-US" w:eastAsia="zh-CN" w:bidi="ar"/>
              </w:rPr>
              <w:t>0.40%</w:t>
            </w:r>
          </w:p>
        </w:tc>
        <w:tc>
          <w:tcPr>
            <w:tcW w:w="1905" w:type="dxa"/>
            <w:shd w:val="clear" w:color="FFFFFF" w:fill="FFFFFF"/>
            <w:noWrap w:val="0"/>
            <w:vAlign w:val="center"/>
          </w:tcPr>
          <w:p w14:paraId="0B778311">
            <w:pPr>
              <w:keepNext w:val="0"/>
              <w:keepLines w:val="0"/>
              <w:widowControl/>
              <w:suppressLineNumbers w:val="0"/>
              <w:jc w:val="center"/>
              <w:textAlignment w:val="center"/>
              <w:rPr>
                <w:rFonts w:hint="default" w:ascii="Times New Roman" w:hAnsi="Times New Roman" w:eastAsia="方正仿宋_GBK" w:cs="Times New Roman"/>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4.0 </w:t>
            </w:r>
          </w:p>
        </w:tc>
      </w:tr>
      <w:tr w14:paraId="4632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83" w:type="dxa"/>
            <w:gridSpan w:val="2"/>
            <w:shd w:val="clear" w:color="auto" w:fill="auto"/>
            <w:noWrap w:val="0"/>
            <w:vAlign w:val="center"/>
          </w:tcPr>
          <w:p w14:paraId="07F0A666">
            <w:pPr>
              <w:keepNext w:val="0"/>
              <w:keepLines w:val="0"/>
              <w:widowControl/>
              <w:suppressLineNumbers w:val="0"/>
              <w:jc w:val="center"/>
              <w:textAlignment w:val="center"/>
              <w:rPr>
                <w:rFonts w:hint="default" w:ascii="Times New Roman" w:hAnsi="Times New Roman" w:cs="Times New Roman"/>
                <w:sz w:val="20"/>
                <w:szCs w:val="20"/>
              </w:rPr>
            </w:pPr>
            <w:r>
              <w:rPr>
                <w:rStyle w:val="21"/>
                <w:rFonts w:hint="default" w:ascii="Times New Roman" w:hAnsi="Times New Roman" w:cs="Times New Roman"/>
                <w:sz w:val="20"/>
                <w:szCs w:val="20"/>
                <w:lang w:val="en-US" w:eastAsia="zh-CN" w:bidi="ar"/>
              </w:rPr>
              <w:t>第一、二、三部分费用总和</w:t>
            </w:r>
          </w:p>
        </w:tc>
        <w:tc>
          <w:tcPr>
            <w:tcW w:w="1425" w:type="dxa"/>
            <w:shd w:val="clear" w:color="FFFFFF" w:fill="FFFFFF"/>
            <w:noWrap w:val="0"/>
            <w:vAlign w:val="center"/>
          </w:tcPr>
          <w:p w14:paraId="71559521">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shd w:val="clear" w:color="FFFFFF" w:fill="FFFFFF"/>
            <w:noWrap w:val="0"/>
            <w:vAlign w:val="center"/>
          </w:tcPr>
          <w:p w14:paraId="695C373F">
            <w:pPr>
              <w:jc w:val="center"/>
              <w:rPr>
                <w:rFonts w:hint="default" w:ascii="Times New Roman" w:hAnsi="Times New Roman" w:eastAsia="方正小标宋_GBK" w:cs="Times New Roman"/>
                <w:kern w:val="0"/>
                <w:sz w:val="20"/>
                <w:szCs w:val="20"/>
                <w:vertAlign w:val="baseline"/>
              </w:rPr>
            </w:pPr>
          </w:p>
        </w:tc>
        <w:tc>
          <w:tcPr>
            <w:tcW w:w="1905" w:type="dxa"/>
            <w:shd w:val="clear" w:color="FFFFFF" w:fill="FFFFFF"/>
            <w:noWrap w:val="0"/>
            <w:vAlign w:val="center"/>
          </w:tcPr>
          <w:p w14:paraId="2A33EDC6">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1141.7 </w:t>
            </w:r>
          </w:p>
        </w:tc>
      </w:tr>
      <w:tr w14:paraId="7CE3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shd w:val="clear" w:color="auto" w:fill="auto"/>
            <w:noWrap w:val="0"/>
            <w:vAlign w:val="center"/>
          </w:tcPr>
          <w:p w14:paraId="7F7AE7D1">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Style w:val="21"/>
                <w:rFonts w:hint="default" w:ascii="Times New Roman" w:hAnsi="Times New Roman" w:cs="Times New Roman"/>
                <w:sz w:val="20"/>
                <w:szCs w:val="20"/>
                <w:lang w:val="en-US" w:eastAsia="zh-CN" w:bidi="ar"/>
              </w:rPr>
              <w:t>四</w:t>
            </w:r>
          </w:p>
        </w:tc>
        <w:tc>
          <w:tcPr>
            <w:tcW w:w="2760" w:type="dxa"/>
            <w:shd w:val="clear" w:color="FFFFFF" w:fill="FFFFFF"/>
            <w:noWrap w:val="0"/>
            <w:vAlign w:val="center"/>
          </w:tcPr>
          <w:p w14:paraId="0FEA72CC">
            <w:pPr>
              <w:keepNext w:val="0"/>
              <w:keepLines w:val="0"/>
              <w:widowControl/>
              <w:suppressLineNumbers w:val="0"/>
              <w:jc w:val="left"/>
              <w:textAlignment w:val="center"/>
              <w:rPr>
                <w:rFonts w:hint="default" w:ascii="Times New Roman" w:hAnsi="Times New Roman" w:cs="Times New Roman"/>
                <w:sz w:val="20"/>
                <w:szCs w:val="20"/>
              </w:rPr>
            </w:pPr>
            <w:r>
              <w:rPr>
                <w:rStyle w:val="21"/>
                <w:rFonts w:hint="default" w:ascii="Times New Roman" w:hAnsi="Times New Roman" w:cs="Times New Roman"/>
                <w:sz w:val="20"/>
                <w:szCs w:val="20"/>
                <w:lang w:val="en-US" w:eastAsia="zh-CN" w:bidi="ar"/>
              </w:rPr>
              <w:t>预备费</w:t>
            </w:r>
          </w:p>
        </w:tc>
        <w:tc>
          <w:tcPr>
            <w:tcW w:w="1425" w:type="dxa"/>
            <w:shd w:val="clear" w:color="FFFFFF" w:fill="FFFFFF"/>
            <w:noWrap w:val="0"/>
            <w:vAlign w:val="center"/>
          </w:tcPr>
          <w:p w14:paraId="1190E2B9">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Style w:val="22"/>
                <w:rFonts w:hint="default" w:ascii="Times New Roman" w:hAnsi="Times New Roman" w:eastAsia="宋体" w:cs="Times New Roman"/>
                <w:sz w:val="20"/>
                <w:szCs w:val="20"/>
                <w:lang w:val="en-US" w:eastAsia="zh-CN" w:bidi="ar"/>
              </w:rPr>
              <w:t>1</w:t>
            </w:r>
            <w:r>
              <w:rPr>
                <w:rStyle w:val="30"/>
                <w:rFonts w:hint="default" w:ascii="Times New Roman" w:hAnsi="Times New Roman" w:cs="Times New Roman"/>
                <w:sz w:val="20"/>
                <w:szCs w:val="20"/>
                <w:lang w:val="en-US" w:eastAsia="zh-CN" w:bidi="ar"/>
              </w:rPr>
              <w:t>项</w:t>
            </w:r>
          </w:p>
        </w:tc>
        <w:tc>
          <w:tcPr>
            <w:tcW w:w="1650" w:type="dxa"/>
            <w:shd w:val="clear" w:color="FFFFFF" w:fill="FFFFFF"/>
            <w:noWrap w:val="0"/>
            <w:vAlign w:val="center"/>
          </w:tcPr>
          <w:p w14:paraId="28867166">
            <w:pPr>
              <w:keepNext w:val="0"/>
              <w:keepLines w:val="0"/>
              <w:widowControl/>
              <w:suppressLineNumbers w:val="0"/>
              <w:jc w:val="center"/>
              <w:textAlignment w:val="center"/>
              <w:rPr>
                <w:rFonts w:hint="default" w:ascii="Times New Roman" w:hAnsi="Times New Roman" w:eastAsia="方正小标宋_GBK" w:cs="Times New Roman"/>
                <w:kern w:val="0"/>
                <w:sz w:val="20"/>
                <w:szCs w:val="20"/>
                <w:vertAlign w:val="baseline"/>
              </w:rPr>
            </w:pPr>
            <w:r>
              <w:rPr>
                <w:rFonts w:hint="default" w:ascii="Times New Roman" w:hAnsi="Times New Roman" w:eastAsia="宋体" w:cs="Times New Roman"/>
                <w:b/>
                <w:i w:val="0"/>
                <w:color w:val="000000"/>
                <w:kern w:val="0"/>
                <w:sz w:val="20"/>
                <w:szCs w:val="20"/>
                <w:u w:val="none"/>
                <w:lang w:val="en-US" w:eastAsia="zh-CN" w:bidi="ar"/>
              </w:rPr>
              <w:t>5%</w:t>
            </w:r>
          </w:p>
        </w:tc>
        <w:tc>
          <w:tcPr>
            <w:tcW w:w="1905" w:type="dxa"/>
            <w:shd w:val="clear" w:color="FFFFFF" w:fill="FFFFFF"/>
            <w:noWrap w:val="0"/>
            <w:vAlign w:val="center"/>
          </w:tcPr>
          <w:p w14:paraId="630893A0">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57.1 </w:t>
            </w:r>
          </w:p>
        </w:tc>
      </w:tr>
      <w:tr w14:paraId="5A8C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3" w:type="dxa"/>
            <w:shd w:val="clear" w:color="auto" w:fill="auto"/>
            <w:noWrap w:val="0"/>
            <w:vAlign w:val="center"/>
          </w:tcPr>
          <w:p w14:paraId="321F2C4B">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Style w:val="21"/>
                <w:rFonts w:hint="default" w:ascii="Times New Roman" w:hAnsi="Times New Roman" w:cs="Times New Roman"/>
                <w:lang w:val="en-US" w:eastAsia="zh-CN" w:bidi="ar"/>
              </w:rPr>
              <w:t>五</w:t>
            </w:r>
          </w:p>
        </w:tc>
        <w:tc>
          <w:tcPr>
            <w:tcW w:w="2760" w:type="dxa"/>
            <w:shd w:val="clear" w:color="FFFFFF" w:fill="FFFFFF"/>
            <w:noWrap w:val="0"/>
            <w:vAlign w:val="center"/>
          </w:tcPr>
          <w:p w14:paraId="1CAEC957">
            <w:pPr>
              <w:keepNext w:val="0"/>
              <w:keepLines w:val="0"/>
              <w:widowControl/>
              <w:suppressLineNumbers w:val="0"/>
              <w:jc w:val="left"/>
              <w:textAlignment w:val="center"/>
              <w:rPr>
                <w:rFonts w:hint="default" w:ascii="Times New Roman" w:hAnsi="Times New Roman" w:cs="Times New Roman"/>
              </w:rPr>
            </w:pPr>
            <w:r>
              <w:rPr>
                <w:rStyle w:val="21"/>
                <w:rFonts w:hint="default" w:ascii="Times New Roman" w:hAnsi="Times New Roman" w:cs="Times New Roman"/>
                <w:lang w:val="en-US" w:eastAsia="zh-CN" w:bidi="ar"/>
              </w:rPr>
              <w:t>项目总投资</w:t>
            </w:r>
          </w:p>
        </w:tc>
        <w:tc>
          <w:tcPr>
            <w:tcW w:w="1425" w:type="dxa"/>
            <w:shd w:val="clear" w:color="FFFFFF" w:fill="FFFFFF"/>
            <w:noWrap w:val="0"/>
            <w:vAlign w:val="center"/>
          </w:tcPr>
          <w:p w14:paraId="0C20399E">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Style w:val="22"/>
                <w:rFonts w:hint="default" w:ascii="Times New Roman" w:hAnsi="Times New Roman" w:eastAsia="宋体" w:cs="Times New Roman"/>
                <w:lang w:val="en-US" w:eastAsia="zh-CN" w:bidi="ar"/>
              </w:rPr>
              <w:t>1</w:t>
            </w:r>
            <w:r>
              <w:rPr>
                <w:rStyle w:val="30"/>
                <w:rFonts w:hint="default" w:ascii="Times New Roman" w:hAnsi="Times New Roman" w:cs="Times New Roman"/>
                <w:lang w:val="en-US" w:eastAsia="zh-CN" w:bidi="ar"/>
              </w:rPr>
              <w:t>项</w:t>
            </w:r>
          </w:p>
        </w:tc>
        <w:tc>
          <w:tcPr>
            <w:tcW w:w="1650" w:type="dxa"/>
            <w:shd w:val="clear" w:color="FFFFFF" w:fill="FFFFFF"/>
            <w:noWrap w:val="0"/>
            <w:vAlign w:val="center"/>
          </w:tcPr>
          <w:p w14:paraId="4CC0494A">
            <w:pPr>
              <w:jc w:val="center"/>
              <w:rPr>
                <w:rFonts w:hint="default" w:ascii="Times New Roman" w:hAnsi="Times New Roman" w:eastAsia="方正小标宋_GBK" w:cs="Times New Roman"/>
                <w:kern w:val="0"/>
                <w:sz w:val="22"/>
                <w:szCs w:val="22"/>
                <w:vertAlign w:val="baseline"/>
              </w:rPr>
            </w:pPr>
          </w:p>
        </w:tc>
        <w:tc>
          <w:tcPr>
            <w:tcW w:w="1905" w:type="dxa"/>
            <w:shd w:val="clear" w:color="FFFFFF" w:fill="FFFFFF"/>
            <w:noWrap w:val="0"/>
            <w:vAlign w:val="center"/>
          </w:tcPr>
          <w:p w14:paraId="66B80440">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1198.8 </w:t>
            </w:r>
          </w:p>
        </w:tc>
      </w:tr>
    </w:tbl>
    <w:p w14:paraId="0585880A">
      <w:pPr>
        <w:pStyle w:val="6"/>
        <w:spacing w:line="580" w:lineRule="exact"/>
        <w:jc w:val="both"/>
        <w:rPr>
          <w:rFonts w:hint="eastAsia" w:ascii="方正小标宋_GBK" w:hAnsi="方正小标宋_GBK" w:eastAsia="方正小标宋_GBK" w:cs="方正小标宋_GBK"/>
          <w:kern w:val="0"/>
          <w:sz w:val="24"/>
          <w:szCs w:val="24"/>
        </w:rPr>
      </w:pPr>
    </w:p>
    <w:p w14:paraId="2F6ABF7F">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A72496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2</w:t>
      </w:r>
      <w:r>
        <w:rPr>
          <w:rFonts w:eastAsia="方正仿宋_GBK"/>
          <w:sz w:val="28"/>
          <w:szCs w:val="28"/>
          <w:u w:val="thick"/>
        </w:rPr>
        <w:t>月</w:t>
      </w:r>
      <w:r>
        <w:rPr>
          <w:rFonts w:hint="eastAsia" w:eastAsia="方正仿宋_GBK"/>
          <w:sz w:val="28"/>
          <w:szCs w:val="28"/>
          <w:u w:val="thick"/>
          <w:lang w:val="en-US" w:eastAsia="zh-CN"/>
        </w:rPr>
        <w:t>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3D1158F"/>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63D7F29"/>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76D3343"/>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BF61160"/>
    <w:rsid w:val="4F735634"/>
    <w:rsid w:val="4FA80033"/>
    <w:rsid w:val="4FFA6D45"/>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6C36F1C"/>
    <w:rsid w:val="67915D89"/>
    <w:rsid w:val="68F21DD6"/>
    <w:rsid w:val="6A6C1DE8"/>
    <w:rsid w:val="6A9E6E7B"/>
    <w:rsid w:val="6BAE6A0F"/>
    <w:rsid w:val="6C07486C"/>
    <w:rsid w:val="6D6F4477"/>
    <w:rsid w:val="6D851EEC"/>
    <w:rsid w:val="6DE76703"/>
    <w:rsid w:val="6EF52ED4"/>
    <w:rsid w:val="6EF61234"/>
    <w:rsid w:val="6FCA21DF"/>
    <w:rsid w:val="6FF83694"/>
    <w:rsid w:val="71A30B93"/>
    <w:rsid w:val="72AF5315"/>
    <w:rsid w:val="742B5A1B"/>
    <w:rsid w:val="76E535BA"/>
    <w:rsid w:val="77C816DC"/>
    <w:rsid w:val="78624336"/>
    <w:rsid w:val="798F3B70"/>
    <w:rsid w:val="79BC4EE7"/>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basedOn w:val="13"/>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3</Pages>
  <Words>874</Words>
  <Characters>1145</Characters>
  <Lines>11</Lines>
  <Paragraphs>3</Paragraphs>
  <TotalTime>2</TotalTime>
  <ScaleCrop>false</ScaleCrop>
  <LinksUpToDate>false</LinksUpToDate>
  <CharactersWithSpaces>1388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2026-02-06T06:28:23Z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