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55E1E">
      <w:pPr>
        <w:overflowPunct w:val="0"/>
        <w:adjustRightInd/>
        <w:spacing w:line="240" w:lineRule="auto"/>
        <w:rPr>
          <w:rFonts w:ascii="方正仿宋_GBK" w:hAnsi="方正仿宋_GBK" w:cs="方正仿宋_GBK"/>
          <w:bCs/>
          <w:i w:val="0"/>
          <w:iCs w:val="0"/>
        </w:rPr>
      </w:pPr>
    </w:p>
    <w:p w14:paraId="4308993F">
      <w:pPr>
        <w:overflowPunct w:val="0"/>
        <w:adjustRightInd/>
        <w:spacing w:line="240" w:lineRule="auto"/>
        <w:rPr>
          <w:rFonts w:ascii="方正仿宋_GBK" w:hAnsi="方正仿宋_GBK" w:cs="方正仿宋_GBK"/>
          <w:bCs/>
          <w:i w:val="0"/>
          <w:iCs w:val="0"/>
        </w:rPr>
      </w:pPr>
    </w:p>
    <w:p w14:paraId="474B7692">
      <w:pPr>
        <w:overflowPunct w:val="0"/>
        <w:adjustRightInd/>
        <w:spacing w:line="240" w:lineRule="auto"/>
        <w:rPr>
          <w:rFonts w:ascii="方正仿宋_GBK" w:hAnsi="方正仿宋_GBK" w:cs="方正仿宋_GBK"/>
          <w:bCs/>
          <w:i w:val="0"/>
          <w:iCs w:val="0"/>
        </w:rPr>
      </w:pPr>
    </w:p>
    <w:p w14:paraId="1FEE5A1D">
      <w:pPr>
        <w:overflowPunct w:val="0"/>
        <w:adjustRightInd/>
        <w:spacing w:line="240" w:lineRule="auto"/>
        <w:rPr>
          <w:bCs/>
          <w:i w:val="0"/>
          <w:iCs w:val="0"/>
        </w:rPr>
      </w:pPr>
    </w:p>
    <w:p w14:paraId="086C0281">
      <w:pPr>
        <w:overflowPunct w:val="0"/>
        <w:adjustRightInd/>
        <w:spacing w:line="240" w:lineRule="auto"/>
        <w:rPr>
          <w:bCs/>
          <w:i w:val="0"/>
          <w:iCs w:val="0"/>
        </w:rPr>
      </w:pPr>
      <w:r>
        <w:rPr>
          <w:bCs/>
          <w:i w:val="0"/>
          <w:iCs w:val="0"/>
        </w:rPr>
        <w:pict>
          <v:shape id="_x0000_s1032" o:spid="_x0000_s1032" o:spt="136" type="#_x0000_t136" style="position:absolute;left:0pt;margin-left:7.75pt;margin-top:4.8pt;height:53.85pt;width:425.2pt;z-index:251659264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重庆市黔江区发展和改革委员会文件" style="font-family:方正小标宋_GBK;font-size:36pt;v-text-align:center;"/>
          </v:shape>
        </w:pict>
      </w:r>
    </w:p>
    <w:p w14:paraId="0B00AF82">
      <w:pPr>
        <w:overflowPunct w:val="0"/>
        <w:adjustRightInd/>
        <w:spacing w:line="240" w:lineRule="auto"/>
        <w:jc w:val="center"/>
        <w:rPr>
          <w:rFonts w:eastAsia="宋体"/>
          <w:i w:val="0"/>
          <w:iCs w:val="0"/>
          <w:kern w:val="2"/>
        </w:rPr>
      </w:pPr>
    </w:p>
    <w:p w14:paraId="09B59DB7">
      <w:pPr>
        <w:overflowPunct w:val="0"/>
        <w:adjustRightInd/>
        <w:spacing w:line="240" w:lineRule="auto"/>
        <w:rPr>
          <w:bCs/>
          <w:i w:val="0"/>
          <w:iCs w:val="0"/>
        </w:rPr>
      </w:pPr>
    </w:p>
    <w:p w14:paraId="2C53E525">
      <w:pPr>
        <w:adjustRightInd/>
        <w:spacing w:line="240" w:lineRule="auto"/>
        <w:jc w:val="center"/>
        <w:rPr>
          <w:i w:val="0"/>
          <w:iCs w:val="0"/>
        </w:rPr>
      </w:pPr>
    </w:p>
    <w:p w14:paraId="71650508">
      <w:pPr>
        <w:tabs>
          <w:tab w:val="left" w:pos="2270"/>
          <w:tab w:val="center" w:pos="4482"/>
        </w:tabs>
        <w:adjustRightInd/>
        <w:spacing w:line="240" w:lineRule="auto"/>
        <w:jc w:val="left"/>
        <w:rPr>
          <w:rFonts w:eastAsia="宋体"/>
          <w:bCs/>
          <w:i w:val="0"/>
          <w:iCs w:val="0"/>
        </w:rPr>
      </w:pPr>
      <w:r>
        <w:rPr>
          <w:i w:val="0"/>
          <w:iCs w:val="0"/>
        </w:rPr>
        <w:pict>
          <v:rect id="_x0000_s1026" o:spid="_x0000_s1026" o:spt="1" style="position:absolute;left:0pt;margin-left:0pt;margin-top:25.95pt;height:2.25pt;width:442.2pt;z-index:251659264;mso-width-relative:page;mso-height-relative:page;" fillcolor="#FF0202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 w14:paraId="7480E1FE">
                  <w:pPr>
                    <w:jc w:val="center"/>
                  </w:pPr>
                </w:p>
              </w:txbxContent>
            </v:textbox>
          </v:rect>
        </w:pict>
      </w:r>
      <w:bookmarkStart w:id="0" w:name="approveNum"/>
      <w:r>
        <w:rPr>
          <w:rFonts w:hint="eastAsia"/>
          <w:i w:val="0"/>
          <w:iCs w:val="0"/>
          <w:lang w:eastAsia="zh-CN"/>
        </w:rPr>
        <w:tab/>
      </w:r>
      <w:r>
        <w:rPr>
          <w:rFonts w:hint="eastAsia"/>
          <w:i w:val="0"/>
          <w:iCs w:val="0"/>
          <w:lang w:eastAsia="zh-CN"/>
        </w:rPr>
        <w:t>黔江发改委发〔2026〕</w:t>
      </w:r>
      <w:r>
        <w:rPr>
          <w:rFonts w:hint="eastAsia"/>
          <w:i w:val="0"/>
          <w:iCs w:val="0"/>
          <w:lang w:val="en-US" w:eastAsia="zh-CN"/>
        </w:rPr>
        <w:t>61</w:t>
      </w:r>
      <w:r>
        <w:rPr>
          <w:rFonts w:ascii="方正仿宋_GBK" w:hAnsi="方正仿宋_GBK" w:cs="方正仿宋_GBK"/>
          <w:i w:val="0"/>
          <w:iCs w:val="0"/>
        </w:rPr>
        <w:t>号</w:t>
      </w:r>
      <w:bookmarkEnd w:id="0"/>
    </w:p>
    <w:p w14:paraId="7D23A69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20" w:lineRule="exact"/>
        <w:jc w:val="center"/>
        <w:rPr>
          <w:bCs/>
          <w:i w:val="0"/>
          <w:iCs w:val="0"/>
        </w:rPr>
      </w:pPr>
    </w:p>
    <w:p w14:paraId="255C8D2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5" w:lineRule="exact"/>
        <w:jc w:val="both"/>
        <w:textAlignment w:val="auto"/>
        <w:rPr>
          <w:rFonts w:eastAsia="方正小标宋_GBK"/>
          <w:i w:val="0"/>
          <w:iCs w:val="0"/>
          <w:kern w:val="2"/>
          <w:sz w:val="44"/>
          <w:szCs w:val="44"/>
        </w:rPr>
      </w:pPr>
    </w:p>
    <w:p w14:paraId="6704FF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5" w:lineRule="exact"/>
        <w:jc w:val="center"/>
        <w:textAlignment w:val="auto"/>
        <w:rPr>
          <w:rFonts w:ascii="Times New Roman" w:hAnsi="Times New Roman" w:eastAsia="方正小标宋_GBK" w:cs="Times New Roman"/>
          <w:i w:val="0"/>
          <w:iCs w:val="0"/>
          <w:kern w:val="2"/>
          <w:sz w:val="44"/>
          <w:szCs w:val="44"/>
        </w:rPr>
      </w:pPr>
      <w:bookmarkStart w:id="1" w:name="approveUnit"/>
      <w:r>
        <w:rPr>
          <w:rFonts w:ascii="Times New Roman" w:hAnsi="Times New Roman" w:eastAsia="方正小标宋_GBK" w:cs="Times New Roman"/>
          <w:i w:val="0"/>
          <w:iCs w:val="0"/>
          <w:kern w:val="2"/>
          <w:sz w:val="44"/>
          <w:szCs w:val="44"/>
        </w:rPr>
        <w:t>重庆市</w:t>
      </w:r>
      <w:r>
        <w:rPr>
          <w:rFonts w:hint="eastAsia" w:ascii="Times New Roman" w:hAnsi="Times New Roman" w:eastAsia="方正小标宋_GBK" w:cs="Times New Roman"/>
          <w:i w:val="0"/>
          <w:iCs w:val="0"/>
          <w:kern w:val="2"/>
          <w:sz w:val="44"/>
          <w:szCs w:val="44"/>
          <w:lang w:val="en-US" w:eastAsia="zh-CN"/>
        </w:rPr>
        <w:t>黔江区</w:t>
      </w:r>
      <w:r>
        <w:rPr>
          <w:rFonts w:ascii="Times New Roman" w:hAnsi="Times New Roman" w:eastAsia="方正小标宋_GBK" w:cs="Times New Roman"/>
          <w:i w:val="0"/>
          <w:iCs w:val="0"/>
          <w:kern w:val="2"/>
          <w:sz w:val="44"/>
          <w:szCs w:val="44"/>
        </w:rPr>
        <w:t>发展和改革委员会</w:t>
      </w:r>
      <w:bookmarkEnd w:id="1"/>
    </w:p>
    <w:p w14:paraId="3F7558D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5" w:lineRule="exact"/>
        <w:jc w:val="center"/>
        <w:textAlignment w:val="auto"/>
        <w:rPr>
          <w:i w:val="0"/>
          <w:iCs w:val="0"/>
          <w:kern w:val="2"/>
          <w:sz w:val="44"/>
          <w:szCs w:val="44"/>
        </w:rPr>
      </w:pPr>
      <w:r>
        <w:rPr>
          <w:rFonts w:ascii="Times New Roman" w:hAnsi="Times New Roman" w:eastAsia="方正小标宋_GBK" w:cs="Times New Roman"/>
          <w:i w:val="0"/>
          <w:iCs w:val="0"/>
          <w:kern w:val="2"/>
          <w:sz w:val="44"/>
          <w:szCs w:val="44"/>
        </w:rPr>
        <w:t>关于</w:t>
      </w:r>
      <w:r>
        <w:rPr>
          <w:rFonts w:hint="eastAsia" w:ascii="Times New Roman" w:hAnsi="Times New Roman" w:eastAsia="方正小标宋_GBK" w:cs="Times New Roman"/>
          <w:bCs/>
          <w:i w:val="0"/>
          <w:iCs w:val="0"/>
          <w:kern w:val="2"/>
          <w:sz w:val="44"/>
          <w:szCs w:val="44"/>
        </w:rPr>
        <w:t>黔江正阳高级中学校建设工程项目</w:t>
      </w:r>
      <w:r>
        <w:rPr>
          <w:rFonts w:hint="eastAsia" w:ascii="Times New Roman" w:hAnsi="Times New Roman" w:eastAsia="方正小标宋_GBK" w:cs="Times New Roman"/>
          <w:i w:val="0"/>
          <w:iCs w:val="0"/>
          <w:kern w:val="2"/>
          <w:sz w:val="44"/>
          <w:szCs w:val="44"/>
        </w:rPr>
        <w:t>可行性研究</w:t>
      </w:r>
      <w:r>
        <w:rPr>
          <w:rFonts w:ascii="Times New Roman" w:hAnsi="Times New Roman" w:eastAsia="方正小标宋_GBK" w:cs="Times New Roman"/>
          <w:i w:val="0"/>
          <w:iCs w:val="0"/>
          <w:kern w:val="2"/>
          <w:sz w:val="44"/>
          <w:szCs w:val="44"/>
        </w:rPr>
        <w:t>报告的批复</w:t>
      </w:r>
    </w:p>
    <w:p w14:paraId="27AD5B2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5" w:lineRule="exact"/>
        <w:textAlignment w:val="auto"/>
        <w:rPr>
          <w:rFonts w:hint="eastAsia"/>
          <w:i w:val="0"/>
          <w:iCs w:val="0"/>
          <w:kern w:val="2"/>
          <w:lang w:val="en-US" w:eastAsia="zh-CN"/>
        </w:rPr>
      </w:pPr>
    </w:p>
    <w:p w14:paraId="62C594A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5" w:lineRule="exact"/>
        <w:textAlignment w:val="auto"/>
        <w:rPr>
          <w:i w:val="0"/>
          <w:iCs w:val="0"/>
          <w:kern w:val="2"/>
        </w:rPr>
      </w:pPr>
      <w:r>
        <w:rPr>
          <w:rFonts w:hint="eastAsia"/>
          <w:i w:val="0"/>
          <w:iCs w:val="0"/>
          <w:kern w:val="2"/>
          <w:lang w:val="en-US" w:eastAsia="zh-CN"/>
        </w:rPr>
        <w:t>区教委</w:t>
      </w:r>
      <w:r>
        <w:rPr>
          <w:rFonts w:hint="eastAsia"/>
          <w:i w:val="0"/>
          <w:iCs w:val="0"/>
          <w:kern w:val="2"/>
        </w:rPr>
        <w:t>：</w:t>
      </w:r>
    </w:p>
    <w:p w14:paraId="5AA85F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5" w:lineRule="exact"/>
        <w:ind w:firstLine="632" w:firstLineChars="200"/>
        <w:textAlignment w:val="auto"/>
        <w:rPr>
          <w:rFonts w:hint="default" w:ascii="Times New Roman" w:hAnsi="Times New Roman" w:cs="Times New Roman"/>
          <w:i w:val="0"/>
          <w:iCs w:val="0"/>
          <w:kern w:val="2"/>
        </w:rPr>
      </w:pPr>
      <w:r>
        <w:rPr>
          <w:rFonts w:hint="default" w:ascii="Times New Roman" w:hAnsi="Times New Roman" w:cs="Times New Roman"/>
          <w:i w:val="0"/>
          <w:iCs w:val="0"/>
          <w:kern w:val="2"/>
        </w:rPr>
        <w:t>你单位《关于审查黔江正阳高级中学校建设工程项目可行性研究报告的函》（黔江教函〔2026〕2号）收悉。结合重庆市建设项目管理有限公司的评审意见</w:t>
      </w:r>
      <w:r>
        <w:rPr>
          <w:rFonts w:hint="default" w:ascii="Times New Roman" w:hAnsi="Times New Roman" w:cs="Times New Roman"/>
          <w:i w:val="0"/>
          <w:iCs w:val="0"/>
          <w:kern w:val="2"/>
          <w:lang w:eastAsia="zh-CN"/>
        </w:rPr>
        <w:t>，</w:t>
      </w:r>
      <w:r>
        <w:rPr>
          <w:rFonts w:hint="default" w:ascii="Times New Roman" w:hAnsi="Times New Roman" w:cs="Times New Roman"/>
          <w:i w:val="0"/>
          <w:iCs w:val="0"/>
          <w:kern w:val="2"/>
        </w:rPr>
        <w:t>经研究，现就</w:t>
      </w:r>
      <w:r>
        <w:rPr>
          <w:rFonts w:hint="default" w:ascii="Times New Roman" w:hAnsi="Times New Roman" w:eastAsia="方正仿宋_GBK" w:cs="Times New Roman"/>
          <w:i w:val="0"/>
          <w:iCs w:val="0"/>
          <w:kern w:val="2"/>
          <w:sz w:val="32"/>
          <w:szCs w:val="32"/>
          <w:lang w:val="en-US" w:eastAsia="zh-CN" w:bidi="ar-SA"/>
        </w:rPr>
        <w:t>黔江正阳高级中学校建设工程</w:t>
      </w:r>
      <w:r>
        <w:rPr>
          <w:rFonts w:hint="eastAsia" w:cs="Times New Roman"/>
          <w:i w:val="0"/>
          <w:iCs w:val="0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方正仿宋_GBK" w:cs="Times New Roman"/>
          <w:i w:val="0"/>
          <w:iCs w:val="0"/>
          <w:kern w:val="2"/>
          <w:sz w:val="32"/>
          <w:szCs w:val="32"/>
          <w:lang w:val="en-US" w:eastAsia="zh-CN" w:bidi="ar-SA"/>
        </w:rPr>
        <w:t>项目代码：2510-500114-04-01-529082</w:t>
      </w:r>
      <w:r>
        <w:rPr>
          <w:rFonts w:hint="eastAsia" w:cs="Times New Roman"/>
          <w:i w:val="0"/>
          <w:iCs w:val="0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cs="Times New Roman"/>
          <w:i w:val="0"/>
          <w:iCs w:val="0"/>
          <w:kern w:val="2"/>
        </w:rPr>
        <w:t>可行性研究报告批复如下：</w:t>
      </w:r>
    </w:p>
    <w:p w14:paraId="501D9A8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5" w:lineRule="exact"/>
        <w:ind w:firstLine="632" w:firstLineChars="200"/>
        <w:textAlignment w:val="auto"/>
        <w:rPr>
          <w:rFonts w:hint="default" w:ascii="Times New Roman" w:hAnsi="Times New Roman" w:cs="Times New Roman"/>
          <w:i w:val="0"/>
          <w:iCs w:val="0"/>
          <w:kern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kern w:val="2"/>
        </w:rPr>
        <w:t>一、</w:t>
      </w:r>
      <w:r>
        <w:rPr>
          <w:rFonts w:hint="default" w:ascii="Times New Roman" w:hAnsi="Times New Roman" w:eastAsia="方正黑体_GBK" w:cs="Times New Roman"/>
          <w:i w:val="0"/>
          <w:iCs w:val="0"/>
          <w:kern w:val="32"/>
        </w:rPr>
        <w:t>项目代码：</w:t>
      </w:r>
      <w:r>
        <w:rPr>
          <w:rFonts w:hint="default" w:ascii="Times New Roman" w:hAnsi="Times New Roman" w:eastAsia="方正仿宋_GBK" w:cs="Times New Roman"/>
          <w:i w:val="0"/>
          <w:iCs w:val="0"/>
          <w:kern w:val="2"/>
          <w:sz w:val="32"/>
          <w:szCs w:val="32"/>
          <w:lang w:val="en-US" w:eastAsia="zh-CN" w:bidi="ar-SA"/>
        </w:rPr>
        <w:t>2510-500114-04-01-529082</w:t>
      </w:r>
      <w:r>
        <w:rPr>
          <w:rFonts w:hint="default" w:ascii="Times New Roman" w:hAnsi="Times New Roman" w:cs="Times New Roman"/>
          <w:i w:val="0"/>
          <w:iCs w:val="0"/>
          <w:kern w:val="32"/>
        </w:rPr>
        <w:t>。</w:t>
      </w:r>
    </w:p>
    <w:p w14:paraId="5BFD2A0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5" w:lineRule="exact"/>
        <w:ind w:firstLine="632" w:firstLineChars="200"/>
        <w:textAlignment w:val="auto"/>
        <w:rPr>
          <w:rFonts w:hint="default" w:ascii="Times New Roman" w:hAnsi="Times New Roman" w:cs="Times New Roman"/>
          <w:i w:val="0"/>
          <w:iCs w:val="0"/>
          <w:kern w:val="2"/>
        </w:rPr>
      </w:pPr>
      <w:r>
        <w:rPr>
          <w:rFonts w:hint="default" w:ascii="Times New Roman" w:hAnsi="Times New Roman" w:eastAsia="方正黑体_GBK" w:cs="Times New Roman"/>
          <w:i w:val="0"/>
          <w:iCs w:val="0"/>
          <w:kern w:val="32"/>
          <w:lang w:val="en-US" w:eastAsia="zh-CN"/>
        </w:rPr>
        <w:t>二</w:t>
      </w:r>
      <w:r>
        <w:rPr>
          <w:rFonts w:hint="default" w:ascii="Times New Roman" w:hAnsi="Times New Roman" w:eastAsia="方正黑体_GBK" w:cs="Times New Roman"/>
          <w:i w:val="0"/>
          <w:iCs w:val="0"/>
          <w:kern w:val="32"/>
        </w:rPr>
        <w:t>、项目法人：</w:t>
      </w:r>
      <w:r>
        <w:rPr>
          <w:rFonts w:hint="default" w:ascii="Times New Roman" w:hAnsi="Times New Roman" w:cs="Times New Roman"/>
          <w:i w:val="0"/>
          <w:iCs w:val="0"/>
          <w:kern w:val="32"/>
        </w:rPr>
        <w:t>重庆市黔江中学校</w:t>
      </w:r>
      <w:r>
        <w:rPr>
          <w:rFonts w:hint="default" w:ascii="Times New Roman" w:hAnsi="Times New Roman" w:cs="Times New Roman"/>
          <w:i w:val="0"/>
          <w:iCs w:val="0"/>
          <w:kern w:val="2"/>
        </w:rPr>
        <w:t>。</w:t>
      </w:r>
    </w:p>
    <w:p w14:paraId="7CB4EB1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5" w:lineRule="exact"/>
        <w:ind w:firstLine="632" w:firstLineChars="200"/>
        <w:textAlignment w:val="auto"/>
        <w:rPr>
          <w:rFonts w:hint="default" w:ascii="Times New Roman" w:hAnsi="Times New Roman" w:cs="Times New Roman"/>
          <w:i w:val="0"/>
          <w:iCs w:val="0"/>
          <w:kern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kern w:val="32"/>
          <w:lang w:val="en-US" w:eastAsia="zh-CN"/>
        </w:rPr>
        <w:t>三</w:t>
      </w:r>
      <w:r>
        <w:rPr>
          <w:rFonts w:hint="default" w:ascii="Times New Roman" w:hAnsi="Times New Roman" w:eastAsia="方正黑体_GBK" w:cs="Times New Roman"/>
          <w:i w:val="0"/>
          <w:iCs w:val="0"/>
          <w:kern w:val="32"/>
        </w:rPr>
        <w:t>、项目建设地点：</w:t>
      </w:r>
      <w:r>
        <w:rPr>
          <w:rFonts w:hint="default" w:ascii="Times New Roman" w:hAnsi="Times New Roman" w:cs="Times New Roman"/>
          <w:i w:val="0"/>
          <w:iCs w:val="0"/>
          <w:kern w:val="32"/>
        </w:rPr>
        <w:t>正阳街道中科中央公园城北侧。</w:t>
      </w:r>
    </w:p>
    <w:p w14:paraId="0701F72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5" w:lineRule="exact"/>
        <w:ind w:firstLine="632" w:firstLineChars="200"/>
        <w:textAlignment w:val="auto"/>
        <w:rPr>
          <w:rFonts w:hint="default" w:ascii="Times New Roman" w:hAnsi="Times New Roman" w:cs="Times New Roman"/>
          <w:i w:val="0"/>
          <w:iCs w:val="0"/>
          <w:kern w:val="2"/>
        </w:rPr>
      </w:pPr>
      <w:r>
        <w:rPr>
          <w:rFonts w:hint="default" w:ascii="Times New Roman" w:hAnsi="Times New Roman" w:eastAsia="方正黑体_GBK" w:cs="Times New Roman"/>
          <w:i w:val="0"/>
          <w:iCs w:val="0"/>
          <w:kern w:val="32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i w:val="0"/>
          <w:iCs w:val="0"/>
          <w:kern w:val="32"/>
        </w:rPr>
        <w:t>、</w:t>
      </w:r>
      <w:r>
        <w:rPr>
          <w:rFonts w:hint="default" w:ascii="Times New Roman" w:hAnsi="Times New Roman" w:eastAsia="方正黑体_GBK" w:cs="Times New Roman"/>
          <w:i w:val="0"/>
          <w:iCs w:val="0"/>
        </w:rPr>
        <w:t>建设规模、标准及主要建设内容</w:t>
      </w:r>
      <w:r>
        <w:rPr>
          <w:rFonts w:hint="default" w:ascii="Times New Roman" w:hAnsi="Times New Roman" w:eastAsia="方正黑体_GBK" w:cs="Times New Roman"/>
          <w:i w:val="0"/>
          <w:iCs w:val="0"/>
          <w:kern w:val="2"/>
        </w:rPr>
        <w:t>：</w:t>
      </w:r>
      <w:r>
        <w:rPr>
          <w:rFonts w:hint="default" w:ascii="Times New Roman" w:hAnsi="Times New Roman" w:cs="Times New Roman"/>
          <w:i w:val="0"/>
          <w:iCs w:val="0"/>
          <w:kern w:val="2"/>
        </w:rPr>
        <w:t>项目总用地面积93949.92平方米，新建学校教学楼、综合楼、科技楼、宿舍、食堂、教师周转房、车库及设备用房、大门等，总建筑面积91676.56平方米，其中</w:t>
      </w:r>
      <w:r>
        <w:rPr>
          <w:rFonts w:hint="eastAsia" w:cs="Times New Roman"/>
          <w:i w:val="0"/>
          <w:iCs w:val="0"/>
          <w:kern w:val="2"/>
          <w:lang w:eastAsia="zh-CN"/>
        </w:rPr>
        <w:t>：</w:t>
      </w:r>
      <w:r>
        <w:rPr>
          <w:rFonts w:hint="default" w:ascii="Times New Roman" w:hAnsi="Times New Roman" w:cs="Times New Roman"/>
          <w:i w:val="0"/>
          <w:iCs w:val="0"/>
          <w:kern w:val="2"/>
        </w:rPr>
        <w:t>地上建筑面积78513.26平方米，地下车库建筑面积13163.30平方米。项目建成后学校将达到60个教学班，每班50人，在校学生3000人的办学规模。主要包括土建工程、装修工程、安装工程、附属工程、设备及办公家具购置等建设内容。</w:t>
      </w:r>
    </w:p>
    <w:p w14:paraId="413A090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5" w:lineRule="exact"/>
        <w:ind w:firstLine="632" w:firstLineChars="200"/>
        <w:textAlignment w:val="auto"/>
        <w:rPr>
          <w:rFonts w:hint="default" w:ascii="Times New Roman" w:hAnsi="Times New Roman" w:cs="Times New Roman"/>
          <w:i w:val="0"/>
          <w:iCs w:val="0"/>
          <w:color w:val="000000"/>
        </w:rPr>
      </w:pPr>
      <w:r>
        <w:rPr>
          <w:rFonts w:hint="default" w:ascii="Times New Roman" w:hAnsi="Times New Roman" w:eastAsia="方正黑体_GBK" w:cs="Times New Roman"/>
          <w:i w:val="0"/>
          <w:iCs w:val="0"/>
          <w:color w:val="000000"/>
          <w:lang w:val="en-US" w:eastAsia="zh-CN"/>
        </w:rPr>
        <w:t>五</w:t>
      </w:r>
      <w:r>
        <w:rPr>
          <w:rFonts w:hint="default" w:ascii="Times New Roman" w:hAnsi="Times New Roman" w:eastAsia="方正黑体_GBK" w:cs="Times New Roman"/>
          <w:i w:val="0"/>
          <w:iCs w:val="0"/>
          <w:color w:val="000000"/>
        </w:rPr>
        <w:t>、</w:t>
      </w:r>
      <w:r>
        <w:rPr>
          <w:rFonts w:hint="default" w:ascii="Times New Roman" w:hAnsi="Times New Roman" w:eastAsia="方正黑体_GBK" w:cs="Times New Roman"/>
          <w:i w:val="0"/>
          <w:iCs w:val="0"/>
          <w:kern w:val="2"/>
          <w:lang w:bidi="ar"/>
        </w:rPr>
        <w:t>投资估算及资金来源：</w:t>
      </w:r>
      <w:r>
        <w:rPr>
          <w:rFonts w:hint="default" w:ascii="Times New Roman" w:hAnsi="Times New Roman" w:cs="Times New Roman"/>
          <w:i w:val="0"/>
          <w:iCs w:val="0"/>
          <w:color w:val="000000"/>
        </w:rPr>
        <w:t>总投资46815.22万元，其中</w:t>
      </w:r>
      <w:r>
        <w:rPr>
          <w:rFonts w:hint="default" w:ascii="Times New Roman" w:hAnsi="Times New Roman" w:cs="Times New Roman"/>
          <w:i w:val="0"/>
          <w:iCs w:val="0"/>
          <w:color w:val="000000"/>
          <w:lang w:eastAsia="zh-CN"/>
        </w:rPr>
        <w:t>：</w:t>
      </w:r>
      <w:r>
        <w:rPr>
          <w:rFonts w:hint="default" w:ascii="Times New Roman" w:hAnsi="Times New Roman" w:cs="Times New Roman"/>
          <w:i w:val="0"/>
          <w:iCs w:val="0"/>
          <w:color w:val="000000"/>
        </w:rPr>
        <w:t>工程费用39836.88万元，工程建设其他费用3510.55万元，预备费3467.79万元。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kern w:val="2"/>
        </w:rPr>
        <w:t>资金来源为申请国市上级资金及本级财政配套资金。</w:t>
      </w:r>
    </w:p>
    <w:p w14:paraId="14EA14B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5" w:lineRule="exact"/>
        <w:ind w:firstLine="632" w:firstLineChars="200"/>
        <w:textAlignment w:val="auto"/>
        <w:rPr>
          <w:rFonts w:hint="default" w:ascii="Times New Roman" w:hAnsi="Times New Roman" w:cs="Times New Roman"/>
          <w:i w:val="0"/>
          <w:iCs w:val="0"/>
          <w:color w:val="000000"/>
        </w:rPr>
      </w:pPr>
      <w:r>
        <w:rPr>
          <w:rFonts w:hint="default" w:ascii="Times New Roman" w:hAnsi="Times New Roman" w:eastAsia="方正黑体_GBK" w:cs="Times New Roman"/>
          <w:i w:val="0"/>
          <w:iCs w:val="0"/>
          <w:color w:val="000000"/>
          <w:lang w:val="en-US" w:eastAsia="zh-CN"/>
        </w:rPr>
        <w:t>六</w:t>
      </w:r>
      <w:r>
        <w:rPr>
          <w:rFonts w:hint="default" w:ascii="Times New Roman" w:hAnsi="Times New Roman" w:eastAsia="方正黑体_GBK" w:cs="Times New Roman"/>
          <w:i w:val="0"/>
          <w:iCs w:val="0"/>
          <w:color w:val="000000"/>
        </w:rPr>
        <w:t>、建设工期：</w:t>
      </w:r>
      <w:r>
        <w:rPr>
          <w:rFonts w:hint="default" w:ascii="Times New Roman" w:hAnsi="Times New Roman" w:cs="Times New Roman"/>
          <w:i w:val="0"/>
          <w:iCs w:val="0"/>
          <w:color w:val="000000"/>
          <w:lang w:val="en-US" w:eastAsia="zh-CN"/>
        </w:rPr>
        <w:t>2</w:t>
      </w:r>
      <w:r>
        <w:rPr>
          <w:rFonts w:hint="default" w:ascii="Times New Roman" w:hAnsi="Times New Roman" w:cs="Times New Roman"/>
          <w:i w:val="0"/>
          <w:iCs w:val="0"/>
          <w:color w:val="000000"/>
        </w:rPr>
        <w:t>年。</w:t>
      </w:r>
    </w:p>
    <w:p w14:paraId="2EA8E27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5" w:lineRule="exact"/>
        <w:ind w:firstLine="632" w:firstLineChars="200"/>
        <w:textAlignment w:val="auto"/>
        <w:rPr>
          <w:rFonts w:hint="default" w:ascii="Times New Roman" w:hAnsi="Times New Roman" w:cs="Times New Roman"/>
          <w:i w:val="0"/>
          <w:iCs w:val="0"/>
          <w:kern w:val="2"/>
        </w:rPr>
      </w:pPr>
      <w:r>
        <w:rPr>
          <w:rFonts w:hint="default" w:ascii="Times New Roman" w:hAnsi="Times New Roman" w:eastAsia="方正黑体_GBK" w:cs="Times New Roman"/>
          <w:i w:val="0"/>
          <w:iCs w:val="0"/>
          <w:color w:val="000000"/>
          <w:lang w:val="en-US" w:eastAsia="zh-CN"/>
        </w:rPr>
        <w:t>七</w:t>
      </w:r>
      <w:r>
        <w:rPr>
          <w:rFonts w:hint="default" w:ascii="Times New Roman" w:hAnsi="Times New Roman" w:eastAsia="方正黑体_GBK" w:cs="Times New Roman"/>
          <w:i w:val="0"/>
          <w:iCs w:val="0"/>
          <w:color w:val="000000"/>
        </w:rPr>
        <w:t>、招标核准：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kern w:val="2"/>
        </w:rPr>
        <w:t>本项目的招标范围为工程施工，勘察、设计、监理等与工程建设有关的服务，以及与工程建设有关的重要设备、材料等的采购。招标方式为公开招标，招标组织形式为委托招标。招标公告在指定媒介公开发布。</w:t>
      </w:r>
    </w:p>
    <w:p w14:paraId="2875467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5" w:lineRule="exact"/>
        <w:ind w:firstLine="632" w:firstLineChars="200"/>
        <w:textAlignment w:val="auto"/>
        <w:rPr>
          <w:rFonts w:hint="default" w:ascii="Times New Roman" w:hAnsi="Times New Roman" w:cs="Times New Roman"/>
          <w:i w:val="0"/>
          <w:iCs w:val="0"/>
          <w:kern w:val="2"/>
        </w:rPr>
      </w:pPr>
      <w:r>
        <w:rPr>
          <w:rFonts w:hint="default" w:ascii="Times New Roman" w:hAnsi="Times New Roman" w:eastAsia="方正黑体_GBK" w:cs="Times New Roman"/>
          <w:i w:val="0"/>
          <w:iCs w:val="0"/>
          <w:kern w:val="2"/>
          <w:lang w:val="en-US" w:eastAsia="zh-CN"/>
        </w:rPr>
        <w:t>八</w:t>
      </w:r>
      <w:r>
        <w:rPr>
          <w:rFonts w:hint="default" w:ascii="Times New Roman" w:hAnsi="Times New Roman" w:eastAsia="方正黑体_GBK" w:cs="Times New Roman"/>
          <w:i w:val="0"/>
          <w:iCs w:val="0"/>
          <w:kern w:val="2"/>
        </w:rPr>
        <w:t>、</w:t>
      </w:r>
      <w:r>
        <w:rPr>
          <w:rFonts w:hint="default" w:ascii="Times New Roman" w:hAnsi="Times New Roman" w:eastAsia="方正黑体_GBK" w:cs="Times New Roman"/>
          <w:i w:val="0"/>
          <w:iCs w:val="0"/>
          <w:kern w:val="2"/>
          <w:lang w:val="en-US" w:eastAsia="zh-CN"/>
        </w:rPr>
        <w:t>有关事项：</w:t>
      </w:r>
      <w:r>
        <w:rPr>
          <w:rFonts w:hint="default" w:ascii="Times New Roman" w:hAnsi="Times New Roman" w:cs="Times New Roman"/>
          <w:i w:val="0"/>
          <w:iCs w:val="0"/>
          <w:kern w:val="2"/>
        </w:rPr>
        <w:t>请你单位根据本批复，结合项目可行性研究报告评估意见，进一步深化初步设计等前期工作，及时将投资概算报送我委审批。要严格执行项目法人责任制、招标投标制、工程监理制、合同管理制，严格控制工程投资标准，防止工程超概。</w:t>
      </w:r>
    </w:p>
    <w:p w14:paraId="3014CEA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5" w:lineRule="exact"/>
        <w:ind w:firstLine="632" w:firstLineChars="200"/>
        <w:textAlignment w:val="auto"/>
        <w:rPr>
          <w:rFonts w:hint="default" w:ascii="Times New Roman" w:hAnsi="Times New Roman" w:cs="Times New Roman"/>
          <w:i w:val="0"/>
          <w:iCs w:val="0"/>
          <w:kern w:val="2"/>
          <w:lang w:val="en-US" w:eastAsia="zh-CN"/>
        </w:rPr>
      </w:pPr>
    </w:p>
    <w:p w14:paraId="4712F22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5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kern w:val="2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kern w:val="2"/>
          <w:lang w:val="en-US" w:eastAsia="zh-CN"/>
        </w:rPr>
        <w:t>附件：黔江正阳高级中学校建设工程投资估算表</w:t>
      </w:r>
    </w:p>
    <w:p w14:paraId="77B92E5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5" w:lineRule="exact"/>
        <w:ind w:firstLine="632" w:firstLineChars="200"/>
        <w:textAlignment w:val="auto"/>
        <w:rPr>
          <w:rFonts w:hint="default" w:ascii="Times New Roman" w:hAnsi="Times New Roman" w:cs="Times New Roman"/>
          <w:i w:val="0"/>
          <w:iCs w:val="0"/>
          <w:kern w:val="2"/>
        </w:rPr>
      </w:pPr>
    </w:p>
    <w:p w14:paraId="31E32C38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75" w:lineRule="exact"/>
        <w:rPr>
          <w:rFonts w:hint="default"/>
        </w:rPr>
      </w:pPr>
    </w:p>
    <w:p w14:paraId="66753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5" w:lineRule="exact"/>
        <w:ind w:firstLine="4108" w:firstLineChars="13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重庆市黔江区发展和改革委员会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</w:t>
      </w:r>
    </w:p>
    <w:p w14:paraId="6ACAB62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5" w:lineRule="exact"/>
        <w:ind w:firstLine="643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20940D08">
      <w:pPr>
        <w:pStyle w:val="2"/>
        <w:rPr>
          <w:rFonts w:hint="eastAsia"/>
        </w:rPr>
      </w:pPr>
    </w:p>
    <w:p w14:paraId="1DFF4F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i w:val="0"/>
          <w:iCs w:val="0"/>
          <w:kern w:val="2"/>
        </w:rPr>
      </w:pPr>
    </w:p>
    <w:p w14:paraId="15022F3E">
      <w:pPr>
        <w:pStyle w:val="2"/>
        <w:rPr>
          <w:i w:val="0"/>
          <w:iCs w:val="0"/>
          <w:kern w:val="2"/>
        </w:rPr>
      </w:pPr>
    </w:p>
    <w:p w14:paraId="575E9DC8">
      <w:pPr>
        <w:pStyle w:val="2"/>
        <w:rPr>
          <w:i w:val="0"/>
          <w:iCs w:val="0"/>
          <w:kern w:val="2"/>
        </w:rPr>
      </w:pPr>
    </w:p>
    <w:p w14:paraId="483D6476">
      <w:pPr>
        <w:pStyle w:val="2"/>
        <w:rPr>
          <w:i w:val="0"/>
          <w:iCs w:val="0"/>
          <w:kern w:val="2"/>
        </w:rPr>
      </w:pPr>
    </w:p>
    <w:p w14:paraId="14DC25AF">
      <w:pPr>
        <w:pStyle w:val="2"/>
        <w:rPr>
          <w:i w:val="0"/>
          <w:iCs w:val="0"/>
          <w:kern w:val="2"/>
        </w:rPr>
      </w:pPr>
    </w:p>
    <w:p w14:paraId="350DD1F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kern w:val="2"/>
          <w:sz w:val="32"/>
          <w:szCs w:val="32"/>
        </w:rPr>
      </w:pPr>
    </w:p>
    <w:p w14:paraId="7A9E14B4">
      <w:pPr>
        <w:overflowPunct w:val="0"/>
        <w:adjustRightInd/>
        <w:spacing w:line="240" w:lineRule="auto"/>
        <w:ind w:firstLine="632" w:firstLineChars="200"/>
        <w:textAlignment w:val="auto"/>
        <w:rPr>
          <w:i w:val="0"/>
          <w:iCs w:val="0"/>
          <w:kern w:val="2"/>
        </w:rPr>
      </w:pPr>
    </w:p>
    <w:p w14:paraId="7F6D8032">
      <w:pPr>
        <w:spacing w:line="240" w:lineRule="auto"/>
        <w:rPr>
          <w:i w:val="0"/>
          <w:iCs w:val="0"/>
          <w:sz w:val="28"/>
          <w:szCs w:val="28"/>
        </w:rPr>
      </w:pPr>
    </w:p>
    <w:p w14:paraId="09BD5551">
      <w:pPr>
        <w:spacing w:line="240" w:lineRule="auto"/>
        <w:rPr>
          <w:i w:val="0"/>
          <w:iCs w:val="0"/>
          <w:sz w:val="28"/>
          <w:szCs w:val="28"/>
        </w:rPr>
      </w:pPr>
    </w:p>
    <w:p w14:paraId="64F7FF2F">
      <w:pPr>
        <w:spacing w:line="240" w:lineRule="auto"/>
        <w:rPr>
          <w:i w:val="0"/>
          <w:iCs w:val="0"/>
          <w:sz w:val="28"/>
          <w:szCs w:val="28"/>
        </w:rPr>
      </w:pPr>
    </w:p>
    <w:p w14:paraId="4A807E0B">
      <w:pPr>
        <w:spacing w:line="240" w:lineRule="auto"/>
        <w:rPr>
          <w:i w:val="0"/>
          <w:iCs w:val="0"/>
          <w:sz w:val="28"/>
          <w:szCs w:val="28"/>
        </w:rPr>
      </w:pPr>
    </w:p>
    <w:p w14:paraId="24DF9EA3">
      <w:pPr>
        <w:spacing w:line="240" w:lineRule="auto"/>
        <w:rPr>
          <w:i w:val="0"/>
          <w:iCs w:val="0"/>
          <w:sz w:val="28"/>
          <w:szCs w:val="28"/>
        </w:rPr>
      </w:pPr>
    </w:p>
    <w:p w14:paraId="5AFECC9D">
      <w:pPr>
        <w:spacing w:line="240" w:lineRule="auto"/>
        <w:rPr>
          <w:i w:val="0"/>
          <w:iCs w:val="0"/>
          <w:sz w:val="28"/>
          <w:szCs w:val="28"/>
        </w:rPr>
      </w:pPr>
    </w:p>
    <w:p w14:paraId="5FACDF1A">
      <w:pPr>
        <w:pStyle w:val="2"/>
        <w:rPr>
          <w:i w:val="0"/>
          <w:iCs w:val="0"/>
          <w:sz w:val="28"/>
          <w:szCs w:val="28"/>
        </w:rPr>
      </w:pPr>
    </w:p>
    <w:p w14:paraId="6731F77A">
      <w:pPr>
        <w:pStyle w:val="2"/>
        <w:rPr>
          <w:i w:val="0"/>
          <w:iCs w:val="0"/>
          <w:sz w:val="28"/>
          <w:szCs w:val="28"/>
        </w:rPr>
      </w:pPr>
    </w:p>
    <w:p w14:paraId="687D4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rFonts w:hint="eastAsia" w:ascii="方正黑体_GBK" w:hAnsi="方正黑体_GBK" w:eastAsia="方正黑体_GBK" w:cs="方正黑体_GBK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sz w:val="32"/>
          <w:szCs w:val="32"/>
          <w:lang w:val="en-US" w:eastAsia="zh-CN"/>
        </w:rPr>
        <w:t>附件</w:t>
      </w:r>
    </w:p>
    <w:p w14:paraId="13E286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exact"/>
        <w:textAlignment w:val="baseline"/>
        <w:rPr>
          <w:rFonts w:hint="eastAsia"/>
          <w:lang w:val="en-US" w:eastAsia="zh-CN"/>
        </w:rPr>
      </w:pPr>
    </w:p>
    <w:p w14:paraId="6A68BA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i w:val="0"/>
          <w:i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sz w:val="44"/>
          <w:szCs w:val="44"/>
          <w:lang w:val="en-US" w:eastAsia="zh-CN"/>
        </w:rPr>
        <w:t>黔江正阳高级中学校建设工程投资估算表</w:t>
      </w:r>
    </w:p>
    <w:p w14:paraId="7CF8EA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exact"/>
        <w:textAlignment w:val="baseline"/>
        <w:rPr>
          <w:rFonts w:hint="eastAsia" w:ascii="方正小标宋_GBK" w:hAnsi="方正小标宋_GBK" w:eastAsia="方正小标宋_GBK" w:cs="方正小标宋_GBK"/>
          <w:i w:val="0"/>
          <w:iCs w:val="0"/>
          <w:sz w:val="44"/>
          <w:szCs w:val="44"/>
          <w:lang w:val="en-US" w:eastAsia="zh-CN"/>
        </w:rPr>
      </w:pPr>
    </w:p>
    <w:tbl>
      <w:tblPr>
        <w:tblStyle w:val="7"/>
        <w:tblW w:w="97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6345"/>
        <w:gridCol w:w="2310"/>
      </w:tblGrid>
      <w:tr w14:paraId="51824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3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  号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C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金额（万元）</w:t>
            </w:r>
          </w:p>
        </w:tc>
      </w:tr>
      <w:tr w14:paraId="526ED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39836.88 </w:t>
            </w:r>
          </w:p>
        </w:tc>
      </w:tr>
      <w:tr w14:paraId="46366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4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1号教学楼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5527.99 </w:t>
            </w:r>
          </w:p>
        </w:tc>
      </w:tr>
      <w:tr w14:paraId="437F1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9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2号教学楼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E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2117.16 </w:t>
            </w:r>
          </w:p>
        </w:tc>
      </w:tr>
      <w:tr w14:paraId="60EEC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87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3号教学楼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2117.16 </w:t>
            </w:r>
          </w:p>
        </w:tc>
      </w:tr>
      <w:tr w14:paraId="3B5E3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3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科技楼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3500.35 </w:t>
            </w:r>
          </w:p>
        </w:tc>
      </w:tr>
      <w:tr w14:paraId="77CD1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F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6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北区地下停车库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663.47 </w:t>
            </w:r>
          </w:p>
        </w:tc>
      </w:tr>
      <w:tr w14:paraId="1E6BF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2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南区地下停车库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2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3548.77 </w:t>
            </w:r>
          </w:p>
        </w:tc>
      </w:tr>
      <w:tr w14:paraId="73002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1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C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北区教师周转房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1050.60 </w:t>
            </w:r>
          </w:p>
        </w:tc>
      </w:tr>
      <w:tr w14:paraId="6FF7A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8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北区学生宿舍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3053.99 </w:t>
            </w:r>
          </w:p>
        </w:tc>
      </w:tr>
      <w:tr w14:paraId="317EC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A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北区学生食堂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680.73 </w:t>
            </w:r>
          </w:p>
        </w:tc>
      </w:tr>
      <w:tr w14:paraId="3F046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1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南区女生宿舍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F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2452.76 </w:t>
            </w:r>
          </w:p>
        </w:tc>
      </w:tr>
      <w:tr w14:paraId="1D611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7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南区男生宿舍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D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2631.03 </w:t>
            </w:r>
          </w:p>
        </w:tc>
      </w:tr>
      <w:tr w14:paraId="370F0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4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南区学生食堂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1285.11 </w:t>
            </w:r>
          </w:p>
        </w:tc>
      </w:tr>
      <w:tr w14:paraId="2F3EE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9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综合楼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2629.72 </w:t>
            </w:r>
          </w:p>
        </w:tc>
      </w:tr>
      <w:tr w14:paraId="7D9D7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6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D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报告厅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1375.98 </w:t>
            </w:r>
          </w:p>
        </w:tc>
      </w:tr>
      <w:tr w14:paraId="044DF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E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连廊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314.73 </w:t>
            </w:r>
          </w:p>
        </w:tc>
      </w:tr>
      <w:tr w14:paraId="54606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E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人行天桥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191.27 </w:t>
            </w:r>
          </w:p>
        </w:tc>
      </w:tr>
      <w:tr w14:paraId="051E8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6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1号大门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C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27.85 </w:t>
            </w:r>
          </w:p>
        </w:tc>
      </w:tr>
      <w:tr w14:paraId="041B2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40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2号大门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8.51 </w:t>
            </w:r>
          </w:p>
        </w:tc>
      </w:tr>
      <w:tr w14:paraId="426BF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9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附属工程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2756.60 </w:t>
            </w:r>
          </w:p>
        </w:tc>
      </w:tr>
      <w:tr w14:paraId="3D313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7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2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场平工程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798.10 </w:t>
            </w:r>
          </w:p>
        </w:tc>
      </w:tr>
      <w:tr w14:paraId="61F46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6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设备及办公家具采购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E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3105.00 </w:t>
            </w:r>
          </w:p>
        </w:tc>
      </w:tr>
      <w:tr w14:paraId="478FC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工程建设其他费用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3510.55 </w:t>
            </w:r>
          </w:p>
        </w:tc>
      </w:tr>
      <w:tr w14:paraId="34B5C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F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场地准备及临时设施费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199.18 </w:t>
            </w:r>
          </w:p>
        </w:tc>
      </w:tr>
      <w:tr w14:paraId="2E8A3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B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项目建设管理费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324.08 </w:t>
            </w:r>
          </w:p>
        </w:tc>
      </w:tr>
      <w:tr w14:paraId="7BAED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D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工程建设监理费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459.89 </w:t>
            </w:r>
          </w:p>
        </w:tc>
      </w:tr>
      <w:tr w14:paraId="2CCBC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5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A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招标代理服务费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7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31.83 </w:t>
            </w:r>
          </w:p>
        </w:tc>
      </w:tr>
      <w:tr w14:paraId="5AC9D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80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前期工作费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76.17 </w:t>
            </w:r>
          </w:p>
        </w:tc>
      </w:tr>
      <w:tr w14:paraId="7951B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D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工程勘察设计费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848.51 </w:t>
            </w:r>
          </w:p>
        </w:tc>
      </w:tr>
      <w:tr w14:paraId="363EC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42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施工图审查费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11.92 </w:t>
            </w:r>
          </w:p>
        </w:tc>
      </w:tr>
      <w:tr w14:paraId="457B0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B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工程造价咨询服务费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0F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396.83 </w:t>
            </w:r>
          </w:p>
        </w:tc>
      </w:tr>
      <w:tr w14:paraId="65BF8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5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9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159.35 </w:t>
            </w:r>
          </w:p>
        </w:tc>
      </w:tr>
      <w:tr w14:paraId="4A67E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B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6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安全生产保障费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5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398.37 </w:t>
            </w:r>
          </w:p>
        </w:tc>
      </w:tr>
      <w:tr w14:paraId="5557D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0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F0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水土保持咨询服务费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80.81 </w:t>
            </w:r>
          </w:p>
        </w:tc>
      </w:tr>
      <w:tr w14:paraId="26D87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E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城市基础设施配套建设费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361.19 </w:t>
            </w:r>
          </w:p>
        </w:tc>
      </w:tr>
      <w:tr w14:paraId="0218E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0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人防工程易地建设费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162.42 </w:t>
            </w:r>
          </w:p>
        </w:tc>
      </w:tr>
      <w:tr w14:paraId="6D5F0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5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预备费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3467.79 </w:t>
            </w:r>
          </w:p>
        </w:tc>
      </w:tr>
      <w:tr w14:paraId="5DC91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项目总投资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46815.22 </w:t>
            </w:r>
          </w:p>
        </w:tc>
      </w:tr>
    </w:tbl>
    <w:p w14:paraId="2D7A7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52" w:firstLineChars="200"/>
        <w:textAlignment w:val="baseline"/>
        <w:rPr>
          <w:i w:val="0"/>
          <w:iCs w:val="0"/>
          <w:sz w:val="28"/>
          <w:szCs w:val="28"/>
        </w:rPr>
      </w:pPr>
    </w:p>
    <w:p w14:paraId="3996F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283A9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52" w:firstLineChars="200"/>
        <w:textAlignment w:val="baseline"/>
        <w:rPr>
          <w:i w:val="0"/>
          <w:iCs w:val="0"/>
          <w:sz w:val="28"/>
          <w:szCs w:val="28"/>
        </w:rPr>
      </w:pPr>
    </w:p>
    <w:p w14:paraId="1AC91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52" w:firstLineChars="200"/>
        <w:textAlignment w:val="baseline"/>
        <w:rPr>
          <w:i w:val="0"/>
          <w:iCs w:val="0"/>
          <w:sz w:val="28"/>
          <w:szCs w:val="28"/>
        </w:rPr>
      </w:pPr>
    </w:p>
    <w:p w14:paraId="31B08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52" w:firstLineChars="200"/>
        <w:textAlignment w:val="baseline"/>
        <w:rPr>
          <w:i w:val="0"/>
          <w:iCs w:val="0"/>
          <w:sz w:val="28"/>
          <w:szCs w:val="28"/>
        </w:rPr>
      </w:pPr>
    </w:p>
    <w:p w14:paraId="446C5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52" w:firstLineChars="200"/>
        <w:textAlignment w:val="baseline"/>
        <w:rPr>
          <w:i w:val="0"/>
          <w:iCs w:val="0"/>
          <w:sz w:val="28"/>
          <w:szCs w:val="28"/>
        </w:rPr>
      </w:pPr>
    </w:p>
    <w:p w14:paraId="3F4E5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52" w:firstLineChars="200"/>
        <w:textAlignment w:val="baseline"/>
        <w:rPr>
          <w:i w:val="0"/>
          <w:iCs w:val="0"/>
          <w:sz w:val="28"/>
          <w:szCs w:val="28"/>
        </w:rPr>
      </w:pPr>
    </w:p>
    <w:p w14:paraId="136EB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52" w:firstLineChars="200"/>
        <w:textAlignment w:val="baseline"/>
        <w:rPr>
          <w:i w:val="0"/>
          <w:iCs w:val="0"/>
          <w:sz w:val="28"/>
          <w:szCs w:val="28"/>
        </w:rPr>
      </w:pPr>
    </w:p>
    <w:p w14:paraId="44A62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52" w:firstLineChars="200"/>
        <w:textAlignment w:val="baseline"/>
        <w:rPr>
          <w:i w:val="0"/>
          <w:iCs w:val="0"/>
          <w:sz w:val="28"/>
          <w:szCs w:val="28"/>
        </w:rPr>
      </w:pPr>
    </w:p>
    <w:p w14:paraId="0055E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52" w:firstLineChars="200"/>
        <w:textAlignment w:val="baseline"/>
        <w:rPr>
          <w:i w:val="0"/>
          <w:iCs w:val="0"/>
          <w:sz w:val="28"/>
          <w:szCs w:val="28"/>
        </w:rPr>
      </w:pPr>
    </w:p>
    <w:p w14:paraId="7E91C0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4C2D92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5D480E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31F1871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4AE9D8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329913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7E5D84E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2B13135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6E8004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446CBA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1B9E5F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4006A2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2239F3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77B53A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  <w:bookmarkStart w:id="2" w:name="_GoBack"/>
      <w:bookmarkEnd w:id="2"/>
    </w:p>
    <w:p w14:paraId="2E044FFF">
      <w:pPr>
        <w:spacing w:line="440" w:lineRule="exact"/>
        <w:ind w:left="-319" w:leftChars="-101" w:right="-290" w:rightChars="-92"/>
        <w:rPr>
          <w:rFonts w:hint="eastAsia" w:eastAsia="方正仿宋_GBK"/>
          <w:sz w:val="28"/>
          <w:szCs w:val="28"/>
          <w:u w:val="single"/>
        </w:rPr>
      </w:pPr>
      <w:r>
        <w:rPr>
          <w:rFonts w:hint="eastAsia" w:eastAsia="方正黑体_GBK"/>
          <w:sz w:val="32"/>
          <w:szCs w:val="32"/>
          <w:u w:val="thick"/>
        </w:rPr>
        <w:t xml:space="preserve">                  </w:t>
      </w:r>
      <w:r>
        <w:rPr>
          <w:rFonts w:eastAsia="方正小标宋_GBK"/>
          <w:sz w:val="32"/>
          <w:szCs w:val="32"/>
          <w:u w:val="thick"/>
        </w:rPr>
        <w:t xml:space="preserve">                                           </w:t>
      </w:r>
    </w:p>
    <w:p w14:paraId="6B59C9B0">
      <w:pPr>
        <w:spacing w:line="440" w:lineRule="exact"/>
        <w:ind w:left="-319" w:leftChars="-101" w:right="-290" w:rightChars="-92"/>
        <w:rPr>
          <w:rFonts w:eastAsia="方正仿宋_GBK"/>
          <w:sz w:val="28"/>
          <w:szCs w:val="28"/>
          <w:u w:val="single"/>
        </w:rPr>
      </w:pPr>
      <w:r>
        <w:rPr>
          <w:rFonts w:hint="eastAsia" w:eastAsia="方正仿宋_GBK"/>
          <w:sz w:val="28"/>
          <w:szCs w:val="28"/>
          <w:u w:val="single"/>
        </w:rPr>
        <w:t xml:space="preserve">  抄送：区纪委监委、区财政局、区审计局。  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eastAsia="方正仿宋_GBK"/>
          <w:sz w:val="28"/>
          <w:szCs w:val="28"/>
          <w:u w:val="single"/>
        </w:rPr>
        <w:t xml:space="preserve">             </w:t>
      </w:r>
    </w:p>
    <w:p w14:paraId="2EC045DF">
      <w:pPr>
        <w:spacing w:line="440" w:lineRule="exact"/>
        <w:ind w:left="-319" w:leftChars="-101" w:right="-290" w:rightChars="-92"/>
        <w:rPr>
          <w:i w:val="0"/>
          <w:iCs w:val="0"/>
          <w:sz w:val="28"/>
          <w:szCs w:val="28"/>
        </w:rPr>
      </w:pPr>
      <w:r>
        <w:rPr>
          <w:rFonts w:eastAsia="方正仿宋_GBK"/>
          <w:sz w:val="28"/>
          <w:szCs w:val="28"/>
          <w:u w:val="thick"/>
        </w:rPr>
        <w:t xml:space="preserve"> </w:t>
      </w:r>
      <w:r>
        <w:rPr>
          <w:rFonts w:hint="eastAsia" w:eastAsia="方正仿宋_GBK"/>
          <w:sz w:val="28"/>
          <w:szCs w:val="28"/>
          <w:u w:val="thick"/>
        </w:rPr>
        <w:t xml:space="preserve"> 重庆市</w:t>
      </w:r>
      <w:r>
        <w:rPr>
          <w:rFonts w:eastAsia="方正仿宋_GBK"/>
          <w:sz w:val="28"/>
          <w:szCs w:val="28"/>
          <w:u w:val="thick"/>
        </w:rPr>
        <w:t xml:space="preserve">黔江区发展和改革委员会办公室  </w:t>
      </w:r>
      <w:r>
        <w:rPr>
          <w:rFonts w:hint="eastAsia" w:eastAsia="方正仿宋_GBK"/>
          <w:sz w:val="28"/>
          <w:szCs w:val="28"/>
          <w:u w:val="thick"/>
        </w:rPr>
        <w:t xml:space="preserve"> </w:t>
      </w:r>
      <w:r>
        <w:rPr>
          <w:rFonts w:eastAsia="方正仿宋_GBK"/>
          <w:sz w:val="28"/>
          <w:szCs w:val="28"/>
          <w:u w:val="thick"/>
        </w:rPr>
        <w:t xml:space="preserve"> </w:t>
      </w:r>
      <w:r>
        <w:rPr>
          <w:rFonts w:hint="eastAsia" w:eastAsia="方正仿宋_GBK"/>
          <w:sz w:val="28"/>
          <w:szCs w:val="28"/>
          <w:u w:val="thick"/>
          <w:lang w:val="en-US" w:eastAsia="zh-CN"/>
        </w:rPr>
        <w:t xml:space="preserve"> </w:t>
      </w:r>
      <w:r>
        <w:rPr>
          <w:rFonts w:hint="eastAsia"/>
          <w:sz w:val="28"/>
          <w:szCs w:val="28"/>
          <w:u w:val="thick"/>
          <w:lang w:val="en-US" w:eastAsia="zh-CN"/>
        </w:rPr>
        <w:t xml:space="preserve">  </w:t>
      </w:r>
      <w:r>
        <w:rPr>
          <w:rFonts w:hint="eastAsia" w:eastAsia="方正仿宋_GBK"/>
          <w:sz w:val="28"/>
          <w:szCs w:val="28"/>
          <w:u w:val="thick"/>
          <w:lang w:val="en-US" w:eastAsia="zh-CN"/>
        </w:rPr>
        <w:t xml:space="preserve">  </w:t>
      </w:r>
      <w:r>
        <w:rPr>
          <w:rFonts w:eastAsia="方正仿宋_GBK"/>
          <w:sz w:val="28"/>
          <w:szCs w:val="28"/>
          <w:u w:val="thick"/>
        </w:rPr>
        <w:t xml:space="preserve">  </w:t>
      </w:r>
      <w:r>
        <w:rPr>
          <w:rFonts w:hint="eastAsia" w:eastAsia="方正仿宋_GBK"/>
          <w:sz w:val="28"/>
          <w:szCs w:val="28"/>
          <w:u w:val="thick"/>
        </w:rPr>
        <w:t xml:space="preserve"> </w:t>
      </w:r>
      <w:r>
        <w:rPr>
          <w:rFonts w:eastAsia="方正仿宋_GBK"/>
          <w:sz w:val="28"/>
          <w:szCs w:val="28"/>
          <w:u w:val="thick"/>
        </w:rPr>
        <w:t>20</w:t>
      </w:r>
      <w:r>
        <w:rPr>
          <w:rFonts w:hint="eastAsia" w:eastAsia="方正仿宋_GBK"/>
          <w:sz w:val="28"/>
          <w:szCs w:val="28"/>
          <w:u w:val="thick"/>
        </w:rPr>
        <w:t>2</w:t>
      </w:r>
      <w:r>
        <w:rPr>
          <w:rFonts w:hint="eastAsia" w:eastAsia="方正仿宋_GBK"/>
          <w:sz w:val="28"/>
          <w:szCs w:val="28"/>
          <w:u w:val="thick"/>
          <w:lang w:val="en-US" w:eastAsia="zh-CN"/>
        </w:rPr>
        <w:t>6</w:t>
      </w:r>
      <w:r>
        <w:rPr>
          <w:rFonts w:eastAsia="方正仿宋_GBK"/>
          <w:sz w:val="28"/>
          <w:szCs w:val="28"/>
          <w:u w:val="thick"/>
        </w:rPr>
        <w:t>年</w:t>
      </w:r>
      <w:r>
        <w:rPr>
          <w:rFonts w:hint="eastAsia"/>
          <w:sz w:val="28"/>
          <w:szCs w:val="28"/>
          <w:u w:val="thick"/>
          <w:lang w:val="en-US" w:eastAsia="zh-CN"/>
        </w:rPr>
        <w:t>1</w:t>
      </w:r>
      <w:r>
        <w:rPr>
          <w:rFonts w:eastAsia="方正仿宋_GBK"/>
          <w:sz w:val="28"/>
          <w:szCs w:val="28"/>
          <w:u w:val="thick"/>
        </w:rPr>
        <w:t>月</w:t>
      </w:r>
      <w:r>
        <w:rPr>
          <w:rFonts w:hint="eastAsia"/>
          <w:sz w:val="28"/>
          <w:szCs w:val="28"/>
          <w:u w:val="thick"/>
          <w:lang w:val="en-US" w:eastAsia="zh-CN"/>
        </w:rPr>
        <w:t>30</w:t>
      </w:r>
      <w:r>
        <w:rPr>
          <w:rFonts w:eastAsia="方正仿宋_GBK"/>
          <w:sz w:val="28"/>
          <w:szCs w:val="28"/>
          <w:u w:val="thick"/>
        </w:rPr>
        <w:t>日印发</w:t>
      </w:r>
      <w:r>
        <w:rPr>
          <w:rFonts w:hint="eastAsia" w:eastAsia="方正仿宋_GBK"/>
          <w:sz w:val="28"/>
          <w:szCs w:val="28"/>
          <w:u w:val="thick"/>
        </w:rPr>
        <w:t xml:space="preserve"> </w:t>
      </w:r>
      <w:r>
        <w:rPr>
          <w:rFonts w:eastAsia="方正仿宋_GBK"/>
          <w:sz w:val="28"/>
          <w:szCs w:val="28"/>
          <w:u w:val="thick"/>
        </w:rPr>
        <w:t xml:space="preserve"> </w:t>
      </w:r>
    </w:p>
    <w:sectPr>
      <w:footerReference r:id="rId5" w:type="default"/>
      <w:footerReference r:id="rId6" w:type="even"/>
      <w:pgSz w:w="11906" w:h="16838"/>
      <w:pgMar w:top="2098" w:right="1531" w:bottom="1984" w:left="1531" w:header="851" w:footer="1417" w:gutter="0"/>
      <w:cols w:space="0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B309F">
    <w:pPr>
      <w:jc w:val="right"/>
      <w:rPr>
        <w:rFonts w:eastAsia="Times New Roman"/>
        <w:sz w:val="18"/>
      </w:rPr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6A588679">
                <w:pPr>
                  <w:pStyle w:val="5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eastAsia="宋体"/>
                    <w:sz w:val="28"/>
                    <w:szCs w:val="28"/>
                  </w:rPr>
                  <w:fldChar w:fldCharType="begin"/>
                </w:r>
                <w:r>
                  <w:rPr>
                    <w:rFonts w:eastAsia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eastAsia="宋体"/>
                    <w:sz w:val="28"/>
                    <w:szCs w:val="28"/>
                  </w:rPr>
                  <w:fldChar w:fldCharType="separate"/>
                </w:r>
                <w:r>
                  <w:rPr>
                    <w:rFonts w:eastAsia="宋体"/>
                    <w:sz w:val="28"/>
                    <w:szCs w:val="28"/>
                  </w:rPr>
                  <w:t>1</w:t>
                </w:r>
                <w:r>
                  <w:rPr>
                    <w:rFonts w:eastAsia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7FDB9">
    <w:pPr>
      <w:jc w:val="right"/>
      <w:rPr>
        <w:rFonts w:eastAsia="Times New Roman"/>
        <w:sz w:val="18"/>
      </w:rPr>
    </w:pPr>
    <w:r>
      <w:rPr>
        <w:rFonts w:eastAsia="Times New Roman"/>
        <w:sz w:val="18"/>
      </w:rPr>
      <w:fldChar w:fldCharType="begin"/>
    </w:r>
    <w:r>
      <w:rPr>
        <w:rFonts w:eastAsia="Times New Roman"/>
        <w:sz w:val="18"/>
      </w:rPr>
      <w:instrText xml:space="preserve"> PAGE </w:instrText>
    </w:r>
    <w:r>
      <w:rPr>
        <w:rFonts w:eastAsia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5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SuppressParagraphBorders/>
    <w:footnoteLayoutLikeWW8/>
    <w:forgetLastTabAlignment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1FB"/>
    <w:rsid w:val="00045989"/>
    <w:rsid w:val="00050FA0"/>
    <w:rsid w:val="00096BAE"/>
    <w:rsid w:val="000A01FB"/>
    <w:rsid w:val="000B24F9"/>
    <w:rsid w:val="000B4A22"/>
    <w:rsid w:val="000C0BF7"/>
    <w:rsid w:val="000C2FB2"/>
    <w:rsid w:val="000C6B28"/>
    <w:rsid w:val="000D0B4C"/>
    <w:rsid w:val="000F25BF"/>
    <w:rsid w:val="001005AC"/>
    <w:rsid w:val="001024AA"/>
    <w:rsid w:val="001056AD"/>
    <w:rsid w:val="001520B3"/>
    <w:rsid w:val="00182501"/>
    <w:rsid w:val="00185691"/>
    <w:rsid w:val="00192E6B"/>
    <w:rsid w:val="001B24CD"/>
    <w:rsid w:val="001B58F6"/>
    <w:rsid w:val="001D3042"/>
    <w:rsid w:val="001D7EF0"/>
    <w:rsid w:val="001E64D7"/>
    <w:rsid w:val="001F7BBB"/>
    <w:rsid w:val="00221657"/>
    <w:rsid w:val="002328B1"/>
    <w:rsid w:val="002466FA"/>
    <w:rsid w:val="00250A8A"/>
    <w:rsid w:val="0026530B"/>
    <w:rsid w:val="00266A87"/>
    <w:rsid w:val="00296D93"/>
    <w:rsid w:val="002B04C6"/>
    <w:rsid w:val="002C26CE"/>
    <w:rsid w:val="002D3B50"/>
    <w:rsid w:val="00301B6D"/>
    <w:rsid w:val="00392240"/>
    <w:rsid w:val="00396CAE"/>
    <w:rsid w:val="003B3891"/>
    <w:rsid w:val="003D5F25"/>
    <w:rsid w:val="003E4FE8"/>
    <w:rsid w:val="003E5084"/>
    <w:rsid w:val="003F450B"/>
    <w:rsid w:val="004077FA"/>
    <w:rsid w:val="00413264"/>
    <w:rsid w:val="00432433"/>
    <w:rsid w:val="00434D79"/>
    <w:rsid w:val="00474C3A"/>
    <w:rsid w:val="00490227"/>
    <w:rsid w:val="00496D2E"/>
    <w:rsid w:val="00497F00"/>
    <w:rsid w:val="004A2FB3"/>
    <w:rsid w:val="004D68B4"/>
    <w:rsid w:val="004E0474"/>
    <w:rsid w:val="0050535E"/>
    <w:rsid w:val="005777F4"/>
    <w:rsid w:val="005C27F5"/>
    <w:rsid w:val="005C3378"/>
    <w:rsid w:val="005C7EAE"/>
    <w:rsid w:val="005F3C4D"/>
    <w:rsid w:val="006042BD"/>
    <w:rsid w:val="006068C6"/>
    <w:rsid w:val="00615E22"/>
    <w:rsid w:val="00662243"/>
    <w:rsid w:val="00662C8B"/>
    <w:rsid w:val="006A30D0"/>
    <w:rsid w:val="006B04E4"/>
    <w:rsid w:val="006C0DE2"/>
    <w:rsid w:val="0072131F"/>
    <w:rsid w:val="00731C1B"/>
    <w:rsid w:val="00737083"/>
    <w:rsid w:val="00765BC9"/>
    <w:rsid w:val="007770A5"/>
    <w:rsid w:val="00794916"/>
    <w:rsid w:val="007F46CB"/>
    <w:rsid w:val="00800B8F"/>
    <w:rsid w:val="00815223"/>
    <w:rsid w:val="00831787"/>
    <w:rsid w:val="00840973"/>
    <w:rsid w:val="00850D3F"/>
    <w:rsid w:val="00853F77"/>
    <w:rsid w:val="00860A47"/>
    <w:rsid w:val="00867FC3"/>
    <w:rsid w:val="00891C35"/>
    <w:rsid w:val="008935D1"/>
    <w:rsid w:val="00896F29"/>
    <w:rsid w:val="008B74C0"/>
    <w:rsid w:val="008F6151"/>
    <w:rsid w:val="009048D5"/>
    <w:rsid w:val="00904AFE"/>
    <w:rsid w:val="0092122C"/>
    <w:rsid w:val="009220DF"/>
    <w:rsid w:val="0093548C"/>
    <w:rsid w:val="0094704C"/>
    <w:rsid w:val="00965CCB"/>
    <w:rsid w:val="00972E17"/>
    <w:rsid w:val="00974193"/>
    <w:rsid w:val="009A449C"/>
    <w:rsid w:val="009A5EB0"/>
    <w:rsid w:val="009B5111"/>
    <w:rsid w:val="009B56E5"/>
    <w:rsid w:val="00A1588C"/>
    <w:rsid w:val="00A23D73"/>
    <w:rsid w:val="00A40C10"/>
    <w:rsid w:val="00A4300C"/>
    <w:rsid w:val="00A443C1"/>
    <w:rsid w:val="00A955CD"/>
    <w:rsid w:val="00AA3D4F"/>
    <w:rsid w:val="00AF5CAC"/>
    <w:rsid w:val="00B1777D"/>
    <w:rsid w:val="00B51CD6"/>
    <w:rsid w:val="00B73014"/>
    <w:rsid w:val="00B80CD6"/>
    <w:rsid w:val="00B82E95"/>
    <w:rsid w:val="00B833D8"/>
    <w:rsid w:val="00BA0FA4"/>
    <w:rsid w:val="00BD335A"/>
    <w:rsid w:val="00BF0A53"/>
    <w:rsid w:val="00C464A8"/>
    <w:rsid w:val="00C6762A"/>
    <w:rsid w:val="00C83427"/>
    <w:rsid w:val="00CD4D55"/>
    <w:rsid w:val="00D01740"/>
    <w:rsid w:val="00D05DF1"/>
    <w:rsid w:val="00D7295A"/>
    <w:rsid w:val="00D878F1"/>
    <w:rsid w:val="00D902A8"/>
    <w:rsid w:val="00D97CFB"/>
    <w:rsid w:val="00DA2332"/>
    <w:rsid w:val="00DB38C2"/>
    <w:rsid w:val="00DC314D"/>
    <w:rsid w:val="00DD0D97"/>
    <w:rsid w:val="00DD2B37"/>
    <w:rsid w:val="00DD4877"/>
    <w:rsid w:val="00DD59CC"/>
    <w:rsid w:val="00E03841"/>
    <w:rsid w:val="00E56C8D"/>
    <w:rsid w:val="00E7080E"/>
    <w:rsid w:val="00E73AC1"/>
    <w:rsid w:val="00E770E1"/>
    <w:rsid w:val="00E93235"/>
    <w:rsid w:val="00ED5B9D"/>
    <w:rsid w:val="00EE4DB0"/>
    <w:rsid w:val="00EF6B8E"/>
    <w:rsid w:val="00EF7895"/>
    <w:rsid w:val="00F13201"/>
    <w:rsid w:val="00F14A44"/>
    <w:rsid w:val="00F63B69"/>
    <w:rsid w:val="00F63FF8"/>
    <w:rsid w:val="00FA4D84"/>
    <w:rsid w:val="00FA4DBD"/>
    <w:rsid w:val="00FB4D5D"/>
    <w:rsid w:val="00FC3919"/>
    <w:rsid w:val="00FC49BF"/>
    <w:rsid w:val="010B1EA6"/>
    <w:rsid w:val="01A06D82"/>
    <w:rsid w:val="01B25A4D"/>
    <w:rsid w:val="01D003F4"/>
    <w:rsid w:val="03505C66"/>
    <w:rsid w:val="064F520B"/>
    <w:rsid w:val="07DE0AAA"/>
    <w:rsid w:val="09502F56"/>
    <w:rsid w:val="0AE95411"/>
    <w:rsid w:val="0BB8447D"/>
    <w:rsid w:val="0CF02DEE"/>
    <w:rsid w:val="0D840E89"/>
    <w:rsid w:val="0DC50276"/>
    <w:rsid w:val="0F8141E3"/>
    <w:rsid w:val="12080E07"/>
    <w:rsid w:val="123039D7"/>
    <w:rsid w:val="12C81AA5"/>
    <w:rsid w:val="136F4921"/>
    <w:rsid w:val="1578613D"/>
    <w:rsid w:val="15C2342E"/>
    <w:rsid w:val="1637679E"/>
    <w:rsid w:val="193D01E0"/>
    <w:rsid w:val="1C365FDC"/>
    <w:rsid w:val="1D2027D0"/>
    <w:rsid w:val="1D4E12BA"/>
    <w:rsid w:val="1F4C00ED"/>
    <w:rsid w:val="21F455CD"/>
    <w:rsid w:val="226117B6"/>
    <w:rsid w:val="23445D57"/>
    <w:rsid w:val="23570372"/>
    <w:rsid w:val="256B156C"/>
    <w:rsid w:val="25B27047"/>
    <w:rsid w:val="26264F8E"/>
    <w:rsid w:val="26D83835"/>
    <w:rsid w:val="27F5397D"/>
    <w:rsid w:val="2ABB0720"/>
    <w:rsid w:val="2AFF29AF"/>
    <w:rsid w:val="2B6540BB"/>
    <w:rsid w:val="2B6F62D5"/>
    <w:rsid w:val="2B8704A8"/>
    <w:rsid w:val="2FB27D82"/>
    <w:rsid w:val="30C82935"/>
    <w:rsid w:val="33077C70"/>
    <w:rsid w:val="359D56FF"/>
    <w:rsid w:val="35EF5E14"/>
    <w:rsid w:val="368F633F"/>
    <w:rsid w:val="37083883"/>
    <w:rsid w:val="378578B7"/>
    <w:rsid w:val="38146403"/>
    <w:rsid w:val="38B97D28"/>
    <w:rsid w:val="38D97FC3"/>
    <w:rsid w:val="3A1F5203"/>
    <w:rsid w:val="3D584BA2"/>
    <w:rsid w:val="3E021FAB"/>
    <w:rsid w:val="3F4F7231"/>
    <w:rsid w:val="402E288B"/>
    <w:rsid w:val="4104773E"/>
    <w:rsid w:val="417E794A"/>
    <w:rsid w:val="44983428"/>
    <w:rsid w:val="44EE4DF6"/>
    <w:rsid w:val="45E47B16"/>
    <w:rsid w:val="45FA4B9F"/>
    <w:rsid w:val="46947057"/>
    <w:rsid w:val="47321912"/>
    <w:rsid w:val="47651902"/>
    <w:rsid w:val="477B47A9"/>
    <w:rsid w:val="478A34FC"/>
    <w:rsid w:val="47E66258"/>
    <w:rsid w:val="495A0CAC"/>
    <w:rsid w:val="4A30398A"/>
    <w:rsid w:val="4A9F4CF0"/>
    <w:rsid w:val="4AC07792"/>
    <w:rsid w:val="4CE7092E"/>
    <w:rsid w:val="4E252DB9"/>
    <w:rsid w:val="5073301F"/>
    <w:rsid w:val="51606BFC"/>
    <w:rsid w:val="545424E6"/>
    <w:rsid w:val="54E47F11"/>
    <w:rsid w:val="55342CF9"/>
    <w:rsid w:val="55835057"/>
    <w:rsid w:val="57DB6B64"/>
    <w:rsid w:val="5BC50A62"/>
    <w:rsid w:val="60050F24"/>
    <w:rsid w:val="603D6F06"/>
    <w:rsid w:val="60EE1FAE"/>
    <w:rsid w:val="61263F4D"/>
    <w:rsid w:val="61561366"/>
    <w:rsid w:val="6163086B"/>
    <w:rsid w:val="6383212C"/>
    <w:rsid w:val="64D91FD4"/>
    <w:rsid w:val="65E0558A"/>
    <w:rsid w:val="68E8683A"/>
    <w:rsid w:val="694D661D"/>
    <w:rsid w:val="696E3491"/>
    <w:rsid w:val="69CC4101"/>
    <w:rsid w:val="6AFF5937"/>
    <w:rsid w:val="6BF86AA4"/>
    <w:rsid w:val="6C3D2854"/>
    <w:rsid w:val="6CB769F9"/>
    <w:rsid w:val="6DC76061"/>
    <w:rsid w:val="6E163EDE"/>
    <w:rsid w:val="6FD827A7"/>
    <w:rsid w:val="70BD626C"/>
    <w:rsid w:val="726C3FD1"/>
    <w:rsid w:val="73815F40"/>
    <w:rsid w:val="73E223A7"/>
    <w:rsid w:val="74154AF0"/>
    <w:rsid w:val="75EC1E21"/>
    <w:rsid w:val="76B77724"/>
    <w:rsid w:val="76D832CD"/>
    <w:rsid w:val="7A601D17"/>
    <w:rsid w:val="7A7973A8"/>
    <w:rsid w:val="7B0C0998"/>
    <w:rsid w:val="7BAA0A78"/>
    <w:rsid w:val="7C5031A0"/>
    <w:rsid w:val="7DB9735D"/>
    <w:rsid w:val="7DE467BB"/>
    <w:rsid w:val="7E707F48"/>
    <w:rsid w:val="7EFE1DAF"/>
    <w:rsid w:val="7FBF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脚 字符"/>
    <w:link w:val="5"/>
    <w:qFormat/>
    <w:uiPriority w:val="99"/>
    <w:rPr>
      <w:rFonts w:eastAsia="方正仿宋_GBK"/>
      <w:sz w:val="18"/>
      <w:szCs w:val="18"/>
    </w:rPr>
  </w:style>
  <w:style w:type="character" w:customStyle="1" w:styleId="11">
    <w:name w:val="页眉 字符"/>
    <w:link w:val="6"/>
    <w:qFormat/>
    <w:uiPriority w:val="0"/>
    <w:rPr>
      <w:rFonts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  <customShpInfo spid="_x0000_s1032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605633-B490-42C1-B33A-F18EA88CE6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jw</Company>
  <Pages>6</Pages>
  <Words>1103</Words>
  <Characters>1442</Characters>
  <Lines>3</Lines>
  <Paragraphs>1</Paragraphs>
  <TotalTime>1</TotalTime>
  <ScaleCrop>false</ScaleCrop>
  <LinksUpToDate>false</LinksUpToDate>
  <CharactersWithSpaces>1556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2025-08-06T08:56:00Z</dcterms:created>
  <dc:creator>jw</dc:creator>
  <cp:lastModifiedBy>董丽莉</cp:lastModifiedBy>
  <cp:lastPrinted>2026-02-06T08:20:07Z</cp:lastPrinted>
  <dcterms:modified xsi:type="dcterms:W3CDTF">2026-02-06T08:20:09Z</dcterms:modified>
  <dc:title>批复文件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BFCEC26323E44AA2A0E8619B7F2C1E37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eyJoZGlkIjoiMTY2Y2ZlYTNkNWI5MzlkYjFiNjgwMzcyNGYwMjIxODUiLCJ1c2VySWQiOiIxOTA1NDczOTIifQ==</vt:lpwstr>
  </property>
</Properties>
</file>