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561E6">
      <w:pPr>
        <w:overflowPunct w:val="0"/>
        <w:adjustRightInd/>
        <w:spacing w:line="240" w:lineRule="auto"/>
        <w:rPr>
          <w:rFonts w:ascii="方正仿宋_GBK" w:hAnsi="方正仿宋_GBK" w:cs="方正仿宋_GBK"/>
          <w:bCs/>
        </w:rPr>
      </w:pPr>
    </w:p>
    <w:p w14:paraId="45B7705A">
      <w:pPr>
        <w:overflowPunct w:val="0"/>
        <w:adjustRightInd/>
        <w:spacing w:line="240" w:lineRule="auto"/>
        <w:rPr>
          <w:rFonts w:ascii="方正仿宋_GBK" w:hAnsi="方正仿宋_GBK" w:cs="方正仿宋_GBK"/>
          <w:bCs/>
        </w:rPr>
      </w:pPr>
    </w:p>
    <w:p w14:paraId="0E68E3D1">
      <w:pPr>
        <w:overflowPunct w:val="0"/>
        <w:adjustRightInd/>
        <w:spacing w:line="240" w:lineRule="auto"/>
        <w:rPr>
          <w:rFonts w:ascii="方正仿宋_GBK" w:hAnsi="方正仿宋_GBK" w:cs="方正仿宋_GBK"/>
          <w:bCs/>
        </w:rPr>
      </w:pPr>
    </w:p>
    <w:p w14:paraId="7D82B414">
      <w:pPr>
        <w:overflowPunct w:val="0"/>
        <w:adjustRightInd/>
        <w:spacing w:line="240" w:lineRule="auto"/>
        <w:rPr>
          <w:bCs/>
        </w:rPr>
      </w:pPr>
    </w:p>
    <w:p w14:paraId="7FA0BC8A">
      <w:pPr>
        <w:overflowPunct w:val="0"/>
        <w:adjustRightInd/>
        <w:spacing w:line="240" w:lineRule="auto"/>
        <w:rPr>
          <w:bCs/>
        </w:rPr>
      </w:pPr>
      <w:r>
        <w:rPr>
          <w:bCs/>
          <w:i w:val="0"/>
          <w:iCs w:val="0"/>
        </w:rPr>
        <w:pict>
          <v:shape id="_x0000_s1038" o:spid="_x0000_s1038" o:spt="136" type="#_x0000_t136" style="position:absolute;left:0pt;margin-left:7.75pt;margin-top:4.8pt;height:53.85pt;width:425.2pt;z-index:251660288;mso-width-relative:page;mso-height-relative:page;" fillcolor="#FF0000" filled="t" stroked="t" coordsize="21600,21600" adj="10800">
            <v:path/>
            <v:fill on="t" color2="#FFFFFF" focussize="0,0"/>
            <v:stroke color="#FF0000"/>
            <v:imagedata o:title=""/>
            <o:lock v:ext="edit" aspectratio="f"/>
            <v:textpath on="t" fitshape="t" fitpath="t" trim="t" xscale="f" string="重庆市黔江区发展和改革委员会文件" style="font-family:方正小标宋_GBK;font-size:36pt;v-text-align:center;"/>
          </v:shape>
        </w:pict>
      </w:r>
    </w:p>
    <w:p w14:paraId="78FEA080">
      <w:pPr>
        <w:overflowPunct w:val="0"/>
        <w:adjustRightInd/>
        <w:spacing w:line="240" w:lineRule="auto"/>
        <w:jc w:val="center"/>
        <w:rPr>
          <w:rFonts w:eastAsia="宋体"/>
          <w:kern w:val="2"/>
        </w:rPr>
      </w:pPr>
    </w:p>
    <w:p w14:paraId="1CDC2D20">
      <w:pPr>
        <w:overflowPunct w:val="0"/>
        <w:adjustRightInd/>
        <w:spacing w:line="240" w:lineRule="auto"/>
        <w:rPr>
          <w:bCs/>
        </w:rPr>
      </w:pPr>
    </w:p>
    <w:p w14:paraId="42A9414E">
      <w:pPr>
        <w:adjustRightInd/>
        <w:spacing w:line="240" w:lineRule="auto"/>
        <w:jc w:val="center"/>
        <w:rPr>
          <w:i/>
          <w:iCs/>
        </w:rPr>
      </w:pPr>
    </w:p>
    <w:p w14:paraId="0FB03F15">
      <w:pPr>
        <w:adjustRightInd/>
        <w:spacing w:line="240" w:lineRule="auto"/>
        <w:jc w:val="center"/>
        <w:rPr>
          <w:rFonts w:eastAsia="宋体"/>
          <w:bCs/>
          <w:iCs/>
        </w:rPr>
      </w:pPr>
      <w:r>
        <w:rPr>
          <w:rFonts w:hint="eastAsia"/>
          <w:i w:val="0"/>
          <w:iCs w:val="0"/>
          <w:lang w:eastAsia="zh-CN"/>
        </w:rPr>
        <w:t>黔江发改委发〔2026〕</w:t>
      </w:r>
      <w:r>
        <w:rPr>
          <w:rFonts w:hint="eastAsia"/>
          <w:i w:val="0"/>
          <w:iCs w:val="0"/>
          <w:lang w:val="en-US" w:eastAsia="zh-CN"/>
        </w:rPr>
        <w:t>62</w:t>
      </w:r>
      <w:r>
        <w:rPr>
          <w:rFonts w:ascii="方正仿宋_GBK" w:hAnsi="方正仿宋_GBK" w:cs="方正仿宋_GBK"/>
          <w:i w:val="0"/>
          <w:iCs w:val="0"/>
        </w:rPr>
        <w:t>号</w:t>
      </w:r>
      <w:r>
        <w:rPr>
          <w:iCs/>
        </w:rPr>
        <w:pict>
          <v:rect id="_x0000_s1028" o:spid="_x0000_s1028" o:spt="1" style="position:absolute;left:0pt;margin-left:0pt;margin-top:25.95pt;height:2.25pt;width:442.2pt;z-index:251659264;mso-width-relative:page;mso-height-relative:page;" fillcolor="#FF0202" filled="t" stroked="f" coordsize="21600,21600">
            <v:path/>
            <v:fill on="t" focussize="0,0"/>
            <v:stroke on="f"/>
            <v:imagedata o:title=""/>
            <o:lock v:ext="edit"/>
            <v:textbox>
              <w:txbxContent>
                <w:p w14:paraId="1E9C08F3">
                  <w:pPr>
                    <w:jc w:val="center"/>
                  </w:pPr>
                </w:p>
              </w:txbxContent>
            </v:textbox>
          </v:rect>
        </w:pict>
      </w:r>
    </w:p>
    <w:p w14:paraId="151B4D33">
      <w:pPr>
        <w:overflowPunct w:val="0"/>
        <w:adjustRightInd/>
        <w:spacing w:line="580" w:lineRule="exact"/>
        <w:jc w:val="both"/>
        <w:textAlignment w:val="auto"/>
        <w:rPr>
          <w:rFonts w:eastAsia="方正小标宋_GBK"/>
          <w:kern w:val="2"/>
          <w:sz w:val="44"/>
          <w:szCs w:val="44"/>
        </w:rPr>
      </w:pPr>
    </w:p>
    <w:p w14:paraId="08A6A126">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baseline"/>
        <w:rPr>
          <w:rFonts w:hint="eastAsia" w:eastAsia="方正小标宋_GBK"/>
          <w:bCs/>
          <w:kern w:val="2"/>
          <w:sz w:val="44"/>
          <w:szCs w:val="44"/>
        </w:rPr>
      </w:pPr>
      <w:r>
        <w:rPr>
          <w:rFonts w:hint="eastAsia" w:eastAsia="方正小标宋_GBK"/>
          <w:bCs/>
          <w:kern w:val="2"/>
          <w:sz w:val="44"/>
          <w:szCs w:val="44"/>
        </w:rPr>
        <w:t>重庆市黔江区发展和改革委员会</w:t>
      </w:r>
    </w:p>
    <w:p w14:paraId="07C84688">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baseline"/>
        <w:rPr>
          <w:color w:val="000000"/>
          <w:sz w:val="44"/>
          <w:szCs w:val="44"/>
        </w:rPr>
      </w:pPr>
      <w:r>
        <w:rPr>
          <w:rFonts w:hint="eastAsia" w:eastAsia="方正小标宋_GBK"/>
          <w:bCs/>
          <w:kern w:val="2"/>
          <w:sz w:val="44"/>
          <w:szCs w:val="44"/>
        </w:rPr>
        <w:t>关于黔江正阳高级中学校建设工程</w:t>
      </w:r>
      <w:r>
        <w:rPr>
          <w:rFonts w:hint="eastAsia" w:eastAsia="方正小标宋_GBK"/>
          <w:bCs/>
          <w:kern w:val="2"/>
          <w:sz w:val="44"/>
          <w:szCs w:val="44"/>
          <w:lang w:val="en-US" w:eastAsia="zh-CN"/>
        </w:rPr>
        <w:t>投资概算</w:t>
      </w:r>
      <w:r>
        <w:rPr>
          <w:rFonts w:hint="eastAsia" w:eastAsia="方正小标宋_GBK"/>
          <w:bCs/>
          <w:kern w:val="2"/>
          <w:sz w:val="44"/>
          <w:szCs w:val="44"/>
        </w:rPr>
        <w:t>的批</w:t>
      </w:r>
      <w:r>
        <w:rPr>
          <w:rFonts w:hint="eastAsia" w:eastAsia="方正小标宋_GBK"/>
          <w:bCs/>
          <w:kern w:val="2"/>
          <w:sz w:val="44"/>
          <w:szCs w:val="44"/>
          <w:lang w:val="en-US" w:eastAsia="zh-CN"/>
        </w:rPr>
        <w:t xml:space="preserve">  </w:t>
      </w:r>
      <w:r>
        <w:rPr>
          <w:rFonts w:hint="eastAsia" w:eastAsia="方正小标宋_GBK"/>
          <w:bCs/>
          <w:kern w:val="2"/>
          <w:sz w:val="44"/>
          <w:szCs w:val="44"/>
        </w:rPr>
        <w:t>复</w:t>
      </w:r>
    </w:p>
    <w:p w14:paraId="089575ED">
      <w:pPr>
        <w:overflowPunct w:val="0"/>
        <w:adjustRightInd/>
        <w:spacing w:line="240" w:lineRule="auto"/>
        <w:textAlignment w:val="auto"/>
        <w:rPr>
          <w:rFonts w:hint="eastAsia"/>
          <w:kern w:val="2"/>
          <w:lang w:val="en-US" w:eastAsia="zh-CN"/>
        </w:rPr>
      </w:pPr>
    </w:p>
    <w:p w14:paraId="20309592">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default" w:ascii="Times New Roman" w:hAnsi="Times New Roman" w:cs="Times New Roman"/>
          <w:kern w:val="2"/>
        </w:rPr>
      </w:pPr>
      <w:r>
        <w:rPr>
          <w:rFonts w:hint="default" w:ascii="Times New Roman" w:hAnsi="Times New Roman" w:cs="Times New Roman"/>
          <w:kern w:val="2"/>
          <w:lang w:val="en-US" w:eastAsia="zh-CN"/>
        </w:rPr>
        <w:t>区教委</w:t>
      </w:r>
      <w:r>
        <w:rPr>
          <w:rFonts w:hint="default" w:ascii="Times New Roman" w:hAnsi="Times New Roman" w:cs="Times New Roman"/>
          <w:kern w:val="2"/>
        </w:rPr>
        <w:t>：</w:t>
      </w:r>
    </w:p>
    <w:p w14:paraId="3900AC87">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jc w:val="both"/>
        <w:textAlignment w:val="auto"/>
        <w:rPr>
          <w:rFonts w:hint="default" w:ascii="Times New Roman" w:hAnsi="Times New Roman" w:eastAsia="宋体" w:cs="Times New Roman"/>
          <w:kern w:val="2"/>
        </w:rPr>
      </w:pPr>
      <w:r>
        <w:rPr>
          <w:rFonts w:hint="default" w:ascii="Times New Roman" w:hAnsi="Times New Roman" w:cs="Times New Roman"/>
          <w:kern w:val="2"/>
        </w:rPr>
        <w:t>你单位《关于审查黔江正阳高级中学校建设工程</w:t>
      </w:r>
      <w:r>
        <w:rPr>
          <w:rFonts w:hint="default" w:ascii="Times New Roman" w:hAnsi="Times New Roman" w:cs="Times New Roman"/>
          <w:kern w:val="2"/>
          <w:lang w:val="en-US" w:eastAsia="zh-CN"/>
        </w:rPr>
        <w:t>投资概算</w:t>
      </w:r>
      <w:r>
        <w:rPr>
          <w:rFonts w:hint="default" w:ascii="Times New Roman" w:hAnsi="Times New Roman" w:cs="Times New Roman"/>
          <w:kern w:val="2"/>
        </w:rPr>
        <w:t>的函》（黔江教函〔2026〕</w:t>
      </w:r>
      <w:r>
        <w:rPr>
          <w:rFonts w:hint="eastAsia" w:cs="Times New Roman"/>
          <w:kern w:val="2"/>
          <w:lang w:val="en-US" w:eastAsia="zh-CN"/>
        </w:rPr>
        <w:t>8</w:t>
      </w:r>
      <w:r>
        <w:rPr>
          <w:rFonts w:hint="default" w:ascii="Times New Roman" w:hAnsi="Times New Roman" w:cs="Times New Roman"/>
          <w:kern w:val="2"/>
        </w:rPr>
        <w:t>号）收悉。</w:t>
      </w:r>
      <w:r>
        <w:rPr>
          <w:rFonts w:hint="default" w:ascii="Times New Roman" w:hAnsi="Times New Roman" w:cs="Times New Roman"/>
          <w:i w:val="0"/>
          <w:iCs w:val="0"/>
          <w:kern w:val="2"/>
        </w:rPr>
        <w:t>结合</w:t>
      </w:r>
      <w:r>
        <w:rPr>
          <w:rFonts w:hint="eastAsia" w:cs="Times New Roman"/>
          <w:i w:val="0"/>
          <w:iCs w:val="0"/>
          <w:kern w:val="2"/>
          <w:lang w:val="en-US" w:eastAsia="zh-CN"/>
        </w:rPr>
        <w:t>区住房城乡建委关于黔江正阳高级中学校建设工程初步设计批复（黔江建初设〔2026〕3号）及区政府投资项目前期工作服务中心对黔江正阳高级中学校建设工程投资概算的评审意见</w:t>
      </w:r>
      <w:r>
        <w:rPr>
          <w:rFonts w:hint="default" w:ascii="Times New Roman" w:hAnsi="Times New Roman" w:cs="Times New Roman"/>
          <w:i w:val="0"/>
          <w:iCs w:val="0"/>
          <w:kern w:val="2"/>
        </w:rPr>
        <w:t>，</w:t>
      </w:r>
      <w:r>
        <w:rPr>
          <w:rFonts w:hint="default" w:ascii="Times New Roman" w:hAnsi="Times New Roman" w:cs="Times New Roman"/>
          <w:kern w:val="2"/>
        </w:rPr>
        <w:t>经研究，同意实施黔江正阳高级中学校建设工程（项目代码：2510-500114-04-01-529082），现将投资概算批复如下：</w:t>
      </w:r>
    </w:p>
    <w:p w14:paraId="7BBD5B15">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jc w:val="both"/>
        <w:textAlignment w:val="auto"/>
        <w:rPr>
          <w:rFonts w:hint="eastAsia" w:ascii="方正黑体_GBK" w:hAnsi="方正黑体_GBK" w:eastAsia="方正黑体_GBK" w:cs="方正黑体_GBK"/>
          <w:kern w:val="32"/>
        </w:rPr>
      </w:pPr>
      <w:r>
        <w:rPr>
          <w:rFonts w:hint="eastAsia" w:ascii="方正黑体_GBK" w:hAnsi="方正黑体_GBK" w:eastAsia="方正黑体_GBK" w:cs="方正黑体_GBK"/>
          <w:kern w:val="2"/>
        </w:rPr>
        <w:t>一、原则同意工程概算编制原则和标准。</w:t>
      </w:r>
    </w:p>
    <w:p w14:paraId="7E06D7C3">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jc w:val="both"/>
        <w:textAlignment w:val="auto"/>
        <w:rPr>
          <w:rFonts w:hint="default" w:ascii="Times New Roman" w:hAnsi="Times New Roman" w:cs="Times New Roman"/>
          <w:kern w:val="2"/>
        </w:rPr>
      </w:pPr>
      <w:r>
        <w:rPr>
          <w:rFonts w:hint="eastAsia" w:ascii="方正黑体_GBK" w:hAnsi="方正黑体_GBK" w:eastAsia="方正黑体_GBK" w:cs="方正黑体_GBK"/>
          <w:kern w:val="2"/>
        </w:rPr>
        <w:t>二、项目法人：</w:t>
      </w:r>
      <w:r>
        <w:rPr>
          <w:rFonts w:hint="default" w:ascii="Times New Roman" w:hAnsi="Times New Roman" w:cs="Times New Roman"/>
          <w:i w:val="0"/>
          <w:iCs w:val="0"/>
          <w:kern w:val="32"/>
        </w:rPr>
        <w:t>重庆市黔江中学校</w:t>
      </w:r>
      <w:r>
        <w:rPr>
          <w:rFonts w:hint="default" w:ascii="Times New Roman" w:hAnsi="Times New Roman" w:cs="Times New Roman"/>
          <w:kern w:val="2"/>
        </w:rPr>
        <w:t>。</w:t>
      </w:r>
    </w:p>
    <w:p w14:paraId="0E7FB6D4">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jc w:val="both"/>
        <w:textAlignment w:val="auto"/>
        <w:rPr>
          <w:rFonts w:hint="default" w:ascii="Times New Roman" w:hAnsi="Times New Roman" w:cs="Times New Roman"/>
          <w:kern w:val="32"/>
        </w:rPr>
      </w:pPr>
      <w:r>
        <w:rPr>
          <w:rFonts w:hint="eastAsia" w:ascii="方正黑体_GBK" w:hAnsi="方正黑体_GBK" w:eastAsia="方正黑体_GBK" w:cs="方正黑体_GBK"/>
          <w:kern w:val="2"/>
        </w:rPr>
        <w:t>三、项目建设地点：</w:t>
      </w:r>
      <w:r>
        <w:rPr>
          <w:rFonts w:hint="default" w:ascii="Times New Roman" w:hAnsi="Times New Roman" w:cs="Times New Roman"/>
          <w:i w:val="0"/>
          <w:iCs w:val="0"/>
          <w:kern w:val="32"/>
        </w:rPr>
        <w:t>正阳街道中科中央公园城北侧</w:t>
      </w:r>
      <w:r>
        <w:rPr>
          <w:rFonts w:hint="default" w:ascii="Times New Roman" w:hAnsi="Times New Roman" w:cs="Times New Roman"/>
          <w:kern w:val="32"/>
        </w:rPr>
        <w:t>。</w:t>
      </w:r>
    </w:p>
    <w:p w14:paraId="4E223195">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jc w:val="both"/>
        <w:textAlignment w:val="auto"/>
        <w:rPr>
          <w:rFonts w:hint="default" w:ascii="Times New Roman" w:hAnsi="Times New Roman" w:cs="Times New Roman"/>
          <w:kern w:val="2"/>
        </w:rPr>
      </w:pPr>
      <w:r>
        <w:rPr>
          <w:rFonts w:hint="eastAsia" w:ascii="方正黑体_GBK" w:hAnsi="方正黑体_GBK" w:eastAsia="方正黑体_GBK" w:cs="方正黑体_GBK"/>
          <w:kern w:val="2"/>
        </w:rPr>
        <w:t>四、项目主要建设内容及规模：</w:t>
      </w:r>
      <w:r>
        <w:rPr>
          <w:rFonts w:hint="default" w:ascii="Times New Roman" w:hAnsi="Times New Roman" w:cs="Times New Roman"/>
          <w:i w:val="0"/>
          <w:iCs w:val="0"/>
          <w:kern w:val="2"/>
        </w:rPr>
        <w:t>项目总用地面积93949.92平方米，新建学校教学楼、综合楼、科技楼、宿舍、食堂、教师周转房、车库及设备用房、大门等，总建筑面积91676.56平方米，其中</w:t>
      </w:r>
      <w:r>
        <w:rPr>
          <w:rFonts w:hint="default" w:ascii="Times New Roman" w:hAnsi="Times New Roman" w:cs="Times New Roman"/>
          <w:i w:val="0"/>
          <w:iCs w:val="0"/>
          <w:kern w:val="2"/>
          <w:lang w:eastAsia="zh-CN"/>
        </w:rPr>
        <w:t>：</w:t>
      </w:r>
      <w:r>
        <w:rPr>
          <w:rFonts w:hint="default" w:ascii="Times New Roman" w:hAnsi="Times New Roman" w:cs="Times New Roman"/>
          <w:i w:val="0"/>
          <w:iCs w:val="0"/>
          <w:kern w:val="2"/>
        </w:rPr>
        <w:t>地上建筑面积78513.26平方米，地下车库建筑面积13163.30平方米。项目建成后学校将达到60个教学班，每班50人，在校学生3000人的办学规模。主要包括土建工程、装修工程、安装工程、附属工程、设备及办公家具购置等建设内容</w:t>
      </w:r>
      <w:r>
        <w:rPr>
          <w:rFonts w:hint="default" w:ascii="Times New Roman" w:hAnsi="Times New Roman" w:cs="Times New Roman"/>
          <w:kern w:val="2"/>
        </w:rPr>
        <w:t>。</w:t>
      </w:r>
    </w:p>
    <w:p w14:paraId="17DA3D33">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jc w:val="both"/>
        <w:textAlignment w:val="auto"/>
        <w:rPr>
          <w:rFonts w:hint="default" w:ascii="Times New Roman" w:hAnsi="Times New Roman" w:eastAsia="Times New Roman" w:cs="Times New Roman"/>
        </w:rPr>
      </w:pPr>
      <w:r>
        <w:rPr>
          <w:rFonts w:hint="eastAsia" w:ascii="方正黑体_GBK" w:hAnsi="方正黑体_GBK" w:eastAsia="方正黑体_GBK" w:cs="方正黑体_GBK"/>
          <w:kern w:val="2"/>
        </w:rPr>
        <w:t>五、总投资及资金来源：</w:t>
      </w:r>
      <w:r>
        <w:rPr>
          <w:rFonts w:hint="default" w:ascii="Times New Roman" w:hAnsi="Times New Roman" w:cs="Times New Roman"/>
          <w:color w:val="000000"/>
        </w:rPr>
        <w:t>审核概算总投资</w:t>
      </w:r>
      <w:bookmarkStart w:id="0" w:name="totalMoney"/>
      <w:r>
        <w:rPr>
          <w:rFonts w:hint="default" w:ascii="Times New Roman" w:hAnsi="Times New Roman" w:cs="Times New Roman"/>
          <w:color w:val="000000"/>
        </w:rPr>
        <w:t>44772.12</w:t>
      </w:r>
      <w:bookmarkEnd w:id="0"/>
      <w:r>
        <w:rPr>
          <w:rFonts w:hint="default" w:ascii="Times New Roman" w:hAnsi="Times New Roman" w:cs="Times New Roman"/>
          <w:color w:val="000000"/>
        </w:rPr>
        <w:t>万元</w:t>
      </w:r>
      <w:r>
        <w:rPr>
          <w:rFonts w:hint="default" w:ascii="Times New Roman" w:hAnsi="Times New Roman" w:cs="Times New Roman"/>
        </w:rPr>
        <w:t>，</w:t>
      </w:r>
      <w:r>
        <w:rPr>
          <w:rFonts w:hint="default" w:ascii="Times New Roman" w:hAnsi="Times New Roman" w:cs="Times New Roman"/>
          <w:color w:val="000000"/>
        </w:rPr>
        <w:t>其中</w:t>
      </w:r>
      <w:r>
        <w:rPr>
          <w:rFonts w:hint="eastAsia" w:cs="Times New Roman"/>
          <w:color w:val="000000"/>
          <w:lang w:val="en-US" w:eastAsia="zh-CN"/>
        </w:rPr>
        <w:t>工程费用39673.55</w:t>
      </w:r>
      <w:r>
        <w:rPr>
          <w:rFonts w:hint="default" w:ascii="Times New Roman" w:hAnsi="Times New Roman" w:cs="Times New Roman"/>
          <w:color w:val="000000"/>
        </w:rPr>
        <w:t>万元，工程建设其他费</w:t>
      </w:r>
      <w:r>
        <w:rPr>
          <w:rFonts w:hint="eastAsia" w:cs="Times New Roman"/>
          <w:color w:val="000000"/>
          <w:lang w:val="en-US" w:eastAsia="zh-CN"/>
        </w:rPr>
        <w:t>2966.56</w:t>
      </w:r>
      <w:r>
        <w:rPr>
          <w:rFonts w:hint="default" w:ascii="Times New Roman" w:hAnsi="Times New Roman" w:cs="Times New Roman"/>
          <w:color w:val="000000"/>
        </w:rPr>
        <w:t>万元，基本预备费</w:t>
      </w:r>
      <w:r>
        <w:rPr>
          <w:rFonts w:hint="eastAsia" w:cs="Times New Roman"/>
          <w:color w:val="000000"/>
          <w:lang w:val="en-US" w:eastAsia="zh-CN"/>
        </w:rPr>
        <w:t>2132.01</w:t>
      </w:r>
      <w:r>
        <w:rPr>
          <w:rFonts w:hint="default" w:ascii="Times New Roman" w:hAnsi="Times New Roman" w:cs="Times New Roman"/>
          <w:color w:val="000000"/>
        </w:rPr>
        <w:t>万元。</w:t>
      </w:r>
      <w:r>
        <w:rPr>
          <w:rFonts w:hint="default" w:ascii="Times New Roman" w:hAnsi="Times New Roman" w:cs="Times New Roman"/>
          <w:kern w:val="2"/>
        </w:rPr>
        <w:t>资金来源为申请国市上级资金及本级财政配套资金。</w:t>
      </w:r>
    </w:p>
    <w:p w14:paraId="3A8C9DB5">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jc w:val="both"/>
        <w:textAlignment w:val="auto"/>
        <w:rPr>
          <w:rFonts w:hint="default" w:ascii="Times New Roman" w:hAnsi="Times New Roman" w:eastAsia="Times New Roman" w:cs="Times New Roman"/>
        </w:rPr>
      </w:pPr>
      <w:r>
        <w:rPr>
          <w:rFonts w:hint="eastAsia" w:ascii="方正黑体_GBK" w:hAnsi="方正黑体_GBK" w:eastAsia="方正黑体_GBK" w:cs="方正黑体_GBK"/>
          <w:kern w:val="2"/>
        </w:rPr>
        <w:t>六、建设工期：</w:t>
      </w:r>
      <w:r>
        <w:rPr>
          <w:rFonts w:hint="default" w:ascii="Times New Roman" w:hAnsi="Times New Roman" w:cs="Times New Roman"/>
          <w:i w:val="0"/>
          <w:iCs w:val="0"/>
          <w:kern w:val="2"/>
          <w:lang w:val="en-US" w:eastAsia="zh-CN"/>
        </w:rPr>
        <w:t>2</w:t>
      </w:r>
      <w:r>
        <w:rPr>
          <w:rFonts w:hint="default" w:ascii="Times New Roman" w:hAnsi="Times New Roman" w:cs="Times New Roman"/>
          <w:kern w:val="2"/>
        </w:rPr>
        <w:t>年。</w:t>
      </w:r>
    </w:p>
    <w:p w14:paraId="2FCAC25C">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jc w:val="both"/>
        <w:textAlignment w:val="auto"/>
        <w:rPr>
          <w:rFonts w:hint="default" w:ascii="Times New Roman" w:hAnsi="Times New Roman" w:cs="Times New Roman"/>
          <w:spacing w:val="-6"/>
          <w:kern w:val="2"/>
        </w:rPr>
      </w:pPr>
      <w:r>
        <w:rPr>
          <w:rFonts w:hint="eastAsia" w:ascii="方正黑体_GBK" w:hAnsi="方正黑体_GBK" w:eastAsia="方正黑体_GBK" w:cs="方正黑体_GBK"/>
          <w:kern w:val="2"/>
        </w:rPr>
        <w:t>七、</w:t>
      </w:r>
      <w:r>
        <w:rPr>
          <w:rFonts w:hint="eastAsia" w:ascii="方正黑体_GBK" w:hAnsi="方正黑体_GBK" w:eastAsia="方正黑体_GBK" w:cs="方正黑体_GBK"/>
          <w:kern w:val="2"/>
          <w:lang w:val="en-US" w:eastAsia="zh-CN"/>
        </w:rPr>
        <w:t>有关事项：</w:t>
      </w:r>
      <w:r>
        <w:rPr>
          <w:rFonts w:hint="default" w:ascii="Times New Roman" w:hAnsi="Times New Roman" w:cs="Times New Roman"/>
          <w:kern w:val="2"/>
        </w:rPr>
        <w:t>请据此进一步深化工程设计等前期工作，施工图严格根据经批准的初步设计确定的建设内容、规模和标准等实行限额设计，项目预算按照同口径控制在投资概算以内，并履行完善相关建设手续。要按照资金来源落实建设资金后开展下步工作，严禁新增政府隐性债务。要严格执行工程招投标制，合同管理制，工程监理制，切实加强工程管理，确保工程质量、进度和投资有效控制</w:t>
      </w:r>
      <w:r>
        <w:rPr>
          <w:rFonts w:hint="default" w:ascii="Times New Roman" w:hAnsi="Times New Roman" w:cs="Times New Roman"/>
          <w:spacing w:val="-6"/>
          <w:kern w:val="2"/>
        </w:rPr>
        <w:t>。</w:t>
      </w:r>
    </w:p>
    <w:p w14:paraId="0D12F20C">
      <w:pPr>
        <w:keepNext w:val="0"/>
        <w:keepLines w:val="0"/>
        <w:pageBreakBefore w:val="0"/>
        <w:widowControl w:val="0"/>
        <w:kinsoku/>
        <w:wordWrap/>
        <w:overflowPunct w:val="0"/>
        <w:topLinePunct w:val="0"/>
        <w:autoSpaceDE/>
        <w:autoSpaceDN/>
        <w:bidi w:val="0"/>
        <w:adjustRightInd/>
        <w:snapToGrid/>
        <w:spacing w:line="560" w:lineRule="exact"/>
        <w:ind w:firstLine="608" w:firstLineChars="200"/>
        <w:jc w:val="both"/>
        <w:textAlignment w:val="auto"/>
        <w:rPr>
          <w:rFonts w:hint="default" w:ascii="Times New Roman" w:hAnsi="Times New Roman" w:cs="Times New Roman"/>
          <w:spacing w:val="-6"/>
          <w:kern w:val="2"/>
        </w:rPr>
      </w:pPr>
    </w:p>
    <w:p w14:paraId="13DDD700">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jc w:val="both"/>
        <w:textAlignment w:val="auto"/>
        <w:rPr>
          <w:rFonts w:hint="default" w:ascii="Times New Roman" w:hAnsi="Times New Roman" w:cs="Times New Roman"/>
          <w:kern w:val="2"/>
        </w:rPr>
      </w:pPr>
      <w:r>
        <w:rPr>
          <w:rFonts w:hint="default" w:ascii="Times New Roman" w:hAnsi="Times New Roman" w:cs="Times New Roman"/>
          <w:kern w:val="2"/>
        </w:rPr>
        <w:t>附件：黔江正阳高级中学校建设工程投资概算表</w:t>
      </w:r>
    </w:p>
    <w:p w14:paraId="5B302058">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jc w:val="both"/>
        <w:textAlignment w:val="auto"/>
        <w:rPr>
          <w:rFonts w:hint="default" w:ascii="Times New Roman" w:hAnsi="Times New Roman" w:cs="Times New Roman"/>
          <w:kern w:val="2"/>
        </w:rPr>
      </w:pPr>
    </w:p>
    <w:p w14:paraId="253F46AD">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jc w:val="both"/>
        <w:textAlignment w:val="auto"/>
        <w:rPr>
          <w:kern w:val="2"/>
        </w:rPr>
      </w:pPr>
    </w:p>
    <w:p w14:paraId="080B14D8">
      <w:pPr>
        <w:keepNext w:val="0"/>
        <w:keepLines w:val="0"/>
        <w:pageBreakBefore w:val="0"/>
        <w:widowControl w:val="0"/>
        <w:kinsoku/>
        <w:wordWrap/>
        <w:topLinePunct w:val="0"/>
        <w:autoSpaceDE/>
        <w:autoSpaceDN/>
        <w:bidi w:val="0"/>
        <w:snapToGrid/>
        <w:spacing w:line="560" w:lineRule="exact"/>
        <w:ind w:firstLine="632" w:firstLineChars="200"/>
        <w:jc w:val="both"/>
        <w:rPr>
          <w:rFonts w:hint="default" w:ascii="Times New Roman" w:hAnsi="Times New Roman" w:eastAsia="方正仿宋_GBK" w:cs="Times New Roman"/>
          <w:sz w:val="32"/>
          <w:szCs w:val="32"/>
        </w:rPr>
      </w:pPr>
      <w:r>
        <w:rPr>
          <w:rFonts w:hint="eastAsia"/>
          <w:kern w:val="2"/>
        </w:rPr>
        <w:t xml:space="preserve">                  </w:t>
      </w:r>
      <w:r>
        <w:rPr>
          <w:rFonts w:hint="default" w:ascii="Times New Roman" w:hAnsi="Times New Roman" w:eastAsia="方正仿宋_GBK" w:cs="Times New Roman"/>
          <w:sz w:val="32"/>
          <w:szCs w:val="32"/>
        </w:rPr>
        <w:t xml:space="preserve">              </w:t>
      </w:r>
    </w:p>
    <w:p w14:paraId="01F04734">
      <w:pPr>
        <w:keepNext w:val="0"/>
        <w:keepLines w:val="0"/>
        <w:pageBreakBefore w:val="0"/>
        <w:widowControl w:val="0"/>
        <w:kinsoku/>
        <w:wordWrap/>
        <w:topLinePunct w:val="0"/>
        <w:autoSpaceDE/>
        <w:autoSpaceDN/>
        <w:bidi w:val="0"/>
        <w:snapToGrid/>
        <w:spacing w:line="560" w:lineRule="exact"/>
        <w:ind w:left="1700" w:leftChars="0" w:firstLine="2149" w:firstLineChars="680"/>
        <w:jc w:val="both"/>
        <w:rPr>
          <w:rFonts w:hint="default" w:ascii="Times New Roman" w:hAnsi="Times New Roman" w:cs="Times New Roman"/>
        </w:rPr>
      </w:pPr>
      <w:r>
        <w:rPr>
          <w:rFonts w:hint="default" w:ascii="Times New Roman" w:hAnsi="Times New Roman" w:cs="Times New Roman"/>
        </w:rPr>
        <w:t>重庆市黔江区发展和改革委员会</w:t>
      </w:r>
    </w:p>
    <w:p w14:paraId="600306EE">
      <w:pPr>
        <w:pStyle w:val="3"/>
        <w:keepNext w:val="0"/>
        <w:keepLines w:val="0"/>
        <w:pageBreakBefore w:val="0"/>
        <w:widowControl w:val="0"/>
        <w:kinsoku/>
        <w:wordWrap/>
        <w:topLinePunct w:val="0"/>
        <w:autoSpaceDE/>
        <w:autoSpaceDN/>
        <w:bidi w:val="0"/>
        <w:snapToGrid/>
        <w:spacing w:line="560" w:lineRule="exact"/>
        <w:ind w:firstLine="632" w:firstLineChars="200"/>
        <w:jc w:val="both"/>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 xml:space="preserve"> 202</w:t>
      </w:r>
      <w:r>
        <w:rPr>
          <w:rFonts w:hint="eastAsia" w:ascii="Times New Roman" w:hAnsi="Times New Roman" w:eastAsia="方正仿宋_GBK" w:cs="Times New Roman"/>
          <w:lang w:val="en-US" w:eastAsia="zh-CN"/>
        </w:rPr>
        <w:t>6</w:t>
      </w:r>
      <w:r>
        <w:rPr>
          <w:rFonts w:hint="default" w:ascii="Times New Roman" w:hAnsi="Times New Roman" w:eastAsia="方正仿宋_GBK" w:cs="Times New Roman"/>
        </w:rPr>
        <w:t>年</w:t>
      </w:r>
      <w:r>
        <w:rPr>
          <w:rFonts w:hint="eastAsia" w:eastAsia="方正仿宋_GBK" w:cs="Times New Roman"/>
          <w:lang w:val="en-US" w:eastAsia="zh-CN"/>
        </w:rPr>
        <w:t>2</w:t>
      </w:r>
      <w:r>
        <w:rPr>
          <w:rFonts w:hint="default" w:ascii="Times New Roman" w:hAnsi="Times New Roman" w:eastAsia="方正仿宋_GBK" w:cs="Times New Roman"/>
        </w:rPr>
        <w:t>月</w:t>
      </w:r>
      <w:r>
        <w:rPr>
          <w:rFonts w:hint="eastAsia" w:eastAsia="方正仿宋_GBK" w:cs="Times New Roman"/>
          <w:lang w:val="en-US" w:eastAsia="zh-CN"/>
        </w:rPr>
        <w:t>10</w:t>
      </w:r>
      <w:r>
        <w:rPr>
          <w:rFonts w:hint="default" w:ascii="Times New Roman" w:hAnsi="Times New Roman" w:eastAsia="方正仿宋_GBK" w:cs="Times New Roman"/>
        </w:rPr>
        <w:t>日</w:t>
      </w:r>
    </w:p>
    <w:p w14:paraId="75D3F2E3">
      <w:pPr>
        <w:wordWrap w:val="0"/>
        <w:overflowPunct w:val="0"/>
        <w:adjustRightInd/>
        <w:spacing w:line="240" w:lineRule="auto"/>
        <w:ind w:firstLine="632" w:firstLineChars="200"/>
        <w:jc w:val="center"/>
        <w:textAlignment w:val="auto"/>
        <w:rPr>
          <w:kern w:val="2"/>
        </w:rPr>
      </w:pPr>
    </w:p>
    <w:p w14:paraId="77B53A42">
      <w:pPr>
        <w:pStyle w:val="2"/>
        <w:keepNext w:val="0"/>
        <w:keepLines w:val="0"/>
        <w:pageBreakBefore w:val="0"/>
        <w:widowControl w:val="0"/>
        <w:kinsoku/>
        <w:wordWrap/>
        <w:overflowPunct/>
        <w:topLinePunct w:val="0"/>
        <w:autoSpaceDE/>
        <w:autoSpaceDN/>
        <w:bidi w:val="0"/>
        <w:adjustRightInd w:val="0"/>
        <w:snapToGrid/>
        <w:spacing w:line="560" w:lineRule="exact"/>
        <w:textAlignment w:val="baseline"/>
        <w:rPr>
          <w:i w:val="0"/>
          <w:iCs w:val="0"/>
          <w:sz w:val="28"/>
          <w:szCs w:val="28"/>
        </w:rPr>
      </w:pPr>
    </w:p>
    <w:p w14:paraId="51BFC2F3">
      <w:pPr>
        <w:spacing w:line="240" w:lineRule="auto"/>
        <w:rPr>
          <w:sz w:val="28"/>
          <w:szCs w:val="28"/>
        </w:rPr>
      </w:pPr>
    </w:p>
    <w:p w14:paraId="4275E3E5">
      <w:pPr>
        <w:pStyle w:val="2"/>
        <w:rPr>
          <w:sz w:val="28"/>
          <w:szCs w:val="28"/>
        </w:rPr>
      </w:pPr>
    </w:p>
    <w:p w14:paraId="26329E38">
      <w:pPr>
        <w:pStyle w:val="2"/>
        <w:rPr>
          <w:sz w:val="28"/>
          <w:szCs w:val="28"/>
        </w:rPr>
      </w:pPr>
    </w:p>
    <w:p w14:paraId="2E70710E">
      <w:pPr>
        <w:pStyle w:val="2"/>
        <w:rPr>
          <w:sz w:val="28"/>
          <w:szCs w:val="28"/>
        </w:rPr>
      </w:pPr>
    </w:p>
    <w:p w14:paraId="13FE779C">
      <w:pPr>
        <w:pStyle w:val="2"/>
        <w:rPr>
          <w:sz w:val="28"/>
          <w:szCs w:val="28"/>
        </w:rPr>
      </w:pPr>
    </w:p>
    <w:p w14:paraId="2DD97A4D">
      <w:pPr>
        <w:pStyle w:val="2"/>
        <w:rPr>
          <w:sz w:val="28"/>
          <w:szCs w:val="28"/>
        </w:rPr>
      </w:pPr>
    </w:p>
    <w:p w14:paraId="0B8D842E">
      <w:pPr>
        <w:pStyle w:val="2"/>
        <w:rPr>
          <w:sz w:val="28"/>
          <w:szCs w:val="28"/>
        </w:rPr>
      </w:pPr>
    </w:p>
    <w:p w14:paraId="3E6B19E6">
      <w:pPr>
        <w:pStyle w:val="2"/>
        <w:rPr>
          <w:sz w:val="28"/>
          <w:szCs w:val="28"/>
        </w:rPr>
      </w:pPr>
    </w:p>
    <w:p w14:paraId="27AB01DD">
      <w:pPr>
        <w:pStyle w:val="2"/>
        <w:rPr>
          <w:sz w:val="28"/>
          <w:szCs w:val="28"/>
        </w:rPr>
      </w:pPr>
    </w:p>
    <w:p w14:paraId="51CC02E4">
      <w:pPr>
        <w:pStyle w:val="2"/>
        <w:rPr>
          <w:sz w:val="28"/>
          <w:szCs w:val="28"/>
        </w:rPr>
      </w:pPr>
    </w:p>
    <w:p w14:paraId="1C9A2B47">
      <w:pPr>
        <w:pStyle w:val="2"/>
        <w:rPr>
          <w:sz w:val="28"/>
          <w:szCs w:val="28"/>
        </w:rPr>
      </w:pPr>
    </w:p>
    <w:p w14:paraId="57099D06">
      <w:pPr>
        <w:pStyle w:val="2"/>
        <w:rPr>
          <w:sz w:val="28"/>
          <w:szCs w:val="28"/>
        </w:rPr>
      </w:pPr>
    </w:p>
    <w:p w14:paraId="2ABA070D">
      <w:pPr>
        <w:pStyle w:val="2"/>
        <w:rPr>
          <w:rFonts w:hint="eastAsia" w:ascii="方正黑体_GBK" w:hAnsi="方正黑体_GBK" w:eastAsia="方正黑体_GBK" w:cs="方正黑体_GBK"/>
          <w:sz w:val="32"/>
          <w:szCs w:val="32"/>
          <w:lang w:val="en-US" w:eastAsia="zh-CN"/>
        </w:rPr>
      </w:pPr>
    </w:p>
    <w:p w14:paraId="398AA15B">
      <w:pPr>
        <w:pStyle w:val="2"/>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14:paraId="6870700C">
      <w:pPr>
        <w:pStyle w:val="2"/>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kern w:val="2"/>
          <w:sz w:val="44"/>
          <w:szCs w:val="44"/>
        </w:rPr>
        <w:t>黔江正阳高级中学校建设工程投资概算表</w:t>
      </w:r>
    </w:p>
    <w:p w14:paraId="3EEBA7A6">
      <w:pPr>
        <w:pStyle w:val="2"/>
        <w:jc w:val="right"/>
        <w:rPr>
          <w:sz w:val="28"/>
          <w:szCs w:val="28"/>
        </w:rPr>
      </w:pPr>
      <w:r>
        <w:rPr>
          <w:rFonts w:hint="eastAsia"/>
          <w:sz w:val="28"/>
          <w:szCs w:val="28"/>
        </w:rPr>
        <w:t>单位：万元</w:t>
      </w:r>
    </w:p>
    <w:tbl>
      <w:tblPr>
        <w:tblStyle w:val="8"/>
        <w:tblW w:w="90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5"/>
        <w:gridCol w:w="4141"/>
        <w:gridCol w:w="926"/>
        <w:gridCol w:w="1476"/>
        <w:gridCol w:w="1618"/>
      </w:tblGrid>
      <w:tr w14:paraId="4853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4" w:hRule="atLeast"/>
          <w:tblHeader/>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6C34">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bCs/>
                <w:i w:val="0"/>
                <w:iCs w:val="0"/>
                <w:color w:val="000000"/>
                <w:sz w:val="28"/>
                <w:szCs w:val="28"/>
                <w:u w:val="none"/>
              </w:rPr>
            </w:pPr>
            <w:r>
              <w:rPr>
                <w:rFonts w:hint="default" w:ascii="Times New Roman" w:hAnsi="Times New Roman" w:eastAsia="方正仿宋_GBK" w:cs="Times New Roman"/>
                <w:b/>
                <w:bCs/>
                <w:i w:val="0"/>
                <w:iCs w:val="0"/>
                <w:color w:val="000000"/>
                <w:kern w:val="0"/>
                <w:sz w:val="28"/>
                <w:szCs w:val="28"/>
                <w:u w:val="none"/>
                <w:lang w:val="en-US" w:eastAsia="zh-CN" w:bidi="ar"/>
              </w:rPr>
              <w:t>序号</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9689">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bCs/>
                <w:i w:val="0"/>
                <w:iCs w:val="0"/>
                <w:color w:val="000000"/>
                <w:sz w:val="28"/>
                <w:szCs w:val="28"/>
                <w:u w:val="none"/>
              </w:rPr>
            </w:pPr>
            <w:r>
              <w:rPr>
                <w:rFonts w:hint="default" w:ascii="Times New Roman" w:hAnsi="Times New Roman" w:eastAsia="方正仿宋_GBK" w:cs="Times New Roman"/>
                <w:b/>
                <w:bCs/>
                <w:i w:val="0"/>
                <w:iCs w:val="0"/>
                <w:color w:val="000000"/>
                <w:kern w:val="0"/>
                <w:sz w:val="28"/>
                <w:szCs w:val="28"/>
                <w:u w:val="none"/>
                <w:lang w:val="en-US" w:eastAsia="zh-CN" w:bidi="ar"/>
              </w:rPr>
              <w:t>名称</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393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bCs/>
                <w:i w:val="0"/>
                <w:iCs w:val="0"/>
                <w:color w:val="000000"/>
                <w:sz w:val="28"/>
                <w:szCs w:val="28"/>
                <w:u w:val="none"/>
              </w:rPr>
            </w:pPr>
            <w:r>
              <w:rPr>
                <w:rFonts w:hint="default" w:ascii="Times New Roman" w:hAnsi="Times New Roman" w:eastAsia="方正仿宋_GBK" w:cs="Times New Roman"/>
                <w:b/>
                <w:bCs/>
                <w:i w:val="0"/>
                <w:iCs w:val="0"/>
                <w:color w:val="000000"/>
                <w:kern w:val="0"/>
                <w:sz w:val="28"/>
                <w:szCs w:val="28"/>
                <w:u w:val="none"/>
                <w:lang w:val="en-US" w:eastAsia="zh-CN" w:bidi="ar"/>
              </w:rPr>
              <w:t>规模</w:t>
            </w: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AA3DD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bCs/>
                <w:i w:val="0"/>
                <w:iCs w:val="0"/>
                <w:color w:val="000000"/>
                <w:kern w:val="0"/>
                <w:sz w:val="28"/>
                <w:szCs w:val="28"/>
                <w:u w:val="none"/>
                <w:lang w:val="en-US" w:eastAsia="zh-CN" w:bidi="ar"/>
              </w:rPr>
            </w:pPr>
            <w:r>
              <w:rPr>
                <w:rFonts w:hint="default" w:ascii="Times New Roman" w:hAnsi="Times New Roman" w:eastAsia="方正仿宋_GBK" w:cs="Times New Roman"/>
                <w:b/>
                <w:bCs/>
                <w:i w:val="0"/>
                <w:iCs w:val="0"/>
                <w:color w:val="000000"/>
                <w:kern w:val="0"/>
                <w:sz w:val="28"/>
                <w:szCs w:val="28"/>
                <w:u w:val="none"/>
                <w:lang w:val="en-US" w:eastAsia="zh-CN" w:bidi="ar"/>
              </w:rPr>
              <w:t>审核单价</w:t>
            </w: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07B249">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bCs/>
                <w:i w:val="0"/>
                <w:iCs w:val="0"/>
                <w:color w:val="000000"/>
                <w:kern w:val="0"/>
                <w:sz w:val="28"/>
                <w:szCs w:val="28"/>
                <w:u w:val="none"/>
                <w:lang w:val="en-US" w:eastAsia="zh-CN" w:bidi="ar"/>
              </w:rPr>
            </w:pPr>
            <w:r>
              <w:rPr>
                <w:rFonts w:hint="default" w:ascii="Times New Roman" w:hAnsi="Times New Roman" w:eastAsia="方正仿宋_GBK" w:cs="Times New Roman"/>
                <w:b/>
                <w:bCs/>
                <w:i w:val="0"/>
                <w:iCs w:val="0"/>
                <w:color w:val="000000"/>
                <w:kern w:val="0"/>
                <w:sz w:val="28"/>
                <w:szCs w:val="28"/>
                <w:u w:val="none"/>
                <w:lang w:val="en-US" w:eastAsia="zh-CN" w:bidi="ar"/>
              </w:rPr>
              <w:t>审核金额</w:t>
            </w:r>
          </w:p>
        </w:tc>
      </w:tr>
      <w:tr w14:paraId="0A4D9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CC6F">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一</w:t>
            </w:r>
          </w:p>
        </w:tc>
        <w:tc>
          <w:tcPr>
            <w:tcW w:w="4141" w:type="dxa"/>
            <w:tcBorders>
              <w:top w:val="single" w:color="000000" w:sz="4" w:space="0"/>
              <w:left w:val="single" w:color="000000" w:sz="4" w:space="0"/>
              <w:bottom w:val="single" w:color="000000" w:sz="4" w:space="0"/>
              <w:right w:val="nil"/>
            </w:tcBorders>
            <w:shd w:val="clear" w:color="auto" w:fill="auto"/>
            <w:vAlign w:val="center"/>
          </w:tcPr>
          <w:p w14:paraId="3828328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工程费用</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76AFAF36">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85D377">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50FB46">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39673.55</w:t>
            </w:r>
          </w:p>
        </w:tc>
      </w:tr>
      <w:tr w14:paraId="246A3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7EB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1</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DC78">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南区车库</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18830E1E">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F55B57">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8774E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3600.09</w:t>
            </w:r>
          </w:p>
        </w:tc>
      </w:tr>
      <w:tr w14:paraId="751D4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D7C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2</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52D1">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1号教学楼</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5AD6A4EB">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D26568">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B4A19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4457.12</w:t>
            </w:r>
          </w:p>
        </w:tc>
      </w:tr>
      <w:tr w14:paraId="1435F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A9D7">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3</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B409">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2号教学楼</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639D2C6A">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B1AB13">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E481D7">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1928.21</w:t>
            </w:r>
          </w:p>
        </w:tc>
      </w:tr>
      <w:tr w14:paraId="559D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AD5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4</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38CC">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3号教学楼</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733D7E27">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D5EC23">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181D9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1979.38</w:t>
            </w:r>
          </w:p>
        </w:tc>
      </w:tr>
      <w:tr w14:paraId="5442C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77C7">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5</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6645">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科技楼</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0A9767F7">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F4D023">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5DAA3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3464.76</w:t>
            </w:r>
          </w:p>
        </w:tc>
      </w:tr>
      <w:tr w14:paraId="12F2D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2F9B">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6</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B45E">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报告厅</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5457A8CD">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8D1EED">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997B84">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1382.87</w:t>
            </w:r>
          </w:p>
        </w:tc>
      </w:tr>
      <w:tr w14:paraId="3B6FC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AF8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7</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C30B">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南区男生宿舍</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491521F0">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8D2104">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DB755B">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2006.67</w:t>
            </w:r>
          </w:p>
        </w:tc>
      </w:tr>
      <w:tr w14:paraId="3A40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E72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8</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234D">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南区女生宿舍</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2393AB1B">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D8551F">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3C83C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1807.88</w:t>
            </w:r>
          </w:p>
        </w:tc>
      </w:tr>
      <w:tr w14:paraId="4818C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DFF6">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9</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8167">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南区学生食堂</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04746B89">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44EC06">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99F379">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1106.73</w:t>
            </w:r>
          </w:p>
        </w:tc>
      </w:tr>
      <w:tr w14:paraId="2B016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22C5">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10</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E8E9">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北区车库</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6B60D78E">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69AA9E">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95ADE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638.79</w:t>
            </w:r>
          </w:p>
        </w:tc>
      </w:tr>
      <w:tr w14:paraId="2F772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1A9F">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11</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470A">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北区综合楼</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4A38795F">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C24946">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5017C9">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2217.68</w:t>
            </w:r>
          </w:p>
        </w:tc>
      </w:tr>
      <w:tr w14:paraId="1D1E7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500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12</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20D6">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北区学生宿舍</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6EEA1E6C">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036DFE">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BFF87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2348.64</w:t>
            </w:r>
          </w:p>
        </w:tc>
      </w:tr>
      <w:tr w14:paraId="6D32C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2BD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13</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EB48">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北区学生食堂</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70C5F9EA">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21BF9E">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D37549">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579.28</w:t>
            </w:r>
          </w:p>
        </w:tc>
      </w:tr>
      <w:tr w14:paraId="2F82D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08D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14</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94FF">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教师周转房</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6B297306">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8D1F06">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5D0C2B">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884.70</w:t>
            </w:r>
          </w:p>
        </w:tc>
      </w:tr>
      <w:tr w14:paraId="6F537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09C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15</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3F46">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1号大门</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1BA71082">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75344A">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EFA49F">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83.53</w:t>
            </w:r>
          </w:p>
        </w:tc>
      </w:tr>
      <w:tr w14:paraId="6B094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75D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16</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33E9">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2号大门</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1DC5C852">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8E8117">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D75D1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82.86</w:t>
            </w:r>
          </w:p>
        </w:tc>
      </w:tr>
      <w:tr w14:paraId="5622F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E04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17</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6883">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3号大门</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26A836A2">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35650E">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875F2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83.42</w:t>
            </w:r>
          </w:p>
        </w:tc>
      </w:tr>
      <w:tr w14:paraId="794C9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ADD4">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18</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097F">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人行天桥</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5DEB88D4">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C3FBE4">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918B9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236.33</w:t>
            </w:r>
          </w:p>
        </w:tc>
      </w:tr>
      <w:tr w14:paraId="7A36E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C0CF">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19</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0249">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连廊</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64B2A04F">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54FA07">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92EB50">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340.91</w:t>
            </w:r>
          </w:p>
        </w:tc>
      </w:tr>
      <w:tr w14:paraId="2E01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1017">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20</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3DC0">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附属工程</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64658D69">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49DAEF">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C8CA3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5136.79</w:t>
            </w:r>
          </w:p>
        </w:tc>
      </w:tr>
      <w:tr w14:paraId="6ABEC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6AB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21</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B205">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场平工程</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77CE9276">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49564E">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52256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1504.76</w:t>
            </w:r>
          </w:p>
        </w:tc>
      </w:tr>
      <w:tr w14:paraId="1A7F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6385">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22</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CAF9">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8"/>
                <w:u w:val="none"/>
              </w:rPr>
            </w:pPr>
            <w:r>
              <w:rPr>
                <w:rFonts w:hint="default" w:ascii="Times New Roman" w:hAnsi="Times New Roman" w:eastAsia="方正仿宋_GBK" w:cs="Times New Roman"/>
                <w:i w:val="0"/>
                <w:iCs w:val="0"/>
                <w:color w:val="000000"/>
                <w:kern w:val="0"/>
                <w:sz w:val="24"/>
                <w:szCs w:val="28"/>
                <w:u w:val="none"/>
                <w:lang w:val="en-US" w:eastAsia="zh-CN" w:bidi="ar"/>
              </w:rPr>
              <w:t>设备及办公家具采购</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146F3D6C">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EDEACE">
            <w:pPr>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F9DB2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3802.15</w:t>
            </w:r>
          </w:p>
        </w:tc>
      </w:tr>
      <w:tr w14:paraId="22421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nil"/>
              <w:left w:val="single" w:color="000000" w:sz="4" w:space="0"/>
              <w:bottom w:val="single" w:color="000000" w:sz="4" w:space="0"/>
              <w:right w:val="single" w:color="000000" w:sz="4" w:space="0"/>
            </w:tcBorders>
            <w:shd w:val="clear" w:color="auto" w:fill="auto"/>
            <w:vAlign w:val="center"/>
          </w:tcPr>
          <w:p w14:paraId="5F72FF8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二</w:t>
            </w:r>
          </w:p>
        </w:tc>
        <w:tc>
          <w:tcPr>
            <w:tcW w:w="4141" w:type="dxa"/>
            <w:tcBorders>
              <w:top w:val="nil"/>
              <w:left w:val="single" w:color="000000" w:sz="4" w:space="0"/>
              <w:bottom w:val="single" w:color="000000" w:sz="4" w:space="0"/>
              <w:right w:val="single" w:color="000000" w:sz="4" w:space="0"/>
            </w:tcBorders>
            <w:shd w:val="clear" w:color="auto" w:fill="auto"/>
            <w:vAlign w:val="center"/>
          </w:tcPr>
          <w:p w14:paraId="426775F6">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工程建设其他费</w:t>
            </w:r>
          </w:p>
        </w:tc>
        <w:tc>
          <w:tcPr>
            <w:tcW w:w="926" w:type="dxa"/>
            <w:tcBorders>
              <w:top w:val="nil"/>
              <w:left w:val="single" w:color="000000" w:sz="4" w:space="0"/>
              <w:bottom w:val="single" w:color="000000" w:sz="4" w:space="0"/>
              <w:right w:val="nil"/>
            </w:tcBorders>
            <w:shd w:val="clear" w:color="FFFFFF" w:fill="FFFFFF"/>
            <w:vAlign w:val="center"/>
          </w:tcPr>
          <w:p w14:paraId="75BC2F92">
            <w:pPr>
              <w:snapToGrid w:val="0"/>
              <w:ind w:left="0" w:leftChars="0" w:right="0" w:rightChars="0" w:firstLine="0" w:firstLineChars="0"/>
              <w:jc w:val="center"/>
              <w:rPr>
                <w:rFonts w:hint="default" w:ascii="Times New Roman" w:hAnsi="Times New Roman" w:eastAsia="方正仿宋_GBK" w:cs="Times New Roman"/>
                <w:b/>
                <w:bCs/>
                <w:i w:val="0"/>
                <w:iCs w:val="0"/>
                <w:color w:val="000000"/>
                <w:sz w:val="24"/>
                <w:szCs w:val="24"/>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1D0254">
            <w:pPr>
              <w:snapToGrid w:val="0"/>
              <w:ind w:left="0" w:leftChars="0" w:right="0" w:rightChars="0" w:firstLine="0" w:firstLineChars="0"/>
              <w:jc w:val="center"/>
              <w:rPr>
                <w:rFonts w:hint="default" w:ascii="Times New Roman" w:hAnsi="Times New Roman" w:eastAsia="方正仿宋_GBK" w:cs="Times New Roman"/>
                <w:b/>
                <w:bCs/>
                <w:i w:val="0"/>
                <w:iCs w:val="0"/>
                <w:color w:val="000000"/>
                <w:sz w:val="24"/>
                <w:szCs w:val="24"/>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80AE8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2966.56</w:t>
            </w:r>
          </w:p>
        </w:tc>
      </w:tr>
      <w:tr w14:paraId="2EA33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F99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2"/>
                <w:u w:val="none"/>
              </w:rPr>
            </w:pPr>
            <w:r>
              <w:rPr>
                <w:rFonts w:hint="default" w:ascii="Times New Roman" w:hAnsi="Times New Roman" w:eastAsia="方正仿宋_GBK" w:cs="Times New Roman"/>
                <w:i w:val="0"/>
                <w:iCs w:val="0"/>
                <w:color w:val="000000"/>
                <w:kern w:val="0"/>
                <w:sz w:val="24"/>
                <w:szCs w:val="22"/>
                <w:u w:val="none"/>
                <w:lang w:val="en-US" w:eastAsia="zh-CN" w:bidi="ar"/>
              </w:rPr>
              <w:t>1</w:t>
            </w:r>
          </w:p>
        </w:tc>
        <w:tc>
          <w:tcPr>
            <w:tcW w:w="4141" w:type="dxa"/>
            <w:tcBorders>
              <w:top w:val="single" w:color="000000" w:sz="4" w:space="0"/>
              <w:left w:val="single" w:color="000000" w:sz="4" w:space="0"/>
              <w:bottom w:val="single" w:color="000000" w:sz="4" w:space="0"/>
              <w:right w:val="nil"/>
            </w:tcBorders>
            <w:shd w:val="clear" w:color="FFFFFF" w:fill="FFFFFF"/>
            <w:vAlign w:val="center"/>
          </w:tcPr>
          <w:p w14:paraId="4BC7EB1C">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场地准备及临时设施费</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5684C2EB">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1项</w:t>
            </w: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F6324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1B912F">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2"/>
                <w:u w:val="none"/>
                <w:lang w:val="en-US" w:eastAsia="zh-CN" w:bidi="ar"/>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198.37</w:t>
            </w:r>
          </w:p>
        </w:tc>
      </w:tr>
      <w:tr w14:paraId="34E30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63E7">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2"/>
                <w:u w:val="none"/>
              </w:rPr>
            </w:pPr>
            <w:r>
              <w:rPr>
                <w:rFonts w:hint="default" w:ascii="Times New Roman" w:hAnsi="Times New Roman" w:eastAsia="方正仿宋_GBK" w:cs="Times New Roman"/>
                <w:i w:val="0"/>
                <w:iCs w:val="0"/>
                <w:color w:val="000000"/>
                <w:kern w:val="0"/>
                <w:sz w:val="24"/>
                <w:szCs w:val="22"/>
                <w:u w:val="none"/>
                <w:lang w:val="en-US" w:eastAsia="zh-CN" w:bidi="ar"/>
              </w:rPr>
              <w:t>2</w:t>
            </w:r>
          </w:p>
        </w:tc>
        <w:tc>
          <w:tcPr>
            <w:tcW w:w="4141" w:type="dxa"/>
            <w:tcBorders>
              <w:top w:val="single" w:color="000000" w:sz="4" w:space="0"/>
              <w:left w:val="single" w:color="000000" w:sz="4" w:space="0"/>
              <w:bottom w:val="single" w:color="000000" w:sz="4" w:space="0"/>
              <w:right w:val="nil"/>
            </w:tcBorders>
            <w:shd w:val="clear" w:color="FFFFFF" w:fill="FFFFFF"/>
            <w:vAlign w:val="center"/>
          </w:tcPr>
          <w:p w14:paraId="5216101E">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项目建设管理费</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7FBF9409">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1项</w:t>
            </w: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6B06D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32BD8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2"/>
                <w:u w:val="none"/>
                <w:lang w:val="en-US" w:eastAsia="zh-CN" w:bidi="ar"/>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487.72</w:t>
            </w:r>
          </w:p>
        </w:tc>
      </w:tr>
      <w:tr w14:paraId="04D00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9935">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2"/>
                <w:u w:val="none"/>
              </w:rPr>
            </w:pPr>
            <w:r>
              <w:rPr>
                <w:rFonts w:hint="default" w:ascii="Times New Roman" w:hAnsi="Times New Roman" w:eastAsia="方正仿宋_GBK" w:cs="Times New Roman"/>
                <w:i w:val="0"/>
                <w:iCs w:val="0"/>
                <w:color w:val="000000"/>
                <w:kern w:val="0"/>
                <w:sz w:val="24"/>
                <w:szCs w:val="22"/>
                <w:u w:val="none"/>
                <w:lang w:val="en-US" w:eastAsia="zh-CN" w:bidi="ar"/>
              </w:rPr>
              <w:t>3</w:t>
            </w:r>
          </w:p>
        </w:tc>
        <w:tc>
          <w:tcPr>
            <w:tcW w:w="4141" w:type="dxa"/>
            <w:tcBorders>
              <w:top w:val="single" w:color="000000" w:sz="4" w:space="0"/>
              <w:left w:val="single" w:color="000000" w:sz="4" w:space="0"/>
              <w:bottom w:val="single" w:color="000000" w:sz="4" w:space="0"/>
              <w:right w:val="nil"/>
            </w:tcBorders>
            <w:shd w:val="clear" w:color="FFFFFF" w:fill="FFFFFF"/>
            <w:vAlign w:val="center"/>
          </w:tcPr>
          <w:p w14:paraId="15F681AE">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工程建设监理费</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2A98FB26">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1项</w:t>
            </w: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2A7E45">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F31327">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2"/>
                <w:u w:val="none"/>
                <w:lang w:val="en-US" w:eastAsia="zh-CN" w:bidi="ar"/>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476.08</w:t>
            </w:r>
          </w:p>
        </w:tc>
      </w:tr>
      <w:tr w14:paraId="5F7F1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7A8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2"/>
                <w:u w:val="none"/>
              </w:rPr>
            </w:pPr>
            <w:r>
              <w:rPr>
                <w:rFonts w:hint="default" w:ascii="Times New Roman" w:hAnsi="Times New Roman" w:eastAsia="方正仿宋_GBK" w:cs="Times New Roman"/>
                <w:i w:val="0"/>
                <w:iCs w:val="0"/>
                <w:color w:val="000000"/>
                <w:kern w:val="0"/>
                <w:sz w:val="24"/>
                <w:szCs w:val="22"/>
                <w:u w:val="none"/>
                <w:lang w:val="en-US" w:eastAsia="zh-CN" w:bidi="ar"/>
              </w:rPr>
              <w:t>4</w:t>
            </w:r>
          </w:p>
        </w:tc>
        <w:tc>
          <w:tcPr>
            <w:tcW w:w="4141" w:type="dxa"/>
            <w:tcBorders>
              <w:top w:val="single" w:color="000000" w:sz="4" w:space="0"/>
              <w:left w:val="single" w:color="000000" w:sz="4" w:space="0"/>
              <w:bottom w:val="single" w:color="000000" w:sz="4" w:space="0"/>
              <w:right w:val="nil"/>
            </w:tcBorders>
            <w:shd w:val="clear" w:color="FFFFFF" w:fill="FFFFFF"/>
            <w:vAlign w:val="center"/>
          </w:tcPr>
          <w:p w14:paraId="1BD4586F">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招标代理服务费</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693B7EBB">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1项</w:t>
            </w: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4BC42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33540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2"/>
                <w:u w:val="none"/>
                <w:lang w:val="en-US" w:eastAsia="zh-CN" w:bidi="ar"/>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31.78</w:t>
            </w:r>
          </w:p>
        </w:tc>
      </w:tr>
      <w:tr w14:paraId="52066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769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2"/>
                <w:u w:val="none"/>
              </w:rPr>
            </w:pPr>
            <w:r>
              <w:rPr>
                <w:rFonts w:hint="default" w:ascii="Times New Roman" w:hAnsi="Times New Roman" w:eastAsia="方正仿宋_GBK" w:cs="Times New Roman"/>
                <w:i w:val="0"/>
                <w:iCs w:val="0"/>
                <w:color w:val="000000"/>
                <w:kern w:val="0"/>
                <w:sz w:val="24"/>
                <w:szCs w:val="22"/>
                <w:u w:val="none"/>
                <w:lang w:val="en-US" w:eastAsia="zh-CN" w:bidi="ar"/>
              </w:rPr>
              <w:t>5</w:t>
            </w:r>
          </w:p>
        </w:tc>
        <w:tc>
          <w:tcPr>
            <w:tcW w:w="4141" w:type="dxa"/>
            <w:tcBorders>
              <w:top w:val="single" w:color="000000" w:sz="4" w:space="0"/>
              <w:left w:val="single" w:color="000000" w:sz="4" w:space="0"/>
              <w:bottom w:val="single" w:color="000000" w:sz="4" w:space="0"/>
              <w:right w:val="nil"/>
            </w:tcBorders>
            <w:shd w:val="clear" w:color="FFFFFF" w:fill="FFFFFF"/>
            <w:vAlign w:val="center"/>
          </w:tcPr>
          <w:p w14:paraId="0C52CFDF">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可行性研究费</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34C836E6">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1项</w:t>
            </w: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EB7B0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DC3CA9">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2"/>
                <w:u w:val="none"/>
                <w:lang w:val="en-US" w:eastAsia="zh-CN" w:bidi="ar"/>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5.00</w:t>
            </w:r>
          </w:p>
        </w:tc>
      </w:tr>
      <w:tr w14:paraId="306C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66AF">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2"/>
                <w:u w:val="none"/>
              </w:rPr>
            </w:pPr>
            <w:r>
              <w:rPr>
                <w:rFonts w:hint="default" w:ascii="Times New Roman" w:hAnsi="Times New Roman" w:eastAsia="方正仿宋_GBK" w:cs="Times New Roman"/>
                <w:i w:val="0"/>
                <w:iCs w:val="0"/>
                <w:color w:val="000000"/>
                <w:kern w:val="0"/>
                <w:sz w:val="24"/>
                <w:szCs w:val="22"/>
                <w:u w:val="none"/>
                <w:lang w:val="en-US" w:eastAsia="zh-CN" w:bidi="ar"/>
              </w:rPr>
              <w:t>6</w:t>
            </w:r>
          </w:p>
        </w:tc>
        <w:tc>
          <w:tcPr>
            <w:tcW w:w="4141" w:type="dxa"/>
            <w:tcBorders>
              <w:top w:val="single" w:color="000000" w:sz="4" w:space="0"/>
              <w:left w:val="single" w:color="000000" w:sz="4" w:space="0"/>
              <w:bottom w:val="single" w:color="000000" w:sz="4" w:space="0"/>
              <w:right w:val="nil"/>
            </w:tcBorders>
            <w:shd w:val="clear" w:color="FFFFFF" w:fill="FFFFFF"/>
            <w:vAlign w:val="center"/>
          </w:tcPr>
          <w:p w14:paraId="57F4AA06">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工程勘察设计费</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1839452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1项</w:t>
            </w: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2C4AD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A50B2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2"/>
                <w:u w:val="none"/>
                <w:lang w:val="en-US" w:eastAsia="zh-CN" w:bidi="ar"/>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400.00</w:t>
            </w:r>
          </w:p>
        </w:tc>
      </w:tr>
      <w:tr w14:paraId="2FCB6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6884">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2"/>
                <w:u w:val="none"/>
              </w:rPr>
            </w:pPr>
            <w:r>
              <w:rPr>
                <w:rFonts w:hint="default" w:ascii="Times New Roman" w:hAnsi="Times New Roman" w:eastAsia="方正仿宋_GBK" w:cs="Times New Roman"/>
                <w:i w:val="0"/>
                <w:iCs w:val="0"/>
                <w:color w:val="000000"/>
                <w:kern w:val="0"/>
                <w:sz w:val="24"/>
                <w:szCs w:val="22"/>
                <w:u w:val="none"/>
                <w:lang w:val="en-US" w:eastAsia="zh-CN" w:bidi="ar"/>
              </w:rPr>
              <w:t>7</w:t>
            </w:r>
          </w:p>
        </w:tc>
        <w:tc>
          <w:tcPr>
            <w:tcW w:w="4141" w:type="dxa"/>
            <w:tcBorders>
              <w:top w:val="single" w:color="000000" w:sz="4" w:space="0"/>
              <w:left w:val="single" w:color="000000" w:sz="4" w:space="0"/>
              <w:bottom w:val="single" w:color="000000" w:sz="4" w:space="0"/>
              <w:right w:val="nil"/>
            </w:tcBorders>
            <w:shd w:val="clear" w:color="FFFFFF" w:fill="FFFFFF"/>
            <w:vAlign w:val="center"/>
          </w:tcPr>
          <w:p w14:paraId="605A201A">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施工图审查费</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0442566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1项</w:t>
            </w: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D8313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07DE8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2"/>
                <w:u w:val="none"/>
                <w:lang w:val="en-US" w:eastAsia="zh-CN" w:bidi="ar"/>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71.74</w:t>
            </w:r>
          </w:p>
        </w:tc>
      </w:tr>
      <w:tr w14:paraId="72F92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1C7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2"/>
                <w:u w:val="none"/>
              </w:rPr>
            </w:pPr>
            <w:r>
              <w:rPr>
                <w:rFonts w:hint="default" w:ascii="Times New Roman" w:hAnsi="Times New Roman" w:eastAsia="方正仿宋_GBK" w:cs="Times New Roman"/>
                <w:i w:val="0"/>
                <w:iCs w:val="0"/>
                <w:color w:val="000000"/>
                <w:kern w:val="0"/>
                <w:sz w:val="24"/>
                <w:szCs w:val="22"/>
                <w:u w:val="none"/>
                <w:lang w:val="en-US" w:eastAsia="zh-CN" w:bidi="ar"/>
              </w:rPr>
              <w:t>8</w:t>
            </w:r>
          </w:p>
        </w:tc>
        <w:tc>
          <w:tcPr>
            <w:tcW w:w="4141" w:type="dxa"/>
            <w:tcBorders>
              <w:top w:val="single" w:color="000000" w:sz="4" w:space="0"/>
              <w:left w:val="single" w:color="000000" w:sz="4" w:space="0"/>
              <w:bottom w:val="single" w:color="000000" w:sz="4" w:space="0"/>
              <w:right w:val="nil"/>
            </w:tcBorders>
            <w:shd w:val="clear" w:color="FFFFFF" w:fill="FFFFFF"/>
            <w:vAlign w:val="center"/>
          </w:tcPr>
          <w:p w14:paraId="72DA3738">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工程造价咨询费</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6C9F7F6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1项</w:t>
            </w: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072F1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E66CA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2"/>
                <w:u w:val="none"/>
                <w:lang w:val="en-US" w:eastAsia="zh-CN" w:bidi="ar"/>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298.93</w:t>
            </w:r>
          </w:p>
        </w:tc>
      </w:tr>
      <w:tr w14:paraId="7CC1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657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2"/>
                <w:u w:val="none"/>
              </w:rPr>
            </w:pPr>
            <w:r>
              <w:rPr>
                <w:rFonts w:hint="default" w:ascii="Times New Roman" w:hAnsi="Times New Roman" w:eastAsia="方正仿宋_GBK" w:cs="Times New Roman"/>
                <w:i w:val="0"/>
                <w:iCs w:val="0"/>
                <w:color w:val="000000"/>
                <w:kern w:val="0"/>
                <w:sz w:val="24"/>
                <w:szCs w:val="22"/>
                <w:u w:val="none"/>
                <w:lang w:val="en-US" w:eastAsia="zh-CN" w:bidi="ar"/>
              </w:rPr>
              <w:t>9</w:t>
            </w:r>
          </w:p>
        </w:tc>
        <w:tc>
          <w:tcPr>
            <w:tcW w:w="4141" w:type="dxa"/>
            <w:tcBorders>
              <w:top w:val="single" w:color="000000" w:sz="4" w:space="0"/>
              <w:left w:val="single" w:color="000000" w:sz="4" w:space="0"/>
              <w:bottom w:val="single" w:color="000000" w:sz="4" w:space="0"/>
              <w:right w:val="nil"/>
            </w:tcBorders>
            <w:shd w:val="clear" w:color="FFFFFF" w:fill="FFFFFF"/>
            <w:vAlign w:val="center"/>
          </w:tcPr>
          <w:p w14:paraId="7A9B0D0D">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环境影响评价费</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30E424F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1项</w:t>
            </w: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0471B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23F545">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2"/>
                <w:u w:val="none"/>
                <w:lang w:val="en-US" w:eastAsia="zh-CN" w:bidi="ar"/>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3.00</w:t>
            </w:r>
          </w:p>
        </w:tc>
      </w:tr>
      <w:tr w14:paraId="7616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CBD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2"/>
                <w:u w:val="none"/>
              </w:rPr>
            </w:pPr>
            <w:r>
              <w:rPr>
                <w:rFonts w:hint="default" w:ascii="Times New Roman" w:hAnsi="Times New Roman" w:eastAsia="方正仿宋_GBK" w:cs="Times New Roman"/>
                <w:i w:val="0"/>
                <w:iCs w:val="0"/>
                <w:color w:val="000000"/>
                <w:kern w:val="0"/>
                <w:sz w:val="24"/>
                <w:szCs w:val="22"/>
                <w:u w:val="none"/>
                <w:lang w:val="en-US" w:eastAsia="zh-CN" w:bidi="ar"/>
              </w:rPr>
              <w:t>10</w:t>
            </w:r>
          </w:p>
        </w:tc>
        <w:tc>
          <w:tcPr>
            <w:tcW w:w="4141" w:type="dxa"/>
            <w:tcBorders>
              <w:top w:val="single" w:color="000000" w:sz="4" w:space="0"/>
              <w:left w:val="single" w:color="000000" w:sz="4" w:space="0"/>
              <w:bottom w:val="single" w:color="000000" w:sz="4" w:space="0"/>
              <w:right w:val="nil"/>
            </w:tcBorders>
            <w:shd w:val="clear" w:color="FFFFFF" w:fill="FFFFFF"/>
            <w:vAlign w:val="center"/>
          </w:tcPr>
          <w:p w14:paraId="61D86614">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工程保险费</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323ABDD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1项</w:t>
            </w: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5C46E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0E48D5">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2"/>
                <w:u w:val="none"/>
                <w:lang w:val="en-US" w:eastAsia="zh-CN" w:bidi="ar"/>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119.02</w:t>
            </w:r>
          </w:p>
        </w:tc>
      </w:tr>
      <w:tr w14:paraId="3184D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791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2"/>
                <w:u w:val="none"/>
              </w:rPr>
            </w:pPr>
            <w:r>
              <w:rPr>
                <w:rFonts w:hint="default" w:ascii="Times New Roman" w:hAnsi="Times New Roman" w:eastAsia="方正仿宋_GBK" w:cs="Times New Roman"/>
                <w:i w:val="0"/>
                <w:iCs w:val="0"/>
                <w:color w:val="000000"/>
                <w:kern w:val="0"/>
                <w:sz w:val="24"/>
                <w:szCs w:val="22"/>
                <w:u w:val="none"/>
                <w:lang w:val="en-US" w:eastAsia="zh-CN" w:bidi="ar"/>
              </w:rPr>
              <w:t>11</w:t>
            </w:r>
          </w:p>
        </w:tc>
        <w:tc>
          <w:tcPr>
            <w:tcW w:w="4141" w:type="dxa"/>
            <w:tcBorders>
              <w:top w:val="single" w:color="000000" w:sz="4" w:space="0"/>
              <w:left w:val="single" w:color="000000" w:sz="4" w:space="0"/>
              <w:bottom w:val="single" w:color="000000" w:sz="4" w:space="0"/>
              <w:right w:val="nil"/>
            </w:tcBorders>
            <w:shd w:val="clear" w:color="FFFFFF" w:fill="FFFFFF"/>
            <w:vAlign w:val="center"/>
          </w:tcPr>
          <w:p w14:paraId="4A5D9547">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安全生产保障费</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43E88DB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1项</w:t>
            </w: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030A3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F2003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2"/>
                <w:u w:val="none"/>
                <w:lang w:val="en-US" w:eastAsia="zh-CN" w:bidi="ar"/>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297.55</w:t>
            </w:r>
          </w:p>
        </w:tc>
      </w:tr>
      <w:tr w14:paraId="16207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3E7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2"/>
                <w:u w:val="none"/>
              </w:rPr>
            </w:pPr>
            <w:r>
              <w:rPr>
                <w:rFonts w:hint="default" w:ascii="Times New Roman" w:hAnsi="Times New Roman" w:eastAsia="方正仿宋_GBK" w:cs="Times New Roman"/>
                <w:i w:val="0"/>
                <w:iCs w:val="0"/>
                <w:color w:val="000000"/>
                <w:kern w:val="0"/>
                <w:sz w:val="24"/>
                <w:szCs w:val="22"/>
                <w:u w:val="none"/>
                <w:lang w:val="en-US" w:eastAsia="zh-CN" w:bidi="ar"/>
              </w:rPr>
              <w:t>12</w:t>
            </w:r>
          </w:p>
        </w:tc>
        <w:tc>
          <w:tcPr>
            <w:tcW w:w="4141" w:type="dxa"/>
            <w:tcBorders>
              <w:top w:val="single" w:color="000000" w:sz="4" w:space="0"/>
              <w:left w:val="single" w:color="000000" w:sz="4" w:space="0"/>
              <w:bottom w:val="single" w:color="000000" w:sz="4" w:space="0"/>
              <w:right w:val="nil"/>
            </w:tcBorders>
            <w:shd w:val="clear" w:color="FFFFFF" w:fill="FFFFFF"/>
            <w:vAlign w:val="center"/>
          </w:tcPr>
          <w:p w14:paraId="6B62166E">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水土保持咨询服务费</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03A50189">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1项</w:t>
            </w: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8B6E7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BEDD09">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2"/>
                <w:u w:val="none"/>
                <w:lang w:val="en-US" w:eastAsia="zh-CN" w:bidi="ar"/>
              </w:rPr>
            </w:pPr>
            <w:r>
              <w:rPr>
                <w:rFonts w:hint="default" w:ascii="Times New Roman" w:hAnsi="Times New Roman" w:eastAsia="方正仿宋_GBK" w:cs="Times New Roman"/>
                <w:b w:val="0"/>
                <w:bCs w:val="0"/>
                <w:i w:val="0"/>
                <w:iCs w:val="0"/>
                <w:color w:val="000000"/>
                <w:kern w:val="0"/>
                <w:sz w:val="22"/>
                <w:szCs w:val="22"/>
                <w:u w:val="none"/>
                <w:lang w:val="en-US" w:eastAsia="zh-CN" w:bidi="ar"/>
              </w:rPr>
              <w:t>80.00</w:t>
            </w:r>
          </w:p>
        </w:tc>
      </w:tr>
      <w:tr w14:paraId="7C827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BE5B">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2"/>
                <w:u w:val="none"/>
              </w:rPr>
            </w:pPr>
            <w:r>
              <w:rPr>
                <w:rFonts w:hint="default" w:ascii="Times New Roman" w:hAnsi="Times New Roman" w:eastAsia="方正仿宋_GBK" w:cs="Times New Roman"/>
                <w:i w:val="0"/>
                <w:iCs w:val="0"/>
                <w:color w:val="000000"/>
                <w:kern w:val="0"/>
                <w:sz w:val="24"/>
                <w:szCs w:val="22"/>
                <w:u w:val="none"/>
                <w:lang w:val="en-US" w:eastAsia="zh-CN" w:bidi="ar"/>
              </w:rPr>
              <w:t>13</w:t>
            </w:r>
          </w:p>
        </w:tc>
        <w:tc>
          <w:tcPr>
            <w:tcW w:w="4141" w:type="dxa"/>
            <w:tcBorders>
              <w:top w:val="single" w:color="000000" w:sz="4" w:space="0"/>
              <w:left w:val="single" w:color="000000" w:sz="4" w:space="0"/>
              <w:bottom w:val="single" w:color="000000" w:sz="4" w:space="0"/>
              <w:right w:val="nil"/>
            </w:tcBorders>
            <w:shd w:val="clear" w:color="FFFFFF" w:fill="FFFFFF"/>
            <w:vAlign w:val="center"/>
          </w:tcPr>
          <w:p w14:paraId="1FE2507F">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城市基础设施配套建设费</w:t>
            </w:r>
          </w:p>
        </w:tc>
        <w:tc>
          <w:tcPr>
            <w:tcW w:w="926" w:type="dxa"/>
            <w:tcBorders>
              <w:top w:val="single" w:color="000000" w:sz="4" w:space="0"/>
              <w:left w:val="single" w:color="000000" w:sz="4" w:space="0"/>
              <w:bottom w:val="single" w:color="000000" w:sz="4" w:space="0"/>
              <w:right w:val="nil"/>
            </w:tcBorders>
            <w:shd w:val="clear" w:color="FFFFFF" w:fill="FFFFFF"/>
            <w:vAlign w:val="center"/>
          </w:tcPr>
          <w:p w14:paraId="4D17F100">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1项</w:t>
            </w: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D771D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59F453">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2"/>
                <w:u w:val="none"/>
                <w:lang w:val="en-US" w:eastAsia="zh-CN" w:bidi="ar"/>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425.63</w:t>
            </w:r>
          </w:p>
        </w:tc>
      </w:tr>
      <w:tr w14:paraId="03D39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2AED">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2"/>
                <w:u w:val="none"/>
              </w:rPr>
            </w:pPr>
            <w:r>
              <w:rPr>
                <w:rFonts w:hint="default" w:ascii="Times New Roman" w:hAnsi="Times New Roman" w:eastAsia="方正仿宋_GBK" w:cs="Times New Roman"/>
                <w:i w:val="0"/>
                <w:iCs w:val="0"/>
                <w:color w:val="000000"/>
                <w:kern w:val="0"/>
                <w:sz w:val="24"/>
                <w:szCs w:val="22"/>
                <w:u w:val="none"/>
                <w:lang w:val="en-US" w:eastAsia="zh-CN" w:bidi="ar"/>
              </w:rPr>
              <w:t>14</w:t>
            </w:r>
          </w:p>
        </w:tc>
        <w:tc>
          <w:tcPr>
            <w:tcW w:w="4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EC26B3">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智慧工地</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48203B">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1项</w:t>
            </w: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202454">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9B947E">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2"/>
                <w:u w:val="none"/>
                <w:lang w:val="en-US" w:eastAsia="zh-CN" w:bidi="ar"/>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71.74</w:t>
            </w:r>
          </w:p>
        </w:tc>
      </w:tr>
      <w:tr w14:paraId="0322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E33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2"/>
                <w:u w:val="none"/>
              </w:rPr>
            </w:pPr>
            <w:r>
              <w:rPr>
                <w:rFonts w:hint="default" w:ascii="Times New Roman" w:hAnsi="Times New Roman" w:eastAsia="方正仿宋_GBK" w:cs="Times New Roman"/>
                <w:i w:val="0"/>
                <w:iCs w:val="0"/>
                <w:color w:val="000000"/>
                <w:kern w:val="0"/>
                <w:sz w:val="24"/>
                <w:szCs w:val="22"/>
                <w:u w:val="none"/>
                <w:lang w:val="en-US" w:eastAsia="zh-CN" w:bidi="ar"/>
              </w:rPr>
              <w:t>15</w:t>
            </w:r>
          </w:p>
        </w:tc>
        <w:tc>
          <w:tcPr>
            <w:tcW w:w="41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2D1EA7">
            <w:pPr>
              <w:keepNext w:val="0"/>
              <w:keepLines w:val="0"/>
              <w:widowControl/>
              <w:suppressLineNumbers w:val="0"/>
              <w:snapToGrid w:val="0"/>
              <w:spacing w:line="240" w:lineRule="auto"/>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防雷工程设计审核费</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3B061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1项</w:t>
            </w: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FDDED0">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FABE10">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2"/>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0</w:t>
            </w:r>
          </w:p>
        </w:tc>
      </w:tr>
      <w:tr w14:paraId="089CA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CB62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第一、二部分费用总和</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F296">
            <w:pPr>
              <w:snapToGrid w:val="0"/>
              <w:ind w:left="0" w:leftChars="0" w:right="0" w:rightChars="0" w:firstLine="0" w:firstLineChars="0"/>
              <w:jc w:val="center"/>
              <w:rPr>
                <w:rFonts w:hint="default" w:ascii="Times New Roman" w:hAnsi="Times New Roman" w:eastAsia="方正仿宋_GBK" w:cs="Times New Roman"/>
                <w:b/>
                <w:bCs/>
                <w:i w:val="0"/>
                <w:iCs w:val="0"/>
                <w:color w:val="000000"/>
                <w:sz w:val="24"/>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E25D2D">
            <w:pPr>
              <w:snapToGrid w:val="0"/>
              <w:ind w:left="0" w:leftChars="0" w:right="0" w:rightChars="0" w:firstLine="0" w:firstLineChars="0"/>
              <w:jc w:val="center"/>
              <w:rPr>
                <w:rFonts w:hint="default" w:ascii="Times New Roman" w:hAnsi="Times New Roman" w:eastAsia="方正仿宋_GBK" w:cs="Times New Roman"/>
                <w:b/>
                <w:bCs/>
                <w:i w:val="0"/>
                <w:iCs w:val="0"/>
                <w:color w:val="000000"/>
                <w:sz w:val="24"/>
                <w:szCs w:val="22"/>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B7B8EF">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42640.11</w:t>
            </w:r>
          </w:p>
        </w:tc>
      </w:tr>
      <w:tr w14:paraId="65A85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1758">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三</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75C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预备费</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BC53">
            <w:pPr>
              <w:snapToGrid w:val="0"/>
              <w:ind w:left="0" w:leftChars="0" w:right="0" w:rightChars="0" w:firstLine="0" w:firstLineChars="0"/>
              <w:jc w:val="center"/>
              <w:rPr>
                <w:rFonts w:hint="default" w:ascii="Times New Roman" w:hAnsi="Times New Roman" w:eastAsia="方正仿宋_GBK" w:cs="Times New Roman"/>
                <w:b/>
                <w:bCs/>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8B9F11">
            <w:pPr>
              <w:snapToGrid w:val="0"/>
              <w:ind w:left="0" w:leftChars="0" w:right="0" w:rightChars="0" w:firstLine="0" w:firstLineChars="0"/>
              <w:jc w:val="center"/>
              <w:rPr>
                <w:rFonts w:hint="default" w:ascii="Times New Roman" w:hAnsi="Times New Roman" w:eastAsia="方正仿宋_GBK" w:cs="Times New Roman"/>
                <w:b/>
                <w:bCs/>
                <w:i w:val="0"/>
                <w:iCs w:val="0"/>
                <w:color w:val="000000"/>
                <w:sz w:val="22"/>
                <w:szCs w:val="22"/>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22CD0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2132.01</w:t>
            </w:r>
          </w:p>
        </w:tc>
      </w:tr>
      <w:tr w14:paraId="71D8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1D7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四</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E546">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概算总投资</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2F025D">
            <w:pPr>
              <w:snapToGrid w:val="0"/>
              <w:ind w:left="0" w:leftChars="0" w:right="0" w:rightChars="0" w:firstLine="0" w:firstLineChars="0"/>
              <w:jc w:val="center"/>
              <w:rPr>
                <w:rFonts w:hint="default" w:ascii="Times New Roman" w:hAnsi="Times New Roman" w:eastAsia="方正仿宋_GBK" w:cs="Times New Roman"/>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052EEA">
            <w:pPr>
              <w:snapToGrid w:val="0"/>
              <w:ind w:left="0" w:leftChars="0" w:right="0" w:rightChars="0" w:firstLine="0" w:firstLineChars="0"/>
              <w:jc w:val="center"/>
              <w:rPr>
                <w:rFonts w:hint="default" w:ascii="Times New Roman" w:hAnsi="Times New Roman" w:eastAsia="方正仿宋_GBK" w:cs="Times New Roman"/>
                <w:i w:val="0"/>
                <w:iCs w:val="0"/>
                <w:color w:val="000000"/>
                <w:sz w:val="22"/>
                <w:szCs w:val="22"/>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89DE3C">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44772.12</w:t>
            </w:r>
          </w:p>
        </w:tc>
      </w:tr>
    </w:tbl>
    <w:p w14:paraId="63E916EC">
      <w:pPr>
        <w:pStyle w:val="2"/>
        <w:rPr>
          <w:sz w:val="28"/>
          <w:szCs w:val="28"/>
        </w:rPr>
      </w:pPr>
    </w:p>
    <w:p w14:paraId="6481B50D">
      <w:pPr>
        <w:pStyle w:val="2"/>
        <w:rPr>
          <w:sz w:val="28"/>
          <w:szCs w:val="28"/>
        </w:rPr>
      </w:pPr>
    </w:p>
    <w:p w14:paraId="699DF0B3">
      <w:pPr>
        <w:pStyle w:val="2"/>
        <w:rPr>
          <w:sz w:val="28"/>
          <w:szCs w:val="28"/>
        </w:rPr>
      </w:pPr>
    </w:p>
    <w:p w14:paraId="3CC256C2">
      <w:pPr>
        <w:pStyle w:val="2"/>
        <w:rPr>
          <w:sz w:val="28"/>
          <w:szCs w:val="28"/>
        </w:rPr>
      </w:pPr>
    </w:p>
    <w:p w14:paraId="68A3D9C6">
      <w:pPr>
        <w:pStyle w:val="2"/>
        <w:rPr>
          <w:sz w:val="28"/>
          <w:szCs w:val="28"/>
        </w:rPr>
      </w:pPr>
    </w:p>
    <w:p w14:paraId="0506DD21">
      <w:pPr>
        <w:pStyle w:val="2"/>
        <w:rPr>
          <w:sz w:val="28"/>
          <w:szCs w:val="28"/>
        </w:rPr>
      </w:pPr>
    </w:p>
    <w:p w14:paraId="5010C49D">
      <w:pPr>
        <w:pStyle w:val="2"/>
        <w:rPr>
          <w:sz w:val="28"/>
          <w:szCs w:val="28"/>
        </w:rPr>
      </w:pPr>
    </w:p>
    <w:p w14:paraId="3258AB30">
      <w:pPr>
        <w:pStyle w:val="2"/>
        <w:rPr>
          <w:sz w:val="28"/>
          <w:szCs w:val="28"/>
        </w:rPr>
      </w:pPr>
    </w:p>
    <w:p w14:paraId="591C64DF">
      <w:pPr>
        <w:pStyle w:val="2"/>
        <w:rPr>
          <w:sz w:val="28"/>
          <w:szCs w:val="28"/>
        </w:rPr>
      </w:pPr>
    </w:p>
    <w:p w14:paraId="2DFB513E">
      <w:pPr>
        <w:pStyle w:val="2"/>
        <w:rPr>
          <w:sz w:val="28"/>
          <w:szCs w:val="28"/>
        </w:rPr>
      </w:pPr>
    </w:p>
    <w:p w14:paraId="1E3C6481">
      <w:pPr>
        <w:pStyle w:val="2"/>
        <w:rPr>
          <w:sz w:val="28"/>
          <w:szCs w:val="28"/>
        </w:rPr>
      </w:pPr>
    </w:p>
    <w:p w14:paraId="4A3EFE5B">
      <w:pPr>
        <w:pStyle w:val="2"/>
        <w:rPr>
          <w:sz w:val="28"/>
          <w:szCs w:val="28"/>
        </w:rPr>
      </w:pPr>
    </w:p>
    <w:p w14:paraId="22316009">
      <w:pPr>
        <w:pStyle w:val="2"/>
        <w:rPr>
          <w:sz w:val="28"/>
          <w:szCs w:val="28"/>
        </w:rPr>
      </w:pPr>
    </w:p>
    <w:p w14:paraId="7079179D">
      <w:pPr>
        <w:pStyle w:val="2"/>
        <w:rPr>
          <w:sz w:val="28"/>
          <w:szCs w:val="28"/>
        </w:rPr>
      </w:pPr>
    </w:p>
    <w:p w14:paraId="25626179">
      <w:pPr>
        <w:pStyle w:val="2"/>
        <w:rPr>
          <w:sz w:val="28"/>
          <w:szCs w:val="28"/>
        </w:rPr>
      </w:pPr>
    </w:p>
    <w:p w14:paraId="5E6F2F88">
      <w:pPr>
        <w:pStyle w:val="2"/>
        <w:keepNext w:val="0"/>
        <w:keepLines w:val="0"/>
        <w:pageBreakBefore w:val="0"/>
        <w:widowControl w:val="0"/>
        <w:kinsoku/>
        <w:wordWrap/>
        <w:overflowPunct/>
        <w:topLinePunct w:val="0"/>
        <w:autoSpaceDE/>
        <w:autoSpaceDN/>
        <w:bidi w:val="0"/>
        <w:adjustRightInd w:val="0"/>
        <w:snapToGrid/>
        <w:spacing w:line="560" w:lineRule="exact"/>
        <w:textAlignment w:val="baseline"/>
        <w:rPr>
          <w:i w:val="0"/>
          <w:iCs w:val="0"/>
          <w:sz w:val="28"/>
          <w:szCs w:val="28"/>
        </w:rPr>
      </w:pPr>
    </w:p>
    <w:p w14:paraId="5EF254B2">
      <w:pPr>
        <w:pStyle w:val="2"/>
        <w:keepNext w:val="0"/>
        <w:keepLines w:val="0"/>
        <w:pageBreakBefore w:val="0"/>
        <w:widowControl w:val="0"/>
        <w:kinsoku/>
        <w:wordWrap/>
        <w:overflowPunct/>
        <w:topLinePunct w:val="0"/>
        <w:autoSpaceDE/>
        <w:autoSpaceDN/>
        <w:bidi w:val="0"/>
        <w:adjustRightInd w:val="0"/>
        <w:snapToGrid/>
        <w:spacing w:line="560" w:lineRule="exact"/>
        <w:textAlignment w:val="baseline"/>
        <w:rPr>
          <w:i w:val="0"/>
          <w:iCs w:val="0"/>
          <w:sz w:val="28"/>
          <w:szCs w:val="28"/>
        </w:rPr>
      </w:pPr>
    </w:p>
    <w:p w14:paraId="07F0CE31">
      <w:pPr>
        <w:pStyle w:val="2"/>
        <w:keepNext w:val="0"/>
        <w:keepLines w:val="0"/>
        <w:pageBreakBefore w:val="0"/>
        <w:widowControl w:val="0"/>
        <w:kinsoku/>
        <w:wordWrap/>
        <w:overflowPunct/>
        <w:topLinePunct w:val="0"/>
        <w:autoSpaceDE/>
        <w:autoSpaceDN/>
        <w:bidi w:val="0"/>
        <w:adjustRightInd w:val="0"/>
        <w:snapToGrid/>
        <w:spacing w:line="560" w:lineRule="exact"/>
        <w:textAlignment w:val="baseline"/>
        <w:rPr>
          <w:i w:val="0"/>
          <w:iCs w:val="0"/>
          <w:sz w:val="28"/>
          <w:szCs w:val="28"/>
        </w:rPr>
      </w:pPr>
    </w:p>
    <w:p w14:paraId="754FB1E1">
      <w:pPr>
        <w:pStyle w:val="2"/>
        <w:keepNext w:val="0"/>
        <w:keepLines w:val="0"/>
        <w:pageBreakBefore w:val="0"/>
        <w:widowControl w:val="0"/>
        <w:kinsoku/>
        <w:wordWrap/>
        <w:overflowPunct/>
        <w:topLinePunct w:val="0"/>
        <w:autoSpaceDE/>
        <w:autoSpaceDN/>
        <w:bidi w:val="0"/>
        <w:adjustRightInd w:val="0"/>
        <w:snapToGrid/>
        <w:spacing w:line="560" w:lineRule="exact"/>
        <w:textAlignment w:val="baseline"/>
        <w:rPr>
          <w:i w:val="0"/>
          <w:iCs w:val="0"/>
          <w:sz w:val="28"/>
          <w:szCs w:val="28"/>
        </w:rPr>
      </w:pPr>
    </w:p>
    <w:p w14:paraId="5992FDD0">
      <w:pPr>
        <w:pStyle w:val="2"/>
        <w:keepNext w:val="0"/>
        <w:keepLines w:val="0"/>
        <w:pageBreakBefore w:val="0"/>
        <w:widowControl w:val="0"/>
        <w:kinsoku/>
        <w:wordWrap/>
        <w:overflowPunct/>
        <w:topLinePunct w:val="0"/>
        <w:autoSpaceDE/>
        <w:autoSpaceDN/>
        <w:bidi w:val="0"/>
        <w:adjustRightInd w:val="0"/>
        <w:snapToGrid/>
        <w:spacing w:line="560" w:lineRule="exact"/>
        <w:textAlignment w:val="baseline"/>
        <w:rPr>
          <w:i w:val="0"/>
          <w:iCs w:val="0"/>
          <w:sz w:val="28"/>
          <w:szCs w:val="28"/>
        </w:rPr>
      </w:pPr>
    </w:p>
    <w:p w14:paraId="7BD2768C">
      <w:pPr>
        <w:pStyle w:val="2"/>
        <w:keepNext w:val="0"/>
        <w:keepLines w:val="0"/>
        <w:pageBreakBefore w:val="0"/>
        <w:widowControl w:val="0"/>
        <w:kinsoku/>
        <w:wordWrap/>
        <w:overflowPunct/>
        <w:topLinePunct w:val="0"/>
        <w:autoSpaceDE/>
        <w:autoSpaceDN/>
        <w:bidi w:val="0"/>
        <w:adjustRightInd w:val="0"/>
        <w:snapToGrid/>
        <w:spacing w:line="560" w:lineRule="exact"/>
        <w:textAlignment w:val="baseline"/>
        <w:rPr>
          <w:i w:val="0"/>
          <w:iCs w:val="0"/>
          <w:sz w:val="28"/>
          <w:szCs w:val="28"/>
        </w:rPr>
      </w:pPr>
    </w:p>
    <w:p w14:paraId="39FC6926">
      <w:pPr>
        <w:pStyle w:val="2"/>
        <w:keepNext w:val="0"/>
        <w:keepLines w:val="0"/>
        <w:pageBreakBefore w:val="0"/>
        <w:widowControl w:val="0"/>
        <w:kinsoku/>
        <w:wordWrap/>
        <w:overflowPunct/>
        <w:topLinePunct w:val="0"/>
        <w:autoSpaceDE/>
        <w:autoSpaceDN/>
        <w:bidi w:val="0"/>
        <w:adjustRightInd w:val="0"/>
        <w:snapToGrid/>
        <w:spacing w:line="560" w:lineRule="exact"/>
        <w:textAlignment w:val="baseline"/>
        <w:rPr>
          <w:i w:val="0"/>
          <w:iCs w:val="0"/>
          <w:sz w:val="28"/>
          <w:szCs w:val="28"/>
        </w:rPr>
      </w:pPr>
    </w:p>
    <w:p w14:paraId="659A882B">
      <w:pPr>
        <w:pStyle w:val="2"/>
        <w:keepNext w:val="0"/>
        <w:keepLines w:val="0"/>
        <w:pageBreakBefore w:val="0"/>
        <w:widowControl w:val="0"/>
        <w:kinsoku/>
        <w:wordWrap/>
        <w:overflowPunct/>
        <w:topLinePunct w:val="0"/>
        <w:autoSpaceDE/>
        <w:autoSpaceDN/>
        <w:bidi w:val="0"/>
        <w:adjustRightInd w:val="0"/>
        <w:snapToGrid/>
        <w:spacing w:line="560" w:lineRule="exact"/>
        <w:textAlignment w:val="baseline"/>
        <w:rPr>
          <w:i w:val="0"/>
          <w:iCs w:val="0"/>
          <w:sz w:val="28"/>
          <w:szCs w:val="28"/>
        </w:rPr>
      </w:pPr>
    </w:p>
    <w:p w14:paraId="0E7137D9">
      <w:pPr>
        <w:pStyle w:val="2"/>
        <w:keepNext w:val="0"/>
        <w:keepLines w:val="0"/>
        <w:pageBreakBefore w:val="0"/>
        <w:widowControl w:val="0"/>
        <w:kinsoku/>
        <w:wordWrap/>
        <w:overflowPunct/>
        <w:topLinePunct w:val="0"/>
        <w:autoSpaceDE/>
        <w:autoSpaceDN/>
        <w:bidi w:val="0"/>
        <w:adjustRightInd w:val="0"/>
        <w:snapToGrid/>
        <w:spacing w:line="560" w:lineRule="exact"/>
        <w:textAlignment w:val="baseline"/>
        <w:rPr>
          <w:i w:val="0"/>
          <w:iCs w:val="0"/>
          <w:sz w:val="28"/>
          <w:szCs w:val="28"/>
        </w:rPr>
      </w:pPr>
    </w:p>
    <w:p w14:paraId="627FC1FE">
      <w:pPr>
        <w:pStyle w:val="2"/>
        <w:keepNext w:val="0"/>
        <w:keepLines w:val="0"/>
        <w:pageBreakBefore w:val="0"/>
        <w:widowControl w:val="0"/>
        <w:kinsoku/>
        <w:wordWrap/>
        <w:overflowPunct/>
        <w:topLinePunct w:val="0"/>
        <w:autoSpaceDE/>
        <w:autoSpaceDN/>
        <w:bidi w:val="0"/>
        <w:adjustRightInd w:val="0"/>
        <w:snapToGrid/>
        <w:spacing w:line="560" w:lineRule="exact"/>
        <w:textAlignment w:val="baseline"/>
        <w:rPr>
          <w:i w:val="0"/>
          <w:iCs w:val="0"/>
          <w:sz w:val="28"/>
          <w:szCs w:val="28"/>
        </w:rPr>
      </w:pPr>
    </w:p>
    <w:p w14:paraId="50E190A7">
      <w:pPr>
        <w:pStyle w:val="2"/>
        <w:keepNext w:val="0"/>
        <w:keepLines w:val="0"/>
        <w:pageBreakBefore w:val="0"/>
        <w:widowControl w:val="0"/>
        <w:kinsoku/>
        <w:wordWrap/>
        <w:overflowPunct/>
        <w:topLinePunct w:val="0"/>
        <w:autoSpaceDE/>
        <w:autoSpaceDN/>
        <w:bidi w:val="0"/>
        <w:adjustRightInd w:val="0"/>
        <w:snapToGrid/>
        <w:spacing w:line="560" w:lineRule="exact"/>
        <w:textAlignment w:val="baseline"/>
        <w:rPr>
          <w:i w:val="0"/>
          <w:iCs w:val="0"/>
          <w:sz w:val="28"/>
          <w:szCs w:val="28"/>
        </w:rPr>
      </w:pPr>
    </w:p>
    <w:p w14:paraId="3A15FDCA">
      <w:pPr>
        <w:pStyle w:val="2"/>
        <w:keepNext w:val="0"/>
        <w:keepLines w:val="0"/>
        <w:pageBreakBefore w:val="0"/>
        <w:widowControl w:val="0"/>
        <w:kinsoku/>
        <w:wordWrap/>
        <w:overflowPunct/>
        <w:topLinePunct w:val="0"/>
        <w:autoSpaceDE/>
        <w:autoSpaceDN/>
        <w:bidi w:val="0"/>
        <w:adjustRightInd w:val="0"/>
        <w:snapToGrid/>
        <w:spacing w:line="560" w:lineRule="exact"/>
        <w:textAlignment w:val="baseline"/>
        <w:rPr>
          <w:i w:val="0"/>
          <w:iCs w:val="0"/>
          <w:sz w:val="28"/>
          <w:szCs w:val="28"/>
        </w:rPr>
      </w:pPr>
    </w:p>
    <w:p w14:paraId="6B0BC8FC">
      <w:pPr>
        <w:pStyle w:val="2"/>
        <w:keepNext w:val="0"/>
        <w:keepLines w:val="0"/>
        <w:pageBreakBefore w:val="0"/>
        <w:widowControl w:val="0"/>
        <w:kinsoku/>
        <w:wordWrap/>
        <w:overflowPunct/>
        <w:topLinePunct w:val="0"/>
        <w:autoSpaceDE/>
        <w:autoSpaceDN/>
        <w:bidi w:val="0"/>
        <w:adjustRightInd w:val="0"/>
        <w:snapToGrid/>
        <w:spacing w:line="560" w:lineRule="exact"/>
        <w:textAlignment w:val="baseline"/>
        <w:rPr>
          <w:i w:val="0"/>
          <w:iCs w:val="0"/>
          <w:sz w:val="28"/>
          <w:szCs w:val="28"/>
        </w:rPr>
      </w:pPr>
      <w:bookmarkStart w:id="1" w:name="_GoBack"/>
      <w:bookmarkEnd w:id="1"/>
    </w:p>
    <w:p w14:paraId="431607F5">
      <w:pPr>
        <w:pStyle w:val="2"/>
        <w:keepNext w:val="0"/>
        <w:keepLines w:val="0"/>
        <w:pageBreakBefore w:val="0"/>
        <w:widowControl w:val="0"/>
        <w:kinsoku/>
        <w:wordWrap/>
        <w:overflowPunct/>
        <w:topLinePunct w:val="0"/>
        <w:autoSpaceDE/>
        <w:autoSpaceDN/>
        <w:bidi w:val="0"/>
        <w:adjustRightInd w:val="0"/>
        <w:snapToGrid/>
        <w:spacing w:line="560" w:lineRule="exact"/>
        <w:textAlignment w:val="baseline"/>
        <w:rPr>
          <w:rFonts w:hint="eastAsia" w:eastAsia="仿宋"/>
          <w:i w:val="0"/>
          <w:iCs w:val="0"/>
          <w:sz w:val="28"/>
          <w:szCs w:val="28"/>
          <w:lang w:eastAsia="zh-CN"/>
        </w:rPr>
      </w:pPr>
    </w:p>
    <w:p w14:paraId="58DCB246">
      <w:pPr>
        <w:pStyle w:val="2"/>
        <w:keepNext w:val="0"/>
        <w:keepLines w:val="0"/>
        <w:pageBreakBefore w:val="0"/>
        <w:widowControl w:val="0"/>
        <w:kinsoku/>
        <w:wordWrap/>
        <w:overflowPunct/>
        <w:topLinePunct w:val="0"/>
        <w:autoSpaceDE/>
        <w:autoSpaceDN/>
        <w:bidi w:val="0"/>
        <w:adjustRightInd w:val="0"/>
        <w:snapToGrid/>
        <w:spacing w:line="560" w:lineRule="exact"/>
        <w:textAlignment w:val="baseline"/>
        <w:rPr>
          <w:i w:val="0"/>
          <w:iCs w:val="0"/>
          <w:sz w:val="28"/>
          <w:szCs w:val="28"/>
        </w:rPr>
      </w:pPr>
    </w:p>
    <w:p w14:paraId="6D4FBC6B">
      <w:pPr>
        <w:spacing w:line="440" w:lineRule="exact"/>
        <w:ind w:left="-319" w:leftChars="-101" w:right="-290" w:rightChars="-92"/>
        <w:rPr>
          <w:rFonts w:hint="eastAsia" w:ascii="Times New Roman" w:hAnsi="Times New Roman" w:eastAsia="方正仿宋_GBK" w:cs="Times New Roman"/>
          <w:sz w:val="28"/>
          <w:szCs w:val="28"/>
          <w:u w:val="single"/>
        </w:rPr>
      </w:pPr>
      <w:r>
        <w:rPr>
          <w:rFonts w:hint="eastAsia" w:ascii="Times New Roman" w:hAnsi="Times New Roman" w:eastAsia="方正黑体_GBK" w:cs="Times New Roman"/>
          <w:sz w:val="32"/>
          <w:szCs w:val="32"/>
          <w:u w:val="thick"/>
        </w:rPr>
        <w:t xml:space="preserve">                  </w:t>
      </w:r>
      <w:r>
        <w:rPr>
          <w:rFonts w:ascii="Times New Roman" w:hAnsi="Times New Roman" w:eastAsia="方正小标宋_GBK" w:cs="Times New Roman"/>
          <w:sz w:val="32"/>
          <w:szCs w:val="32"/>
          <w:u w:val="thick"/>
        </w:rPr>
        <w:t xml:space="preserve">                                           </w:t>
      </w:r>
    </w:p>
    <w:p w14:paraId="472B1091">
      <w:pPr>
        <w:spacing w:line="440" w:lineRule="exact"/>
        <w:ind w:left="-319" w:leftChars="-101" w:right="-290" w:rightChars="-92"/>
        <w:rPr>
          <w:rFonts w:ascii="Times New Roman" w:hAnsi="Times New Roman" w:eastAsia="方正仿宋_GBK" w:cs="Times New Roman"/>
          <w:sz w:val="28"/>
          <w:szCs w:val="28"/>
          <w:u w:val="single"/>
        </w:rPr>
      </w:pPr>
      <w:r>
        <w:rPr>
          <w:rFonts w:hint="eastAsia" w:ascii="Times New Roman" w:hAnsi="Times New Roman" w:eastAsia="方正仿宋_GBK" w:cs="Times New Roman"/>
          <w:sz w:val="28"/>
          <w:szCs w:val="28"/>
          <w:u w:val="single"/>
        </w:rPr>
        <w:t xml:space="preserve">  抄送：区纪委监委、区财政局、区审计局。      </w:t>
      </w:r>
      <w:r>
        <w:rPr>
          <w:rFonts w:hint="eastAsia" w:cs="Times New Roman"/>
          <w:sz w:val="28"/>
          <w:szCs w:val="28"/>
          <w:u w:val="single"/>
          <w:lang w:val="en-US" w:eastAsia="zh-CN"/>
        </w:rPr>
        <w:t xml:space="preserve">              </w:t>
      </w:r>
      <w:r>
        <w:rPr>
          <w:rFonts w:hint="eastAsia" w:ascii="Times New Roman" w:hAnsi="Times New Roman" w:eastAsia="方正仿宋_GBK" w:cs="Times New Roman"/>
          <w:sz w:val="28"/>
          <w:szCs w:val="28"/>
          <w:u w:val="single"/>
        </w:rPr>
        <w:t xml:space="preserve">         </w:t>
      </w:r>
      <w:r>
        <w:rPr>
          <w:rFonts w:hint="eastAsia" w:ascii="Times New Roman" w:hAnsi="Times New Roman" w:cs="Times New Roman"/>
          <w:sz w:val="28"/>
          <w:szCs w:val="28"/>
          <w:u w:val="none"/>
          <w:lang w:val="en-US" w:eastAsia="zh-CN"/>
        </w:rPr>
        <w:t xml:space="preserve"> </w:t>
      </w:r>
      <w:r>
        <w:rPr>
          <w:rFonts w:hint="eastAsia" w:ascii="Times New Roman" w:hAnsi="Times New Roman" w:eastAsia="方正仿宋_GBK" w:cs="Times New Roman"/>
          <w:sz w:val="28"/>
          <w:szCs w:val="28"/>
          <w:u w:val="none"/>
        </w:rPr>
        <w:t xml:space="preserve">             </w:t>
      </w:r>
    </w:p>
    <w:p w14:paraId="13DE3B32">
      <w:pPr>
        <w:spacing w:line="440" w:lineRule="exact"/>
        <w:ind w:left="-319" w:leftChars="-101" w:right="-290" w:rightChars="-92"/>
        <w:rPr>
          <w:sz w:val="28"/>
          <w:szCs w:val="28"/>
        </w:rPr>
      </w:pPr>
      <w:r>
        <w:rPr>
          <w:rFonts w:ascii="Times New Roman" w:hAnsi="Times New Roman" w:eastAsia="方正仿宋_GBK" w:cs="Times New Roman"/>
          <w:sz w:val="28"/>
          <w:szCs w:val="28"/>
          <w:u w:val="thick"/>
        </w:rPr>
        <w:t xml:space="preserve"> </w:t>
      </w:r>
      <w:r>
        <w:rPr>
          <w:rFonts w:hint="eastAsia" w:ascii="Times New Roman" w:hAnsi="Times New Roman" w:eastAsia="方正仿宋_GBK" w:cs="Times New Roman"/>
          <w:sz w:val="28"/>
          <w:szCs w:val="28"/>
          <w:u w:val="thick"/>
        </w:rPr>
        <w:t xml:space="preserve"> 重庆市</w:t>
      </w:r>
      <w:r>
        <w:rPr>
          <w:rFonts w:ascii="Times New Roman" w:hAnsi="Times New Roman" w:eastAsia="方正仿宋_GBK" w:cs="Times New Roman"/>
          <w:sz w:val="28"/>
          <w:szCs w:val="28"/>
          <w:u w:val="thick"/>
        </w:rPr>
        <w:t xml:space="preserve">黔江区发展和改革委员会办公室  </w:t>
      </w:r>
      <w:r>
        <w:rPr>
          <w:rFonts w:hint="eastAsia" w:ascii="Times New Roman" w:hAnsi="Times New Roman" w:eastAsia="方正仿宋_GBK" w:cs="Times New Roman"/>
          <w:sz w:val="28"/>
          <w:szCs w:val="28"/>
          <w:u w:val="thick"/>
        </w:rPr>
        <w:t xml:space="preserve"> </w:t>
      </w:r>
      <w:r>
        <w:rPr>
          <w:rFonts w:ascii="Times New Roman" w:hAnsi="Times New Roman" w:eastAsia="方正仿宋_GBK" w:cs="Times New Roman"/>
          <w:sz w:val="28"/>
          <w:szCs w:val="28"/>
          <w:u w:val="thick"/>
        </w:rPr>
        <w:t xml:space="preserve"> </w:t>
      </w:r>
      <w:r>
        <w:rPr>
          <w:rFonts w:hint="eastAsia" w:ascii="Times New Roman" w:hAnsi="Times New Roman" w:eastAsia="方正仿宋_GBK" w:cs="Times New Roman"/>
          <w:sz w:val="28"/>
          <w:szCs w:val="28"/>
          <w:u w:val="thick"/>
          <w:lang w:val="en-US" w:eastAsia="zh-CN"/>
        </w:rPr>
        <w:t xml:space="preserve"> </w:t>
      </w:r>
      <w:r>
        <w:rPr>
          <w:rFonts w:hint="eastAsia" w:ascii="Times New Roman" w:hAnsi="Times New Roman" w:cs="Times New Roman"/>
          <w:sz w:val="28"/>
          <w:szCs w:val="28"/>
          <w:u w:val="thick"/>
          <w:lang w:val="en-US" w:eastAsia="zh-CN"/>
        </w:rPr>
        <w:t xml:space="preserve">  </w:t>
      </w:r>
      <w:r>
        <w:rPr>
          <w:rFonts w:hint="eastAsia" w:ascii="Times New Roman" w:hAnsi="Times New Roman" w:eastAsia="方正仿宋_GBK" w:cs="Times New Roman"/>
          <w:sz w:val="28"/>
          <w:szCs w:val="28"/>
          <w:u w:val="thick"/>
          <w:lang w:val="en-US" w:eastAsia="zh-CN"/>
        </w:rPr>
        <w:t xml:space="preserve">  </w:t>
      </w:r>
      <w:r>
        <w:rPr>
          <w:rFonts w:ascii="Times New Roman" w:hAnsi="Times New Roman" w:eastAsia="方正仿宋_GBK" w:cs="Times New Roman"/>
          <w:sz w:val="28"/>
          <w:szCs w:val="28"/>
          <w:u w:val="thick"/>
        </w:rPr>
        <w:t xml:space="preserve">  </w:t>
      </w:r>
      <w:r>
        <w:rPr>
          <w:rFonts w:hint="eastAsia" w:ascii="Times New Roman" w:hAnsi="Times New Roman" w:eastAsia="方正仿宋_GBK" w:cs="Times New Roman"/>
          <w:sz w:val="28"/>
          <w:szCs w:val="28"/>
          <w:u w:val="thick"/>
        </w:rPr>
        <w:t xml:space="preserve"> </w:t>
      </w:r>
      <w:r>
        <w:rPr>
          <w:rFonts w:ascii="Times New Roman" w:hAnsi="Times New Roman" w:eastAsia="方正仿宋_GBK" w:cs="Times New Roman"/>
          <w:sz w:val="28"/>
          <w:szCs w:val="28"/>
          <w:u w:val="thick"/>
        </w:rPr>
        <w:t>20</w:t>
      </w:r>
      <w:r>
        <w:rPr>
          <w:rFonts w:hint="eastAsia" w:ascii="Times New Roman" w:hAnsi="Times New Roman" w:eastAsia="方正仿宋_GBK" w:cs="Times New Roman"/>
          <w:sz w:val="28"/>
          <w:szCs w:val="28"/>
          <w:u w:val="thick"/>
        </w:rPr>
        <w:t>2</w:t>
      </w:r>
      <w:r>
        <w:rPr>
          <w:rFonts w:hint="eastAsia" w:ascii="Times New Roman" w:hAnsi="Times New Roman" w:eastAsia="方正仿宋_GBK" w:cs="Times New Roman"/>
          <w:sz w:val="28"/>
          <w:szCs w:val="28"/>
          <w:u w:val="thick"/>
          <w:lang w:val="en-US" w:eastAsia="zh-CN"/>
        </w:rPr>
        <w:t>6</w:t>
      </w:r>
      <w:r>
        <w:rPr>
          <w:rFonts w:ascii="Times New Roman" w:hAnsi="Times New Roman" w:eastAsia="方正仿宋_GBK" w:cs="Times New Roman"/>
          <w:sz w:val="28"/>
          <w:szCs w:val="28"/>
          <w:u w:val="thick"/>
        </w:rPr>
        <w:t>年</w:t>
      </w:r>
      <w:r>
        <w:rPr>
          <w:rFonts w:hint="eastAsia" w:cs="Times New Roman"/>
          <w:sz w:val="28"/>
          <w:szCs w:val="28"/>
          <w:u w:val="thick"/>
          <w:lang w:val="en-US" w:eastAsia="zh-CN"/>
        </w:rPr>
        <w:t>2</w:t>
      </w:r>
      <w:r>
        <w:rPr>
          <w:rFonts w:ascii="Times New Roman" w:hAnsi="Times New Roman" w:eastAsia="方正仿宋_GBK" w:cs="Times New Roman"/>
          <w:sz w:val="28"/>
          <w:szCs w:val="28"/>
          <w:u w:val="thick"/>
        </w:rPr>
        <w:t>月</w:t>
      </w:r>
      <w:r>
        <w:rPr>
          <w:rFonts w:hint="eastAsia" w:cs="Times New Roman"/>
          <w:sz w:val="28"/>
          <w:szCs w:val="28"/>
          <w:u w:val="thick"/>
          <w:lang w:val="en-US" w:eastAsia="zh-CN"/>
        </w:rPr>
        <w:t>10</w:t>
      </w:r>
      <w:r>
        <w:rPr>
          <w:rFonts w:ascii="Times New Roman" w:hAnsi="Times New Roman" w:eastAsia="方正仿宋_GBK" w:cs="Times New Roman"/>
          <w:sz w:val="28"/>
          <w:szCs w:val="28"/>
          <w:u w:val="thick"/>
        </w:rPr>
        <w:t>日印发</w:t>
      </w:r>
      <w:r>
        <w:rPr>
          <w:rFonts w:hint="eastAsia" w:ascii="Times New Roman" w:hAnsi="Times New Roman" w:eastAsia="方正仿宋_GBK" w:cs="Times New Roman"/>
          <w:sz w:val="28"/>
          <w:szCs w:val="28"/>
          <w:u w:val="thick"/>
        </w:rPr>
        <w:t xml:space="preserve"> </w:t>
      </w:r>
      <w:r>
        <w:rPr>
          <w:rFonts w:ascii="Times New Roman" w:hAnsi="Times New Roman" w:eastAsia="方正仿宋_GBK" w:cs="Times New Roman"/>
          <w:sz w:val="28"/>
          <w:szCs w:val="28"/>
          <w:u w:val="thick"/>
        </w:rPr>
        <w:t xml:space="preserve"> </w:t>
      </w:r>
    </w:p>
    <w:sectPr>
      <w:footerReference r:id="rId5" w:type="default"/>
      <w:footerReference r:id="rId6" w:type="even"/>
      <w:pgSz w:w="11906" w:h="16838"/>
      <w:pgMar w:top="2098" w:right="1474" w:bottom="1984" w:left="1587" w:header="851" w:footer="1417" w:gutter="0"/>
      <w:pgBorders>
        <w:top w:val="none" w:sz="0" w:space="0"/>
        <w:left w:val="none" w:sz="0" w:space="0"/>
        <w:bottom w:val="none" w:sz="0" w:space="0"/>
        <w:right w:val="none" w:sz="0" w:space="0"/>
      </w:pgBorders>
      <w:cols w:space="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8F78F">
    <w:pPr>
      <w:jc w:val="right"/>
      <w:rPr>
        <w:rFonts w:eastAsia="Times New Roman"/>
        <w:sz w:val="18"/>
      </w:rPr>
    </w:pPr>
    <w:r>
      <w:rPr>
        <w:sz w:val="18"/>
      </w:rPr>
      <w:pict>
        <v:shape id="文本框 2"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4C811FE9">
                <w:pPr>
                  <w:snapToGrid w:val="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12553">
    <w:pPr>
      <w:jc w:val="right"/>
      <w:rPr>
        <w:rFonts w:eastAsia="Times New Roman"/>
        <w:sz w:val="18"/>
      </w:rPr>
    </w:pPr>
    <w:r>
      <w:rPr>
        <w:rFonts w:eastAsia="Times New Roman"/>
        <w:sz w:val="18"/>
      </w:rPr>
      <w:fldChar w:fldCharType="begin"/>
    </w:r>
    <w:r>
      <w:rPr>
        <w:rFonts w:eastAsia="Times New Roman"/>
        <w:sz w:val="18"/>
      </w:rPr>
      <w:instrText xml:space="preserve"> PAGE </w:instrText>
    </w:r>
    <w:r>
      <w:rPr>
        <w:rFonts w:eastAsia="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5"/>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doNotSuppressParagraphBorders/>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01FB"/>
    <w:rsid w:val="000466D6"/>
    <w:rsid w:val="000833DF"/>
    <w:rsid w:val="000836D0"/>
    <w:rsid w:val="000A01FB"/>
    <w:rsid w:val="000B24F9"/>
    <w:rsid w:val="000B4A22"/>
    <w:rsid w:val="000C0BF7"/>
    <w:rsid w:val="000C2FB2"/>
    <w:rsid w:val="000C6B28"/>
    <w:rsid w:val="000D6856"/>
    <w:rsid w:val="000F25BF"/>
    <w:rsid w:val="001005AC"/>
    <w:rsid w:val="001024AA"/>
    <w:rsid w:val="001056AD"/>
    <w:rsid w:val="00182501"/>
    <w:rsid w:val="00185691"/>
    <w:rsid w:val="001B294E"/>
    <w:rsid w:val="001B58F6"/>
    <w:rsid w:val="001C2A04"/>
    <w:rsid w:val="001D3042"/>
    <w:rsid w:val="001E64D7"/>
    <w:rsid w:val="001F7BBB"/>
    <w:rsid w:val="00232D37"/>
    <w:rsid w:val="002466FA"/>
    <w:rsid w:val="00250A8A"/>
    <w:rsid w:val="0026530B"/>
    <w:rsid w:val="00266A87"/>
    <w:rsid w:val="00296D93"/>
    <w:rsid w:val="002B04C6"/>
    <w:rsid w:val="002D3B50"/>
    <w:rsid w:val="002F63F7"/>
    <w:rsid w:val="00301B6D"/>
    <w:rsid w:val="003111F1"/>
    <w:rsid w:val="00392240"/>
    <w:rsid w:val="00396CAE"/>
    <w:rsid w:val="003B3891"/>
    <w:rsid w:val="003D5F25"/>
    <w:rsid w:val="003E4FE8"/>
    <w:rsid w:val="003E5084"/>
    <w:rsid w:val="003F450B"/>
    <w:rsid w:val="00413264"/>
    <w:rsid w:val="004217CD"/>
    <w:rsid w:val="00432433"/>
    <w:rsid w:val="00434D79"/>
    <w:rsid w:val="00474C3A"/>
    <w:rsid w:val="00496D2E"/>
    <w:rsid w:val="00497F00"/>
    <w:rsid w:val="004A1ECE"/>
    <w:rsid w:val="004A2FB3"/>
    <w:rsid w:val="004B7416"/>
    <w:rsid w:val="004C2354"/>
    <w:rsid w:val="004E0474"/>
    <w:rsid w:val="0050535E"/>
    <w:rsid w:val="00572212"/>
    <w:rsid w:val="005777F4"/>
    <w:rsid w:val="005C7EAE"/>
    <w:rsid w:val="005F3C4D"/>
    <w:rsid w:val="006042BD"/>
    <w:rsid w:val="006068C6"/>
    <w:rsid w:val="00615E22"/>
    <w:rsid w:val="00660284"/>
    <w:rsid w:val="006A30D0"/>
    <w:rsid w:val="006C0DE2"/>
    <w:rsid w:val="00720514"/>
    <w:rsid w:val="00720554"/>
    <w:rsid w:val="0072131F"/>
    <w:rsid w:val="00722A13"/>
    <w:rsid w:val="00731C1B"/>
    <w:rsid w:val="00737083"/>
    <w:rsid w:val="00765BC9"/>
    <w:rsid w:val="007770A5"/>
    <w:rsid w:val="00794916"/>
    <w:rsid w:val="007D10A4"/>
    <w:rsid w:val="007F46CB"/>
    <w:rsid w:val="00800B8F"/>
    <w:rsid w:val="00815223"/>
    <w:rsid w:val="00831787"/>
    <w:rsid w:val="00850D3F"/>
    <w:rsid w:val="00853F77"/>
    <w:rsid w:val="00860A47"/>
    <w:rsid w:val="008807F7"/>
    <w:rsid w:val="00891C35"/>
    <w:rsid w:val="008935D1"/>
    <w:rsid w:val="008B74C0"/>
    <w:rsid w:val="008D006A"/>
    <w:rsid w:val="008E5D76"/>
    <w:rsid w:val="008F6151"/>
    <w:rsid w:val="009048D5"/>
    <w:rsid w:val="00904AFE"/>
    <w:rsid w:val="0092122C"/>
    <w:rsid w:val="009220DF"/>
    <w:rsid w:val="009631E1"/>
    <w:rsid w:val="00963243"/>
    <w:rsid w:val="00965CCB"/>
    <w:rsid w:val="00972E17"/>
    <w:rsid w:val="00974193"/>
    <w:rsid w:val="009A5EB0"/>
    <w:rsid w:val="009D4565"/>
    <w:rsid w:val="00A40C10"/>
    <w:rsid w:val="00A443C1"/>
    <w:rsid w:val="00A85F38"/>
    <w:rsid w:val="00A955CD"/>
    <w:rsid w:val="00AA3D4F"/>
    <w:rsid w:val="00AD3EFF"/>
    <w:rsid w:val="00AF7CD3"/>
    <w:rsid w:val="00B1777D"/>
    <w:rsid w:val="00B51CD6"/>
    <w:rsid w:val="00B73014"/>
    <w:rsid w:val="00B741C1"/>
    <w:rsid w:val="00B833D8"/>
    <w:rsid w:val="00BD421E"/>
    <w:rsid w:val="00BF0A53"/>
    <w:rsid w:val="00C363AA"/>
    <w:rsid w:val="00C464A8"/>
    <w:rsid w:val="00C6762A"/>
    <w:rsid w:val="00CD4D55"/>
    <w:rsid w:val="00D01740"/>
    <w:rsid w:val="00D7295A"/>
    <w:rsid w:val="00D878F1"/>
    <w:rsid w:val="00D902A8"/>
    <w:rsid w:val="00D97CFB"/>
    <w:rsid w:val="00DB38C2"/>
    <w:rsid w:val="00DD2B37"/>
    <w:rsid w:val="00DD4877"/>
    <w:rsid w:val="00E03841"/>
    <w:rsid w:val="00E7080E"/>
    <w:rsid w:val="00E73AC1"/>
    <w:rsid w:val="00E770E1"/>
    <w:rsid w:val="00E93235"/>
    <w:rsid w:val="00ED5B9D"/>
    <w:rsid w:val="00EF1554"/>
    <w:rsid w:val="00F14A44"/>
    <w:rsid w:val="00F63B69"/>
    <w:rsid w:val="00F63FF8"/>
    <w:rsid w:val="00FA4D84"/>
    <w:rsid w:val="00FA4DBD"/>
    <w:rsid w:val="00FF1FF7"/>
    <w:rsid w:val="01A06D82"/>
    <w:rsid w:val="01B25A4D"/>
    <w:rsid w:val="03505C66"/>
    <w:rsid w:val="038C50E0"/>
    <w:rsid w:val="039C5442"/>
    <w:rsid w:val="07DE0AAA"/>
    <w:rsid w:val="0BCD6AE0"/>
    <w:rsid w:val="0C4A6383"/>
    <w:rsid w:val="0CF02DEE"/>
    <w:rsid w:val="0F8141E3"/>
    <w:rsid w:val="0FBE0C03"/>
    <w:rsid w:val="0FEB39D9"/>
    <w:rsid w:val="10F843A7"/>
    <w:rsid w:val="119229CC"/>
    <w:rsid w:val="11F01372"/>
    <w:rsid w:val="12080E07"/>
    <w:rsid w:val="12C81AA5"/>
    <w:rsid w:val="138E3D1F"/>
    <w:rsid w:val="13C06F2A"/>
    <w:rsid w:val="15384912"/>
    <w:rsid w:val="1578613D"/>
    <w:rsid w:val="174C7453"/>
    <w:rsid w:val="17935082"/>
    <w:rsid w:val="193D01E0"/>
    <w:rsid w:val="1A6E579F"/>
    <w:rsid w:val="1AF51BB0"/>
    <w:rsid w:val="1D2027D0"/>
    <w:rsid w:val="1D4E12BA"/>
    <w:rsid w:val="1E3E4C49"/>
    <w:rsid w:val="1F4C00ED"/>
    <w:rsid w:val="21400CDB"/>
    <w:rsid w:val="226117B6"/>
    <w:rsid w:val="23445D57"/>
    <w:rsid w:val="23570372"/>
    <w:rsid w:val="256B156C"/>
    <w:rsid w:val="25B27047"/>
    <w:rsid w:val="26D83835"/>
    <w:rsid w:val="27F5397D"/>
    <w:rsid w:val="2A467612"/>
    <w:rsid w:val="2AFF29AF"/>
    <w:rsid w:val="2B49432C"/>
    <w:rsid w:val="2B6540BB"/>
    <w:rsid w:val="2B6F62D5"/>
    <w:rsid w:val="2B8704A8"/>
    <w:rsid w:val="2C583D4C"/>
    <w:rsid w:val="2DB96A6D"/>
    <w:rsid w:val="2DD45655"/>
    <w:rsid w:val="2EC622A9"/>
    <w:rsid w:val="2F144C11"/>
    <w:rsid w:val="2F1819BF"/>
    <w:rsid w:val="2FB120F1"/>
    <w:rsid w:val="30C82935"/>
    <w:rsid w:val="32EC51EE"/>
    <w:rsid w:val="331524B7"/>
    <w:rsid w:val="34F125D9"/>
    <w:rsid w:val="358D4A67"/>
    <w:rsid w:val="359D56FF"/>
    <w:rsid w:val="35EF5E14"/>
    <w:rsid w:val="37083883"/>
    <w:rsid w:val="37BF5232"/>
    <w:rsid w:val="37EB016A"/>
    <w:rsid w:val="38146403"/>
    <w:rsid w:val="38B97D28"/>
    <w:rsid w:val="3A1F5203"/>
    <w:rsid w:val="3BC046A9"/>
    <w:rsid w:val="3D0038A0"/>
    <w:rsid w:val="3D584BA2"/>
    <w:rsid w:val="3E590054"/>
    <w:rsid w:val="401B2DD2"/>
    <w:rsid w:val="402E288B"/>
    <w:rsid w:val="4072332D"/>
    <w:rsid w:val="417E794A"/>
    <w:rsid w:val="44083C3F"/>
    <w:rsid w:val="4577128F"/>
    <w:rsid w:val="45E47B16"/>
    <w:rsid w:val="47651902"/>
    <w:rsid w:val="477B47A9"/>
    <w:rsid w:val="48F84664"/>
    <w:rsid w:val="4A30398A"/>
    <w:rsid w:val="4A9F4CF0"/>
    <w:rsid w:val="4AC07792"/>
    <w:rsid w:val="4B83672E"/>
    <w:rsid w:val="4CE7092E"/>
    <w:rsid w:val="4D393458"/>
    <w:rsid w:val="4E252DB9"/>
    <w:rsid w:val="4E311E0D"/>
    <w:rsid w:val="5073301F"/>
    <w:rsid w:val="50AD3FF8"/>
    <w:rsid w:val="513169D7"/>
    <w:rsid w:val="51F223CA"/>
    <w:rsid w:val="52383B54"/>
    <w:rsid w:val="53845485"/>
    <w:rsid w:val="545424E6"/>
    <w:rsid w:val="54BF230B"/>
    <w:rsid w:val="54E47F11"/>
    <w:rsid w:val="55434A67"/>
    <w:rsid w:val="556D1D67"/>
    <w:rsid w:val="55835057"/>
    <w:rsid w:val="55E67F7B"/>
    <w:rsid w:val="56A812A9"/>
    <w:rsid w:val="579A67E6"/>
    <w:rsid w:val="57DB6B64"/>
    <w:rsid w:val="57E72F44"/>
    <w:rsid w:val="584516FE"/>
    <w:rsid w:val="5ADF1011"/>
    <w:rsid w:val="5BB1598F"/>
    <w:rsid w:val="5BC50A62"/>
    <w:rsid w:val="5D413B33"/>
    <w:rsid w:val="5D465377"/>
    <w:rsid w:val="60050F24"/>
    <w:rsid w:val="60DB54F6"/>
    <w:rsid w:val="61263F4D"/>
    <w:rsid w:val="61561366"/>
    <w:rsid w:val="62CA6A4B"/>
    <w:rsid w:val="6383212C"/>
    <w:rsid w:val="65E0558A"/>
    <w:rsid w:val="676254A4"/>
    <w:rsid w:val="67D31EFE"/>
    <w:rsid w:val="68E8683A"/>
    <w:rsid w:val="694D661D"/>
    <w:rsid w:val="696E3491"/>
    <w:rsid w:val="6AFF5937"/>
    <w:rsid w:val="6B0723DE"/>
    <w:rsid w:val="6B225BFF"/>
    <w:rsid w:val="6C3D2854"/>
    <w:rsid w:val="6C4D6279"/>
    <w:rsid w:val="6E163EDE"/>
    <w:rsid w:val="6E246442"/>
    <w:rsid w:val="70672B65"/>
    <w:rsid w:val="726C3FD1"/>
    <w:rsid w:val="735A34D3"/>
    <w:rsid w:val="73815F40"/>
    <w:rsid w:val="74965E13"/>
    <w:rsid w:val="74CD5083"/>
    <w:rsid w:val="76B77724"/>
    <w:rsid w:val="77C6382D"/>
    <w:rsid w:val="7A7973A8"/>
    <w:rsid w:val="7AF43C80"/>
    <w:rsid w:val="7B0C0998"/>
    <w:rsid w:val="7BAA0A78"/>
    <w:rsid w:val="7C5031A0"/>
    <w:rsid w:val="7E707F48"/>
    <w:rsid w:val="7EFE1DAF"/>
    <w:rsid w:val="7FBF2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Body Text Indent"/>
    <w:basedOn w:val="1"/>
    <w:unhideWhenUsed/>
    <w:qFormat/>
    <w:uiPriority w:val="99"/>
    <w:pPr>
      <w:spacing w:line="580" w:lineRule="exact"/>
      <w:ind w:firstLine="630"/>
    </w:pPr>
    <w:rPr>
      <w:rFonts w:eastAsia="仿宋_GB2312"/>
      <w:sz w:val="32"/>
    </w:rPr>
  </w:style>
  <w:style w:type="paragraph" w:styleId="4">
    <w:name w:val="Plain Text"/>
    <w:basedOn w:val="1"/>
    <w:unhideWhenUsed/>
    <w:qFormat/>
    <w:uiPriority w:val="99"/>
    <w:rPr>
      <w:rFonts w:ascii="宋体" w:hAnsi="Courier New"/>
    </w:rPr>
  </w:style>
  <w:style w:type="paragraph" w:styleId="5">
    <w:name w:val="Balloon Text"/>
    <w:basedOn w:val="1"/>
    <w:semiHidden/>
    <w:qFormat/>
    <w:uiPriority w:val="0"/>
    <w:rPr>
      <w:sz w:val="18"/>
      <w:szCs w:val="18"/>
    </w:rPr>
  </w:style>
  <w:style w:type="paragraph" w:styleId="6">
    <w:name w:val="footer"/>
    <w:basedOn w:val="1"/>
    <w:link w:val="11"/>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10">
    <w:name w:val="page number"/>
    <w:basedOn w:val="9"/>
    <w:qFormat/>
    <w:uiPriority w:val="0"/>
  </w:style>
  <w:style w:type="character" w:customStyle="1" w:styleId="11">
    <w:name w:val="页脚 字符"/>
    <w:link w:val="6"/>
    <w:qFormat/>
    <w:uiPriority w:val="99"/>
    <w:rPr>
      <w:rFonts w:eastAsia="方正仿宋_GBK"/>
      <w:sz w:val="18"/>
      <w:szCs w:val="18"/>
    </w:rPr>
  </w:style>
  <w:style w:type="character" w:customStyle="1" w:styleId="12">
    <w:name w:val="页眉 字符"/>
    <w:link w:val="7"/>
    <w:qFormat/>
    <w:uiPriority w:val="0"/>
    <w:rPr>
      <w:rFonts w:eastAsia="方正仿宋_GBK"/>
      <w:sz w:val="18"/>
      <w:szCs w:val="18"/>
    </w:rPr>
  </w:style>
  <w:style w:type="paragraph" w:customStyle="1" w:styleId="13">
    <w:name w:val="4.正文"/>
    <w:basedOn w:val="1"/>
    <w:qFormat/>
    <w:uiPriority w:val="0"/>
    <w:pPr>
      <w:ind w:firstLine="200"/>
    </w:pPr>
    <w:rPr>
      <w:color w:val="00000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1038"/>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F8B2DB-A60F-4ED5-B950-1C2A06303203}">
  <ds:schemaRefs/>
</ds:datastoreItem>
</file>

<file path=docProps/app.xml><?xml version="1.0" encoding="utf-8"?>
<Properties xmlns="http://schemas.openxmlformats.org/officeDocument/2006/extended-properties" xmlns:vt="http://schemas.openxmlformats.org/officeDocument/2006/docPropsVTypes">
  <Template>Normal.dotm</Template>
  <Company>jw</Company>
  <Pages>6</Pages>
  <Words>1186</Words>
  <Characters>1521</Characters>
  <Lines>4</Lines>
  <Paragraphs>1</Paragraphs>
  <TotalTime>5</TotalTime>
  <ScaleCrop>false</ScaleCrop>
  <LinksUpToDate>false</LinksUpToDate>
  <CharactersWithSpaces>1687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2025-08-06T09:31:00Z</dcterms:created>
  <dc:creator>jw</dc:creator>
  <cp:lastModifiedBy>董丽莉</cp:lastModifiedBy>
  <cp:lastPrinted>2026-02-09T08:41:00Z</cp:lastPrinted>
  <dcterms:modified xsi:type="dcterms:W3CDTF">2026-02-10T01:35:13Z</dcterms:modified>
  <dc:title>批复文件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1D79BF4E7AA445DB84BBD6FF859A0D54</vt:lpwstr>
  </property>
  <property fmtid="{D5CDD505-2E9C-101B-9397-08002B2CF9AE}" pid="3" name="KSOProductBuildVer">
    <vt:lpwstr>2052-12.1.0.25225</vt:lpwstr>
  </property>
  <property fmtid="{D5CDD505-2E9C-101B-9397-08002B2CF9AE}" pid="4" name="KSOTemplateDocerSaveRecord">
    <vt:lpwstr>eyJoZGlkIjoiMTY2Y2ZlYTNkNWI5MzlkYjFiNjgwMzcyNGYwMjIxODUiLCJ1c2VySWQiOiIxOTA1NDczOTIifQ==</vt:lpwstr>
  </property>
</Properties>
</file>