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561E6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45B7705A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0E68E3D1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7D82B414">
      <w:pPr>
        <w:overflowPunct w:val="0"/>
        <w:adjustRightInd/>
        <w:spacing w:line="240" w:lineRule="auto"/>
        <w:rPr>
          <w:bCs/>
        </w:rPr>
      </w:pPr>
    </w:p>
    <w:p w14:paraId="7FA0BC8A">
      <w:pPr>
        <w:overflowPunct w:val="0"/>
        <w:adjustRightInd/>
        <w:spacing w:line="240" w:lineRule="auto"/>
        <w:rPr>
          <w:bCs/>
        </w:rPr>
      </w:pPr>
      <w:r>
        <w:rPr>
          <w:bCs/>
          <w:i w:val="0"/>
          <w:iCs w:val="0"/>
        </w:rPr>
        <w:pict>
          <v:shape id="_x0000_s1038" o:spid="_x0000_s1038" o:spt="136" type="#_x0000_t136" style="position:absolute;left:0pt;margin-left:7.75pt;margin-top:4.8pt;height:53.85pt;width:425.2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庆市黔江区发展和改革委员会文件" style="font-family:方正小标宋_GBK;font-size:36pt;v-text-align:center;"/>
          </v:shape>
        </w:pict>
      </w:r>
    </w:p>
    <w:p w14:paraId="78FEA080"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 w14:paraId="1CDC2D20">
      <w:pPr>
        <w:overflowPunct w:val="0"/>
        <w:adjustRightInd/>
        <w:spacing w:line="240" w:lineRule="auto"/>
        <w:rPr>
          <w:bCs/>
        </w:rPr>
      </w:pPr>
    </w:p>
    <w:p w14:paraId="42A9414E">
      <w:pPr>
        <w:adjustRightInd/>
        <w:spacing w:line="240" w:lineRule="auto"/>
        <w:jc w:val="center"/>
        <w:rPr>
          <w:i/>
          <w:iCs/>
        </w:rPr>
      </w:pPr>
    </w:p>
    <w:p w14:paraId="0FB03F15">
      <w:pPr>
        <w:adjustRightInd/>
        <w:spacing w:line="240" w:lineRule="auto"/>
        <w:jc w:val="center"/>
        <w:rPr>
          <w:rFonts w:eastAsia="宋体"/>
          <w:bCs/>
          <w:iCs/>
        </w:rPr>
      </w:pPr>
      <w:r>
        <w:rPr>
          <w:rFonts w:hint="eastAsia"/>
          <w:i w:val="0"/>
          <w:iCs w:val="0"/>
          <w:lang w:eastAsia="zh-CN"/>
        </w:rPr>
        <w:t>黔江发改委发〔2026〕</w:t>
      </w:r>
      <w:r>
        <w:rPr>
          <w:rFonts w:hint="eastAsia"/>
          <w:i w:val="0"/>
          <w:iCs w:val="0"/>
          <w:lang w:val="en-US" w:eastAsia="zh-CN"/>
        </w:rPr>
        <w:t>67</w:t>
      </w:r>
      <w:r>
        <w:rPr>
          <w:rFonts w:ascii="方正仿宋_GBK" w:hAnsi="方正仿宋_GBK" w:cs="方正仿宋_GBK"/>
          <w:i w:val="0"/>
          <w:iCs w:val="0"/>
        </w:rPr>
        <w:t>号</w:t>
      </w:r>
      <w:r>
        <w:rPr>
          <w:iCs/>
        </w:rPr>
        <w:pict>
          <v:rect id="_x0000_s1028" o:spid="_x0000_s1028" o:spt="1" style="position:absolute;left:0pt;margin-left:0pt;margin-top:25.95pt;height:2.25pt;width:442.2pt;z-index:251659264;mso-width-relative:page;mso-height-relative:page;" fillcolor="#FF0202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 w14:paraId="1E9C08F3">
                  <w:pPr>
                    <w:jc w:val="center"/>
                  </w:pPr>
                </w:p>
              </w:txbxContent>
            </v:textbox>
          </v:rect>
        </w:pict>
      </w:r>
    </w:p>
    <w:p w14:paraId="1C91029D">
      <w:pPr>
        <w:overflowPunct w:val="0"/>
        <w:adjustRightInd/>
        <w:spacing w:line="580" w:lineRule="exact"/>
        <w:jc w:val="both"/>
        <w:textAlignment w:val="auto"/>
        <w:rPr>
          <w:rFonts w:eastAsia="方正小标宋_GBK"/>
          <w:kern w:val="2"/>
          <w:sz w:val="44"/>
          <w:szCs w:val="44"/>
        </w:rPr>
      </w:pPr>
    </w:p>
    <w:p w14:paraId="08A6A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0"/>
        <w:jc w:val="center"/>
        <w:textAlignment w:val="baseline"/>
        <w:rPr>
          <w:rFonts w:hint="eastAsia" w:eastAsia="方正小标宋_GBK"/>
          <w:bCs/>
          <w:kern w:val="2"/>
          <w:sz w:val="44"/>
          <w:szCs w:val="44"/>
        </w:rPr>
      </w:pPr>
      <w:r>
        <w:rPr>
          <w:rFonts w:hint="eastAsia" w:eastAsia="方正小标宋_GBK"/>
          <w:bCs/>
          <w:kern w:val="2"/>
          <w:sz w:val="44"/>
          <w:szCs w:val="44"/>
        </w:rPr>
        <w:t>重庆市黔江区发展和改革委员会</w:t>
      </w:r>
    </w:p>
    <w:p w14:paraId="5FB5A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5" w:lineRule="exact"/>
        <w:ind w:right="101"/>
        <w:jc w:val="center"/>
        <w:textAlignment w:val="baseline"/>
        <w:rPr>
          <w:rFonts w:hint="default" w:ascii="Times New Roman" w:hAnsi="Times New Roman" w:eastAsia="方正小标宋_GBK" w:cs="Times New Roman"/>
          <w:w w:val="1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w w:val="100"/>
          <w:sz w:val="44"/>
          <w:szCs w:val="44"/>
        </w:rPr>
        <w:t>关于濯水镇现代农业示范基地项目</w:t>
      </w:r>
    </w:p>
    <w:p w14:paraId="7A0AD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5" w:lineRule="exact"/>
        <w:ind w:right="101"/>
        <w:jc w:val="center"/>
        <w:textAlignment w:val="baseline"/>
        <w:rPr>
          <w:rFonts w:hint="default" w:ascii="Times New Roman" w:hAnsi="Times New Roman" w:eastAsia="方正小标宋_GBK" w:cs="Times New Roman"/>
          <w:w w:val="1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w w:val="100"/>
          <w:sz w:val="44"/>
          <w:szCs w:val="44"/>
        </w:rPr>
        <w:t>可行性研究报告的批复</w:t>
      </w:r>
    </w:p>
    <w:p w14:paraId="4D2E8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5" w:lineRule="exact"/>
        <w:textAlignment w:val="baseline"/>
        <w:rPr>
          <w:rFonts w:hint="default" w:ascii="Times New Roman" w:hAnsi="Times New Roman" w:eastAsia="方正小标宋_GBK" w:cs="Times New Roman"/>
          <w:sz w:val="36"/>
          <w:szCs w:val="36"/>
        </w:rPr>
      </w:pPr>
    </w:p>
    <w:p w14:paraId="5C2D6635">
      <w:pPr>
        <w:spacing w:line="600" w:lineRule="exact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濯水镇人民政府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：</w:t>
      </w:r>
    </w:p>
    <w:p w14:paraId="6720E7B4">
      <w:pPr>
        <w:spacing w:line="600" w:lineRule="exact"/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你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《关于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审批濯水镇现代农业示范基地项目可行性研究报告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函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》（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濯水府函</w:t>
      </w:r>
      <w:r>
        <w:rPr>
          <w:rFonts w:hint="eastAsia"/>
          <w:i w:val="0"/>
          <w:iCs w:val="0"/>
          <w:lang w:eastAsia="zh-CN"/>
        </w:rPr>
        <w:t>〔2026〕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号）收悉。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经区政府投资项目前期工作服务中心审核，原则同意该项目可行性研究报告。现批复如下：</w:t>
      </w:r>
    </w:p>
    <w:p w14:paraId="3D218BA8">
      <w:pPr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一、为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将濯水镇现代农业示范基地建成集科技创新、成果转化、产业示范、人才培养、生态涵养与科普培训于一体的区域性、综合性、高水平农业科研与实践平台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，同意实施该项目。</w:t>
      </w:r>
    </w:p>
    <w:p w14:paraId="66206363">
      <w:pPr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二、项目代码：2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601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-500114-04-0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-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463961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。</w:t>
      </w:r>
    </w:p>
    <w:p w14:paraId="4F8101BD">
      <w:pPr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三、项目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业主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：黔江区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濯水镇人民政府</w:t>
      </w:r>
    </w:p>
    <w:p w14:paraId="75D2B5CA">
      <w:pPr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四、项目建设地点：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黔江区濯水镇蒲花社区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。</w:t>
      </w:r>
    </w:p>
    <w:p w14:paraId="1C17D2CB">
      <w:pPr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五、建设规模、标准及主要建设内容：项目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红线面积295.95亩。其中：整治田块280亩（水田整治30亩，旱地整治250亩），原道路拆除3100米，新建4.0米宽田间道1085米、2.5米宽生产路4355米、0.4×0.5米排水沟984米、0.5×0.6米排水沟357米、0.6×0.8米排水沟486米、灌溉管网8467米，建设水肥一体化管理房及购置首部系统设备等。</w:t>
      </w:r>
    </w:p>
    <w:p w14:paraId="7C300086">
      <w:pPr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六、投资估算及资金来源：项目估算总投资412.84万元，其中：工程费用372.46万元，工程建设其他费28.36万元，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基本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预备费12.02万元。资金来源为黔江区2026年提前批衔接资金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和业主自筹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。</w:t>
      </w:r>
    </w:p>
    <w:p w14:paraId="2469D3C0">
      <w:pPr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七、建设工期：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个月。</w:t>
      </w:r>
    </w:p>
    <w:p w14:paraId="0443F499">
      <w:pPr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八、招标核准：本项目招标范围、招标方式及招标组织形式严格按照《中华人民共和国招标投标法实施条例》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《重庆市黔江区政府投资管理实施办法》有关规定组织实施。</w:t>
      </w:r>
    </w:p>
    <w:p w14:paraId="2AC30D7E">
      <w:pPr>
        <w:ind w:firstLine="632" w:firstLineChars="200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九、有关要求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  <w:t>：</w:t>
      </w:r>
    </w:p>
    <w:p w14:paraId="3E189A69">
      <w:pPr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（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）根据《关于印发村庄建设项目简易审批方案的通知》（黔江发改委发〔2022〕64号文）要求，本项目适用村庄建设项目简易审批程序。本批复中明确的项目投资估算为项目控制性投资，不再审批项目投资概算。</w:t>
      </w:r>
    </w:p>
    <w:p w14:paraId="52F2669F">
      <w:pPr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bookmarkStart w:id="0" w:name="_Toc185755155"/>
      <w:bookmarkStart w:id="1" w:name="_Toc174865624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（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）认真落实安全生产责任制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强化项目资金管理，切实控制投资，严控工程质量，加快推进项目实施，确保工程早日建成投用。</w:t>
      </w:r>
    </w:p>
    <w:p w14:paraId="7875A9BE">
      <w:pPr>
        <w:spacing w:line="600" w:lineRule="exact"/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 w14:paraId="7832F906">
      <w:pPr>
        <w:spacing w:line="600" w:lineRule="exact"/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附件：濯水镇现代农业示范基地项目投资估算表</w:t>
      </w:r>
      <w:bookmarkEnd w:id="0"/>
      <w:bookmarkEnd w:id="1"/>
    </w:p>
    <w:p w14:paraId="48C6A60F">
      <w:pPr>
        <w:spacing w:line="600" w:lineRule="exact"/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 w14:paraId="080B14D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firstLine="632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/>
          <w:kern w:val="2"/>
        </w:rPr>
        <w:t xml:space="preserve">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</w:t>
      </w:r>
    </w:p>
    <w:p w14:paraId="01F0473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left="1700" w:leftChars="0" w:firstLine="2149" w:firstLineChars="68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重庆市黔江区发展和改革委员会</w:t>
      </w:r>
    </w:p>
    <w:p w14:paraId="600306EE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firstLine="632" w:firstLineChars="200"/>
        <w:jc w:val="both"/>
        <w:rPr>
          <w:rFonts w:hint="default"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</w:rPr>
        <w:t xml:space="preserve"> 202</w:t>
      </w:r>
      <w:r>
        <w:rPr>
          <w:rFonts w:hint="eastAsia" w:ascii="Times New Roman" w:hAnsi="Times New Roman" w:eastAsia="方正仿宋_GBK" w:cs="Times New Roman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</w:rPr>
        <w:t>年</w:t>
      </w:r>
      <w:r>
        <w:rPr>
          <w:rFonts w:hint="eastAsia" w:eastAsia="方正仿宋_GBK" w:cs="Times New Roman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</w:rPr>
        <w:t>月</w:t>
      </w:r>
      <w:r>
        <w:rPr>
          <w:rFonts w:hint="eastAsia" w:eastAsia="方正仿宋_GBK" w:cs="Times New Roman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</w:rPr>
        <w:t>日</w:t>
      </w:r>
    </w:p>
    <w:p w14:paraId="75D3F2E3">
      <w:pPr>
        <w:wordWrap w:val="0"/>
        <w:overflowPunct w:val="0"/>
        <w:adjustRightInd/>
        <w:spacing w:line="240" w:lineRule="auto"/>
        <w:ind w:firstLine="632" w:firstLineChars="200"/>
        <w:jc w:val="center"/>
        <w:textAlignment w:val="auto"/>
        <w:rPr>
          <w:kern w:val="2"/>
        </w:rPr>
      </w:pPr>
    </w:p>
    <w:p w14:paraId="26478B7B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78BC6901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575A00BA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1301D552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714FDC4A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4DE30F66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01E98DB1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04DF8620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6DEF21F6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6AA3A16F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4BE5B9EF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398AA15B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6870700C">
      <w:pPr>
        <w:pStyle w:val="2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  <w:t>濯水镇现代农业示范基地项目投资估算表</w:t>
      </w:r>
    </w:p>
    <w:tbl>
      <w:tblPr>
        <w:tblW w:w="87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5160"/>
        <w:gridCol w:w="2669"/>
      </w:tblGrid>
      <w:tr w14:paraId="2E34A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E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2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工程或费用名称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A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金额（万元）</w:t>
            </w:r>
          </w:p>
        </w:tc>
      </w:tr>
      <w:tr w14:paraId="2E859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A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C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bdr w:val="none" w:color="auto" w:sz="0" w:space="0"/>
                <w:lang w:val="en-US" w:eastAsia="zh-CN" w:bidi="ar"/>
              </w:rPr>
              <w:t>工程费用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0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372.46 </w:t>
            </w:r>
          </w:p>
        </w:tc>
      </w:tr>
      <w:tr w14:paraId="1D125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C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C1B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6"/>
                <w:bdr w:val="none" w:color="auto" w:sz="0" w:space="0"/>
                <w:lang w:val="en-US" w:eastAsia="zh-CN" w:bidi="ar"/>
              </w:rPr>
              <w:t>濯水镇现代农业示范基地项目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5A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372.46 </w:t>
            </w:r>
          </w:p>
        </w:tc>
      </w:tr>
      <w:tr w14:paraId="09EA7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2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F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工程建设其他费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F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28.36 </w:t>
            </w:r>
          </w:p>
        </w:tc>
      </w:tr>
      <w:tr w14:paraId="04148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4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441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6"/>
                <w:bdr w:val="none" w:color="auto" w:sz="0" w:space="0"/>
                <w:lang w:val="en-US" w:eastAsia="zh-CN" w:bidi="ar"/>
              </w:rPr>
              <w:t>工程监理费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CD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8.94 </w:t>
            </w:r>
          </w:p>
        </w:tc>
      </w:tr>
      <w:tr w14:paraId="0646F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3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15A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6"/>
                <w:bdr w:val="none" w:color="auto" w:sz="0" w:space="0"/>
                <w:lang w:val="en-US" w:eastAsia="zh-CN" w:bidi="ar"/>
              </w:rPr>
              <w:t>前期工作费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69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15.33 </w:t>
            </w:r>
          </w:p>
        </w:tc>
      </w:tr>
      <w:tr w14:paraId="6F377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3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A49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6"/>
                <w:bdr w:val="none" w:color="auto" w:sz="0" w:space="0"/>
                <w:lang w:val="en-US" w:eastAsia="zh-CN" w:bidi="ar"/>
              </w:rPr>
              <w:t>管理费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63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4.09 </w:t>
            </w:r>
          </w:p>
        </w:tc>
      </w:tr>
      <w:tr w14:paraId="3B638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0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2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基本预备费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6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12.02 </w:t>
            </w:r>
          </w:p>
        </w:tc>
      </w:tr>
      <w:tr w14:paraId="7908B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D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6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bdr w:val="none" w:color="auto" w:sz="0" w:space="0"/>
                <w:lang w:val="en-US" w:eastAsia="zh-CN" w:bidi="ar"/>
              </w:rPr>
              <w:t>项目估算总投资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4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412.84</w:t>
            </w:r>
          </w:p>
        </w:tc>
      </w:tr>
    </w:tbl>
    <w:p w14:paraId="431607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rFonts w:hint="eastAsia" w:eastAsia="仿宋"/>
          <w:i w:val="0"/>
          <w:iCs w:val="0"/>
          <w:sz w:val="28"/>
          <w:szCs w:val="28"/>
          <w:lang w:eastAsia="zh-CN"/>
        </w:rPr>
      </w:pPr>
    </w:p>
    <w:p w14:paraId="38E94A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rFonts w:hint="eastAsia" w:eastAsia="仿宋"/>
          <w:i w:val="0"/>
          <w:iCs w:val="0"/>
          <w:sz w:val="28"/>
          <w:szCs w:val="28"/>
          <w:lang w:eastAsia="zh-CN"/>
        </w:rPr>
      </w:pPr>
    </w:p>
    <w:p w14:paraId="6FE6F7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rFonts w:hint="eastAsia" w:eastAsia="仿宋"/>
          <w:i w:val="0"/>
          <w:iCs w:val="0"/>
          <w:sz w:val="28"/>
          <w:szCs w:val="28"/>
          <w:lang w:eastAsia="zh-CN"/>
        </w:rPr>
      </w:pPr>
    </w:p>
    <w:p w14:paraId="58DCB2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6D4FBC6B">
      <w:pPr>
        <w:spacing w:line="440" w:lineRule="exact"/>
        <w:ind w:left="-319" w:leftChars="-101" w:right="-290" w:rightChars="-92"/>
        <w:rPr>
          <w:rFonts w:hint="eastAsia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u w:val="thick"/>
        </w:rPr>
        <w:t xml:space="preserve">                  </w:t>
      </w:r>
      <w:r>
        <w:rPr>
          <w:rFonts w:ascii="Times New Roman" w:hAnsi="Times New Roman" w:eastAsia="方正小标宋_GBK" w:cs="Times New Roman"/>
          <w:sz w:val="32"/>
          <w:szCs w:val="32"/>
          <w:u w:val="thick"/>
        </w:rPr>
        <w:t xml:space="preserve">                                           </w:t>
      </w:r>
    </w:p>
    <w:p w14:paraId="472B1091">
      <w:pPr>
        <w:spacing w:line="440" w:lineRule="exact"/>
        <w:ind w:left="-319" w:leftChars="-101" w:right="-290" w:rightChars="-92"/>
        <w:rPr>
          <w:rFonts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抄送：区纪委监委、区财政局、区审计局</w:t>
      </w:r>
      <w:r>
        <w:rPr>
          <w:rFonts w:hint="eastAsia" w:cs="Times New Roman"/>
          <w:sz w:val="28"/>
          <w:szCs w:val="28"/>
          <w:u w:val="single"/>
          <w:lang w:eastAsia="zh-CN"/>
        </w:rPr>
        <w:t>、区农业农村委</w:t>
      </w:r>
      <w:bookmarkStart w:id="2" w:name="_GoBack"/>
      <w:bookmarkEnd w:id="2"/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。      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</w:rPr>
        <w:t xml:space="preserve">             </w:t>
      </w:r>
    </w:p>
    <w:p w14:paraId="13DE3B32">
      <w:pPr>
        <w:spacing w:line="440" w:lineRule="exact"/>
        <w:ind w:left="-319" w:leftChars="-101" w:right="-290" w:rightChars="-92"/>
        <w:rPr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重庆市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黔江区发展和改革委员会办公室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20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年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月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11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日印发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8F78F">
    <w:pPr>
      <w:jc w:val="right"/>
      <w:rPr>
        <w:rFonts w:eastAsia="Times New Roman"/>
        <w:sz w:val="18"/>
      </w:rPr>
    </w:pPr>
    <w:r>
      <w:rPr>
        <w:sz w:val="18"/>
      </w:rPr>
      <w:pict>
        <v:shape id="文本框 2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C811FE9">
                <w:pPr>
                  <w:snapToGrid w:val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12553"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5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SuppressParagraphBorders/>
    <w:footnoteLayoutLikeWW8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1FB"/>
    <w:rsid w:val="000466D6"/>
    <w:rsid w:val="000833DF"/>
    <w:rsid w:val="000836D0"/>
    <w:rsid w:val="000A01FB"/>
    <w:rsid w:val="000B24F9"/>
    <w:rsid w:val="000B4A22"/>
    <w:rsid w:val="000C0BF7"/>
    <w:rsid w:val="000C2FB2"/>
    <w:rsid w:val="000C6B28"/>
    <w:rsid w:val="000D6856"/>
    <w:rsid w:val="000F25BF"/>
    <w:rsid w:val="001005AC"/>
    <w:rsid w:val="001024AA"/>
    <w:rsid w:val="001056AD"/>
    <w:rsid w:val="00182501"/>
    <w:rsid w:val="00185691"/>
    <w:rsid w:val="001B294E"/>
    <w:rsid w:val="001B58F6"/>
    <w:rsid w:val="001C2A04"/>
    <w:rsid w:val="001D3042"/>
    <w:rsid w:val="001E64D7"/>
    <w:rsid w:val="001F7BBB"/>
    <w:rsid w:val="00232D37"/>
    <w:rsid w:val="002466FA"/>
    <w:rsid w:val="00250A8A"/>
    <w:rsid w:val="0026530B"/>
    <w:rsid w:val="00266A87"/>
    <w:rsid w:val="00296D93"/>
    <w:rsid w:val="002B04C6"/>
    <w:rsid w:val="002D3B50"/>
    <w:rsid w:val="002F63F7"/>
    <w:rsid w:val="00301B6D"/>
    <w:rsid w:val="003111F1"/>
    <w:rsid w:val="00392240"/>
    <w:rsid w:val="00396CAE"/>
    <w:rsid w:val="003B3891"/>
    <w:rsid w:val="003D5F25"/>
    <w:rsid w:val="003E4FE8"/>
    <w:rsid w:val="003E5084"/>
    <w:rsid w:val="003F450B"/>
    <w:rsid w:val="00413264"/>
    <w:rsid w:val="004217CD"/>
    <w:rsid w:val="00432433"/>
    <w:rsid w:val="00434D79"/>
    <w:rsid w:val="00474C3A"/>
    <w:rsid w:val="00496D2E"/>
    <w:rsid w:val="00497F00"/>
    <w:rsid w:val="004A1ECE"/>
    <w:rsid w:val="004A2FB3"/>
    <w:rsid w:val="004B7416"/>
    <w:rsid w:val="004C2354"/>
    <w:rsid w:val="004E0474"/>
    <w:rsid w:val="0050535E"/>
    <w:rsid w:val="00572212"/>
    <w:rsid w:val="005777F4"/>
    <w:rsid w:val="005C7EAE"/>
    <w:rsid w:val="005F3C4D"/>
    <w:rsid w:val="006042BD"/>
    <w:rsid w:val="006068C6"/>
    <w:rsid w:val="00615E22"/>
    <w:rsid w:val="00660284"/>
    <w:rsid w:val="006A30D0"/>
    <w:rsid w:val="006C0DE2"/>
    <w:rsid w:val="00720514"/>
    <w:rsid w:val="00720554"/>
    <w:rsid w:val="0072131F"/>
    <w:rsid w:val="00722A13"/>
    <w:rsid w:val="00731C1B"/>
    <w:rsid w:val="00737083"/>
    <w:rsid w:val="00765BC9"/>
    <w:rsid w:val="007770A5"/>
    <w:rsid w:val="00794916"/>
    <w:rsid w:val="007D10A4"/>
    <w:rsid w:val="007F46CB"/>
    <w:rsid w:val="00800B8F"/>
    <w:rsid w:val="00815223"/>
    <w:rsid w:val="00831787"/>
    <w:rsid w:val="00850D3F"/>
    <w:rsid w:val="00853F77"/>
    <w:rsid w:val="00860A47"/>
    <w:rsid w:val="008807F7"/>
    <w:rsid w:val="00891C35"/>
    <w:rsid w:val="008935D1"/>
    <w:rsid w:val="008B74C0"/>
    <w:rsid w:val="008D006A"/>
    <w:rsid w:val="008E5D76"/>
    <w:rsid w:val="008F6151"/>
    <w:rsid w:val="009048D5"/>
    <w:rsid w:val="00904AFE"/>
    <w:rsid w:val="0092122C"/>
    <w:rsid w:val="009220DF"/>
    <w:rsid w:val="009631E1"/>
    <w:rsid w:val="00963243"/>
    <w:rsid w:val="00965CCB"/>
    <w:rsid w:val="00972E17"/>
    <w:rsid w:val="00974193"/>
    <w:rsid w:val="009A5EB0"/>
    <w:rsid w:val="009D4565"/>
    <w:rsid w:val="00A40C10"/>
    <w:rsid w:val="00A443C1"/>
    <w:rsid w:val="00A85F38"/>
    <w:rsid w:val="00A955CD"/>
    <w:rsid w:val="00AA3D4F"/>
    <w:rsid w:val="00AD3EFF"/>
    <w:rsid w:val="00AF7CD3"/>
    <w:rsid w:val="00B1777D"/>
    <w:rsid w:val="00B51CD6"/>
    <w:rsid w:val="00B73014"/>
    <w:rsid w:val="00B741C1"/>
    <w:rsid w:val="00B833D8"/>
    <w:rsid w:val="00BD421E"/>
    <w:rsid w:val="00BF0A53"/>
    <w:rsid w:val="00C363AA"/>
    <w:rsid w:val="00C464A8"/>
    <w:rsid w:val="00C6762A"/>
    <w:rsid w:val="00CD4D55"/>
    <w:rsid w:val="00D01740"/>
    <w:rsid w:val="00D7295A"/>
    <w:rsid w:val="00D878F1"/>
    <w:rsid w:val="00D902A8"/>
    <w:rsid w:val="00D97CFB"/>
    <w:rsid w:val="00DB38C2"/>
    <w:rsid w:val="00DD2B37"/>
    <w:rsid w:val="00DD4877"/>
    <w:rsid w:val="00E03841"/>
    <w:rsid w:val="00E7080E"/>
    <w:rsid w:val="00E73AC1"/>
    <w:rsid w:val="00E770E1"/>
    <w:rsid w:val="00E93235"/>
    <w:rsid w:val="00ED5B9D"/>
    <w:rsid w:val="00EF1554"/>
    <w:rsid w:val="00F14A44"/>
    <w:rsid w:val="00F63B69"/>
    <w:rsid w:val="00F63FF8"/>
    <w:rsid w:val="00FA4D84"/>
    <w:rsid w:val="00FA4DBD"/>
    <w:rsid w:val="00FF1FF7"/>
    <w:rsid w:val="01A06D82"/>
    <w:rsid w:val="01B25A4D"/>
    <w:rsid w:val="03505C66"/>
    <w:rsid w:val="038C50E0"/>
    <w:rsid w:val="039C5442"/>
    <w:rsid w:val="05CD672F"/>
    <w:rsid w:val="07DE0AAA"/>
    <w:rsid w:val="0BCD6AE0"/>
    <w:rsid w:val="0C4A6383"/>
    <w:rsid w:val="0CF02DEE"/>
    <w:rsid w:val="0F8141E3"/>
    <w:rsid w:val="0FBE0C03"/>
    <w:rsid w:val="0FEB39D9"/>
    <w:rsid w:val="10F843A7"/>
    <w:rsid w:val="119229CC"/>
    <w:rsid w:val="11F01372"/>
    <w:rsid w:val="12080E07"/>
    <w:rsid w:val="12C81AA5"/>
    <w:rsid w:val="138E3D1F"/>
    <w:rsid w:val="13C06F2A"/>
    <w:rsid w:val="15384912"/>
    <w:rsid w:val="1578613D"/>
    <w:rsid w:val="174C7453"/>
    <w:rsid w:val="17935082"/>
    <w:rsid w:val="193D01E0"/>
    <w:rsid w:val="1A6E579F"/>
    <w:rsid w:val="1AF51BB0"/>
    <w:rsid w:val="1D2027D0"/>
    <w:rsid w:val="1D4E12BA"/>
    <w:rsid w:val="1E3E4C49"/>
    <w:rsid w:val="1F4C00ED"/>
    <w:rsid w:val="21400CDB"/>
    <w:rsid w:val="226117B6"/>
    <w:rsid w:val="23445D57"/>
    <w:rsid w:val="23570372"/>
    <w:rsid w:val="256B156C"/>
    <w:rsid w:val="25B27047"/>
    <w:rsid w:val="26D83835"/>
    <w:rsid w:val="27F5397D"/>
    <w:rsid w:val="2A467612"/>
    <w:rsid w:val="2AFF29AF"/>
    <w:rsid w:val="2B49432C"/>
    <w:rsid w:val="2B6540BB"/>
    <w:rsid w:val="2B6F62D5"/>
    <w:rsid w:val="2B8704A8"/>
    <w:rsid w:val="2C583D4C"/>
    <w:rsid w:val="2DB96A6D"/>
    <w:rsid w:val="2DD45655"/>
    <w:rsid w:val="2EC622A9"/>
    <w:rsid w:val="2F144C11"/>
    <w:rsid w:val="2F1819BF"/>
    <w:rsid w:val="2FB120F1"/>
    <w:rsid w:val="30C82935"/>
    <w:rsid w:val="32EC51EE"/>
    <w:rsid w:val="331524B7"/>
    <w:rsid w:val="34F125D9"/>
    <w:rsid w:val="358D4A67"/>
    <w:rsid w:val="359D56FF"/>
    <w:rsid w:val="35EF5E14"/>
    <w:rsid w:val="37083883"/>
    <w:rsid w:val="37BF5232"/>
    <w:rsid w:val="37EB016A"/>
    <w:rsid w:val="38146403"/>
    <w:rsid w:val="38B97D28"/>
    <w:rsid w:val="3A1F5203"/>
    <w:rsid w:val="3BC046A9"/>
    <w:rsid w:val="3D0038A0"/>
    <w:rsid w:val="3D584BA2"/>
    <w:rsid w:val="3E590054"/>
    <w:rsid w:val="401B2DD2"/>
    <w:rsid w:val="402E288B"/>
    <w:rsid w:val="4072332D"/>
    <w:rsid w:val="417E794A"/>
    <w:rsid w:val="44083C3F"/>
    <w:rsid w:val="4577128F"/>
    <w:rsid w:val="45E47B16"/>
    <w:rsid w:val="47651902"/>
    <w:rsid w:val="477B47A9"/>
    <w:rsid w:val="48F84664"/>
    <w:rsid w:val="4A30398A"/>
    <w:rsid w:val="4A9F4CF0"/>
    <w:rsid w:val="4AAE4239"/>
    <w:rsid w:val="4AC07792"/>
    <w:rsid w:val="4B83672E"/>
    <w:rsid w:val="4CE7092E"/>
    <w:rsid w:val="4D393458"/>
    <w:rsid w:val="4E252DB9"/>
    <w:rsid w:val="4E311E0D"/>
    <w:rsid w:val="5073301F"/>
    <w:rsid w:val="50AD3FF8"/>
    <w:rsid w:val="513169D7"/>
    <w:rsid w:val="51F223CA"/>
    <w:rsid w:val="52383B54"/>
    <w:rsid w:val="53845485"/>
    <w:rsid w:val="545424E6"/>
    <w:rsid w:val="54BF230B"/>
    <w:rsid w:val="54E47F11"/>
    <w:rsid w:val="55434A67"/>
    <w:rsid w:val="556D1D67"/>
    <w:rsid w:val="55835057"/>
    <w:rsid w:val="55E67F7B"/>
    <w:rsid w:val="56A812A9"/>
    <w:rsid w:val="579A67E6"/>
    <w:rsid w:val="57DB6B64"/>
    <w:rsid w:val="57E72F44"/>
    <w:rsid w:val="584516FE"/>
    <w:rsid w:val="5ADF1011"/>
    <w:rsid w:val="5BB1598F"/>
    <w:rsid w:val="5BC50A62"/>
    <w:rsid w:val="5D413B33"/>
    <w:rsid w:val="5D465377"/>
    <w:rsid w:val="60050F24"/>
    <w:rsid w:val="60DB54F6"/>
    <w:rsid w:val="61263F4D"/>
    <w:rsid w:val="61523763"/>
    <w:rsid w:val="61561366"/>
    <w:rsid w:val="62CA6A4B"/>
    <w:rsid w:val="6383212C"/>
    <w:rsid w:val="651308AB"/>
    <w:rsid w:val="65E0558A"/>
    <w:rsid w:val="65E21D1F"/>
    <w:rsid w:val="676254A4"/>
    <w:rsid w:val="67D31EFE"/>
    <w:rsid w:val="68E8683A"/>
    <w:rsid w:val="694D661D"/>
    <w:rsid w:val="696E3491"/>
    <w:rsid w:val="6AFF5937"/>
    <w:rsid w:val="6B0723DE"/>
    <w:rsid w:val="6B225BFF"/>
    <w:rsid w:val="6C3D2854"/>
    <w:rsid w:val="6C4D6279"/>
    <w:rsid w:val="6E163EDE"/>
    <w:rsid w:val="6E246442"/>
    <w:rsid w:val="70672B65"/>
    <w:rsid w:val="726C3FD1"/>
    <w:rsid w:val="735A34D3"/>
    <w:rsid w:val="73815F40"/>
    <w:rsid w:val="74965E13"/>
    <w:rsid w:val="74CD5083"/>
    <w:rsid w:val="76B77724"/>
    <w:rsid w:val="77C6382D"/>
    <w:rsid w:val="7A7973A8"/>
    <w:rsid w:val="7AF43C80"/>
    <w:rsid w:val="7B0C0998"/>
    <w:rsid w:val="7BAA0A78"/>
    <w:rsid w:val="7C5031A0"/>
    <w:rsid w:val="7E707F48"/>
    <w:rsid w:val="7EFE1DAF"/>
    <w:rsid w:val="7FB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unhideWhenUsed/>
    <w:qFormat/>
    <w:uiPriority w:val="99"/>
    <w:pPr>
      <w:spacing w:line="580" w:lineRule="exact"/>
      <w:ind w:firstLine="630"/>
    </w:pPr>
    <w:rPr>
      <w:rFonts w:eastAsia="仿宋_GB2312"/>
      <w:sz w:val="32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脚 字符"/>
    <w:link w:val="6"/>
    <w:qFormat/>
    <w:uiPriority w:val="99"/>
    <w:rPr>
      <w:rFonts w:eastAsia="方正仿宋_GBK"/>
      <w:sz w:val="18"/>
      <w:szCs w:val="18"/>
    </w:rPr>
  </w:style>
  <w:style w:type="character" w:customStyle="1" w:styleId="12">
    <w:name w:val="页眉 字符"/>
    <w:link w:val="7"/>
    <w:qFormat/>
    <w:uiPriority w:val="0"/>
    <w:rPr>
      <w:rFonts w:eastAsia="方正仿宋_GBK"/>
      <w:sz w:val="18"/>
      <w:szCs w:val="18"/>
    </w:rPr>
  </w:style>
  <w:style w:type="paragraph" w:customStyle="1" w:styleId="13">
    <w:name w:val="4.正文"/>
    <w:basedOn w:val="1"/>
    <w:qFormat/>
    <w:uiPriority w:val="0"/>
    <w:pPr>
      <w:ind w:firstLine="200"/>
    </w:pPr>
    <w:rPr>
      <w:color w:val="000000"/>
    </w:rPr>
  </w:style>
  <w:style w:type="character" w:customStyle="1" w:styleId="14">
    <w:name w:val="font61"/>
    <w:basedOn w:val="9"/>
    <w:uiPriority w:val="0"/>
    <w:rPr>
      <w:rFonts w:ascii="方正黑体_GBK" w:hAnsi="方正黑体_GBK" w:eastAsia="方正黑体_GBK" w:cs="方正黑体_GBK"/>
      <w:color w:val="000000"/>
      <w:sz w:val="36"/>
      <w:szCs w:val="36"/>
      <w:u w:val="none"/>
    </w:rPr>
  </w:style>
  <w:style w:type="character" w:customStyle="1" w:styleId="15">
    <w:name w:val="font71"/>
    <w:basedOn w:val="9"/>
    <w:uiPriority w:val="0"/>
    <w:rPr>
      <w:rFonts w:ascii="方正楷体_GBK" w:hAnsi="方正楷体_GBK" w:eastAsia="方正楷体_GBK" w:cs="方正楷体_GBK"/>
      <w:b/>
      <w:bCs/>
      <w:color w:val="000000"/>
      <w:sz w:val="28"/>
      <w:szCs w:val="28"/>
      <w:u w:val="none"/>
    </w:rPr>
  </w:style>
  <w:style w:type="character" w:customStyle="1" w:styleId="16">
    <w:name w:val="font81"/>
    <w:basedOn w:val="9"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38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F8B2DB-A60F-4ED5-B950-1C2A063032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</Company>
  <Pages>4</Pages>
  <Words>932</Words>
  <Characters>1120</Characters>
  <Lines>4</Lines>
  <Paragraphs>1</Paragraphs>
  <TotalTime>2</TotalTime>
  <ScaleCrop>false</ScaleCrop>
  <LinksUpToDate>false</LinksUpToDate>
  <CharactersWithSpaces>1312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2025-08-06T09:31:00Z</dcterms:created>
  <dc:creator>jw</dc:creator>
  <cp:lastModifiedBy>董丽莉</cp:lastModifiedBy>
  <cp:lastPrinted>2026-02-11T02:10:21Z</cp:lastPrinted>
  <dcterms:modified xsi:type="dcterms:W3CDTF">2026-02-11T02:10:23Z</dcterms:modified>
  <dc:title>批复文件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1D79BF4E7AA445DB84BBD6FF859A0D54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eyJoZGlkIjoiMTY2Y2ZlYTNkNWI5MzlkYjFiNjgwMzcyNGYwMjIxODUiLCJ1c2VySWQiOiIxOTA1NDczOTIifQ==</vt:lpwstr>
  </property>
</Properties>
</file>