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1FEE5A1D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086C0281">
      <w:pPr>
        <w:overflowPunct w:val="0"/>
        <w:adjustRightInd/>
        <w:spacing w:line="240" w:lineRule="auto"/>
        <w:rPr>
          <w:bCs/>
          <w:i w:val="0"/>
          <w:iCs w:val="0"/>
        </w:rPr>
      </w:pPr>
      <w:r>
        <w:rPr>
          <w:bCs/>
          <w:i w:val="0"/>
          <w:iCs w:val="0"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i w:val="0"/>
          <w:iCs w:val="0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2C53E525">
      <w:pPr>
        <w:adjustRightInd/>
        <w:spacing w:line="240" w:lineRule="auto"/>
        <w:jc w:val="center"/>
        <w:rPr>
          <w:i w:val="0"/>
          <w:iCs w:val="0"/>
        </w:rPr>
      </w:pPr>
    </w:p>
    <w:p w14:paraId="71650508">
      <w:pPr>
        <w:tabs>
          <w:tab w:val="left" w:pos="2270"/>
          <w:tab w:val="center" w:pos="4482"/>
        </w:tabs>
        <w:adjustRightInd/>
        <w:spacing w:line="240" w:lineRule="auto"/>
        <w:jc w:val="left"/>
        <w:rPr>
          <w:rFonts w:eastAsia="宋体"/>
          <w:bCs/>
          <w:i w:val="0"/>
          <w:iCs w:val="0"/>
        </w:rPr>
      </w:pPr>
      <w:r>
        <w:rPr>
          <w:i w:val="0"/>
          <w:iCs w:val="0"/>
        </w:rPr>
        <w:pict>
          <v:rect id="_x0000_s1026" o:spid="_x0000_s1026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7480E1FE">
                  <w:pPr>
                    <w:jc w:val="center"/>
                  </w:pPr>
                </w:p>
              </w:txbxContent>
            </v:textbox>
          </v:rect>
        </w:pict>
      </w:r>
      <w:bookmarkStart w:id="0" w:name="approveNum"/>
      <w:r>
        <w:rPr>
          <w:rFonts w:hint="eastAsia"/>
          <w:i w:val="0"/>
          <w:iCs w:val="0"/>
          <w:lang w:eastAsia="zh-CN"/>
        </w:rPr>
        <w:tab/>
      </w: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75</w:t>
      </w:r>
      <w:r>
        <w:rPr>
          <w:rFonts w:ascii="方正仿宋_GBK" w:hAnsi="方正仿宋_GBK" w:cs="方正仿宋_GBK"/>
          <w:i w:val="0"/>
          <w:iCs w:val="0"/>
        </w:rPr>
        <w:t>号</w:t>
      </w:r>
      <w:bookmarkEnd w:id="0"/>
    </w:p>
    <w:p w14:paraId="7D23A6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bCs/>
          <w:i w:val="0"/>
          <w:iCs w:val="0"/>
        </w:rPr>
      </w:pPr>
    </w:p>
    <w:p w14:paraId="255C8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eastAsia="方正小标宋_GBK"/>
          <w:i w:val="0"/>
          <w:iCs w:val="0"/>
          <w:kern w:val="2"/>
          <w:sz w:val="44"/>
          <w:szCs w:val="44"/>
        </w:rPr>
      </w:pPr>
    </w:p>
    <w:p w14:paraId="6704FF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bookmarkStart w:id="1" w:name="approveUnit"/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  <w:lang w:val="en-US" w:eastAsia="zh-CN"/>
        </w:rPr>
        <w:t>黔江区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发展和改革委员会</w:t>
      </w:r>
      <w:bookmarkEnd w:id="1"/>
    </w:p>
    <w:p w14:paraId="3EAE68B2">
      <w:pPr>
        <w:spacing w:line="595" w:lineRule="exact"/>
        <w:jc w:val="center"/>
        <w:rPr>
          <w:rFonts w:hint="eastAsia" w:eastAsia="方正小标宋_GBK"/>
          <w:spacing w:val="-20"/>
          <w:sz w:val="44"/>
          <w:szCs w:val="44"/>
          <w:lang w:val="en-US" w:eastAsia="zh-CN"/>
        </w:rPr>
      </w:pPr>
      <w:r>
        <w:rPr>
          <w:rFonts w:eastAsia="方正小标宋_GBK"/>
          <w:spacing w:val="-20"/>
          <w:sz w:val="44"/>
          <w:szCs w:val="44"/>
        </w:rPr>
        <w:t>关于</w:t>
      </w:r>
      <w:r>
        <w:rPr>
          <w:rFonts w:hint="eastAsia" w:eastAsia="方正小标宋_GBK"/>
          <w:spacing w:val="-20"/>
          <w:sz w:val="44"/>
          <w:szCs w:val="44"/>
          <w:lang w:val="en-US" w:eastAsia="zh-CN"/>
        </w:rPr>
        <w:t>乌江支流细沙河沿线污水管网更新改造工程</w:t>
      </w:r>
    </w:p>
    <w:p w14:paraId="51FAD9FC">
      <w:pPr>
        <w:spacing w:line="595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6BEFE699">
      <w:pPr>
        <w:spacing w:line="595" w:lineRule="exact"/>
        <w:rPr>
          <w:szCs w:val="32"/>
        </w:rPr>
      </w:pPr>
    </w:p>
    <w:p w14:paraId="381C5D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重庆市枳丹石城市建设开发有限公司</w:t>
      </w:r>
      <w:r>
        <w:rPr>
          <w:rFonts w:eastAsia="方正仿宋_GBK"/>
          <w:sz w:val="32"/>
          <w:szCs w:val="32"/>
        </w:rPr>
        <w:t>：</w:t>
      </w:r>
    </w:p>
    <w:p w14:paraId="44F450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经由区住房城乡建委转报的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《关于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转报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乌江支流细沙河沿线污水管网更新改造项目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的函</w:t>
      </w:r>
      <w:r>
        <w:rPr>
          <w:rFonts w:hint="default" w:ascii="Times New Roman" w:hAnsi="Times New Roman" w:eastAsia="方正仿宋_GBK" w:cs="Times New Roman"/>
          <w:szCs w:val="32"/>
        </w:rPr>
        <w:t>》（枳丹石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Cs w:val="32"/>
        </w:rPr>
        <w:t>号）收悉。经研究，同意实施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乌江支流细沙河沿线污水管网更新改造工程</w:t>
      </w:r>
      <w:r>
        <w:rPr>
          <w:rFonts w:hint="default" w:ascii="Times New Roman" w:hAnsi="Times New Roman" w:eastAsia="方正仿宋_GBK" w:cs="Times New Roman"/>
          <w:szCs w:val="32"/>
        </w:rPr>
        <w:t>（项目代码：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2502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714830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5AC3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重庆市枳丹石城市建设开发有限公司</w:t>
      </w:r>
    </w:p>
    <w:p w14:paraId="5D749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、建设地点：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细沙河沿线片区</w:t>
      </w:r>
    </w:p>
    <w:p w14:paraId="2C27C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、主要建设内容及规模：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改造乌江支流细沙河沿线污水管网，新建管网31.19公里，改造一体化提升泵站4座，改造管网5.37公里，修复管网2.88公里。主要建设内容：新建DN300污水管网11.04公里，DN400污水管网16.12公里，DN500污水管网2.08公里，DN600污水管网1.38公里，压力管道0.57公里，配套建设检查井1151座；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改造DN300污水管网0.65公里，DN400污水管网4.31公里，DN500污水管网0.41公里，配套建设检查井181座；修复老旧破损污水管网2.88公里，其中DN300污水管修复长度1.0公里，DN400污水管修复长度1.5公里，DN500污水管0.38公里。并配套建设相应的检查井、跌水井等附属构筑物。</w:t>
      </w:r>
    </w:p>
    <w:p w14:paraId="27BB06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、建设工期：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59240B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五、项目总投资及资金来源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：项目总投资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11065.04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万元，其中：工程费用9596.85万元，工程建设其他费用941.28万元，预备费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526.91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万元。资金来源为申请国市补助资金，不足部分由业主自筹。</w:t>
      </w:r>
    </w:p>
    <w:p w14:paraId="4F052F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、招标核准：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本项目的招标范围为工程施工，勘察、设计、监理等与工程建设有关的服务，以及与工程建设有关的重要设备、材料的采购等。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按照招标投标法相关规定，依法必须招标的，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招标方式为公开招标，招标组织形式为委托招标。招标公告在指定媒介公开发布。</w:t>
      </w:r>
    </w:p>
    <w:p w14:paraId="3F5A5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、有关事项：</w:t>
      </w:r>
      <w:r>
        <w:rPr>
          <w:rFonts w:hint="eastAsia" w:ascii="Times New Roman" w:hAnsi="Times New Roman" w:eastAsia="方正仿宋_GBK"/>
          <w:sz w:val="32"/>
          <w:szCs w:val="3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01B32A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2935EB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1580" w:leftChars="200" w:hanging="948" w:hangingChars="3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/>
          <w:sz w:val="32"/>
          <w:szCs w:val="32"/>
          <w:lang w:eastAsia="zh-CN"/>
        </w:rPr>
        <w:t>乌江支流细沙河沿线污水管网更新改造工程</w:t>
      </w:r>
      <w:r>
        <w:rPr>
          <w:rFonts w:hint="eastAsia" w:ascii="Times New Roman" w:hAnsi="Times New Roman" w:eastAsia="方正仿宋_GBK"/>
          <w:sz w:val="32"/>
          <w:szCs w:val="32"/>
        </w:rPr>
        <w:t>投资估算审核表</w:t>
      </w:r>
    </w:p>
    <w:p w14:paraId="0668DC05">
      <w:pPr>
        <w:pStyle w:val="2"/>
        <w:spacing w:line="52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1BE84056">
      <w:pPr>
        <w:pStyle w:val="13"/>
      </w:pPr>
    </w:p>
    <w:p w14:paraId="3DE93293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602E9DD0">
      <w:pPr>
        <w:pStyle w:val="4"/>
        <w:spacing w:line="500" w:lineRule="exact"/>
        <w:ind w:firstLine="632" w:firstLineChars="200"/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13</w:t>
      </w:r>
      <w:r>
        <w:rPr>
          <w:rFonts w:eastAsia="方正仿宋_GBK"/>
        </w:rPr>
        <w:t>日</w:t>
      </w:r>
    </w:p>
    <w:p w14:paraId="2E1BBF05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BA82E53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92EF20E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A5AC07C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4E6C1B3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773773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F63A053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7782906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9311070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996BFF2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C0C3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280EC197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 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乌江支流细沙河沿线污水管网更新改造工程投资估算表</w:t>
      </w:r>
    </w:p>
    <w:p w14:paraId="030F30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8"/>
        <w:tblW w:w="9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930"/>
        <w:gridCol w:w="2258"/>
      </w:tblGrid>
      <w:tr w14:paraId="7E01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4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92F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审定金额（万元）</w:t>
            </w:r>
          </w:p>
        </w:tc>
      </w:tr>
      <w:tr w14:paraId="3C58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7E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91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9F4DF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0"/>
                <w:u w:val="none"/>
              </w:rPr>
            </w:pPr>
          </w:p>
        </w:tc>
      </w:tr>
      <w:tr w14:paraId="136B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9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B45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9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9596.85</w:t>
            </w:r>
          </w:p>
        </w:tc>
      </w:tr>
      <w:tr w14:paraId="0AB7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09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乌江支流细沙河沿线污水管网更新改造工程</w:t>
            </w:r>
          </w:p>
        </w:tc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07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C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4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6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941.28</w:t>
            </w:r>
          </w:p>
        </w:tc>
      </w:tr>
      <w:tr w14:paraId="1AE9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81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2D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BF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47.98</w:t>
            </w:r>
          </w:p>
        </w:tc>
      </w:tr>
      <w:tr w14:paraId="7CD4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A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CFC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7C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150.65</w:t>
            </w:r>
          </w:p>
        </w:tc>
      </w:tr>
      <w:tr w14:paraId="55CD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BC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122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7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146.83</w:t>
            </w:r>
          </w:p>
        </w:tc>
      </w:tr>
      <w:tr w14:paraId="7541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24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A84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037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20.83</w:t>
            </w:r>
          </w:p>
        </w:tc>
      </w:tr>
      <w:tr w14:paraId="7BE8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4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119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招标交易费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5AE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EC4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95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F79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02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29.05</w:t>
            </w:r>
          </w:p>
        </w:tc>
      </w:tr>
      <w:tr w14:paraId="43CE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72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AA49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E0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307.10</w:t>
            </w:r>
          </w:p>
        </w:tc>
      </w:tr>
      <w:tr w14:paraId="6EBB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A4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E3E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0D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23.03</w:t>
            </w:r>
          </w:p>
        </w:tc>
      </w:tr>
      <w:tr w14:paraId="5E5C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4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B8A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BE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121.56</w:t>
            </w:r>
          </w:p>
        </w:tc>
      </w:tr>
      <w:tr w14:paraId="7502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18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9DE0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BA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7.48</w:t>
            </w:r>
          </w:p>
        </w:tc>
      </w:tr>
      <w:tr w14:paraId="0242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A3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6BE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B3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28.79</w:t>
            </w:r>
          </w:p>
        </w:tc>
      </w:tr>
      <w:tr w14:paraId="6EAC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B0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2E0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36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47.98</w:t>
            </w:r>
          </w:p>
        </w:tc>
      </w:tr>
      <w:tr w14:paraId="23F2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A1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2FE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69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7CD3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32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3A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10538.13</w:t>
            </w:r>
          </w:p>
        </w:tc>
      </w:tr>
      <w:tr w14:paraId="4C94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99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D2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0A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526.91</w:t>
            </w:r>
          </w:p>
        </w:tc>
      </w:tr>
      <w:tr w14:paraId="6A8C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C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52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估算总投资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86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11065.04</w:t>
            </w:r>
          </w:p>
        </w:tc>
      </w:tr>
    </w:tbl>
    <w:p w14:paraId="3F52D5D3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4C795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DFBFC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327B7A2F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1404EB8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2" w:name="_GoBack"/>
      <w:bookmarkEnd w:id="2"/>
    </w:p>
    <w:p w14:paraId="4C93E495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BFC7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93EB0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2E044FFF">
      <w:pPr>
        <w:spacing w:line="440" w:lineRule="exact"/>
        <w:ind w:left="-319" w:leftChars="-101" w:right="-290" w:rightChars="-92"/>
        <w:rPr>
          <w:rFonts w:hint="eastAsia" w:eastAsia="方正仿宋_GBK"/>
          <w:sz w:val="28"/>
          <w:szCs w:val="28"/>
          <w:u w:val="single"/>
        </w:rPr>
      </w:pPr>
      <w:r>
        <w:rPr>
          <w:rFonts w:hint="eastAsia" w:eastAsia="方正黑体_GBK"/>
          <w:sz w:val="32"/>
          <w:szCs w:val="32"/>
          <w:u w:val="thick"/>
        </w:rPr>
        <w:t xml:space="preserve">                  </w:t>
      </w:r>
      <w:r>
        <w:rPr>
          <w:rFonts w:eastAsia="方正小标宋_GBK"/>
          <w:sz w:val="32"/>
          <w:szCs w:val="32"/>
          <w:u w:val="thick"/>
        </w:rPr>
        <w:t xml:space="preserve">                                           </w:t>
      </w:r>
    </w:p>
    <w:p w14:paraId="2D4D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rFonts w:hint="default" w:eastAsia="方正仿宋_GBK"/>
          <w:sz w:val="28"/>
          <w:szCs w:val="28"/>
          <w:u w:val="thick"/>
          <w:lang w:val="en-US" w:eastAsia="zh-CN"/>
        </w:rPr>
      </w:pPr>
      <w:r>
        <w:rPr>
          <w:rFonts w:hint="eastAsia" w:eastAsia="方正仿宋_GBK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/>
          <w:sz w:val="28"/>
          <w:szCs w:val="28"/>
          <w:u w:val="single"/>
          <w:lang w:eastAsia="zh-CN"/>
        </w:rPr>
        <w:t>、区住房城乡建委</w:t>
      </w:r>
      <w:r>
        <w:rPr>
          <w:rFonts w:hint="eastAsia" w:eastAsia="方正仿宋_GBK"/>
          <w:sz w:val="28"/>
          <w:szCs w:val="28"/>
          <w:u w:val="single"/>
        </w:rPr>
        <w:t xml:space="preserve">。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方正仿宋_GBK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 w14:paraId="2EC0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i w:val="0"/>
          <w:iCs w:val="0"/>
          <w:sz w:val="28"/>
          <w:szCs w:val="28"/>
        </w:rPr>
      </w:pP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u w:val="thick"/>
        </w:rPr>
        <w:t>重庆市</w:t>
      </w:r>
      <w:r>
        <w:rPr>
          <w:rFonts w:eastAsia="方正仿宋_GBK"/>
          <w:sz w:val="28"/>
          <w:szCs w:val="28"/>
          <w:u w:val="thick"/>
        </w:rPr>
        <w:t xml:space="preserve">黔江区发展和改革委员会办公室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u w:val="thick"/>
        </w:rPr>
        <w:t xml:space="preserve">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>20</w:t>
      </w:r>
      <w:r>
        <w:rPr>
          <w:rFonts w:hint="eastAsia" w:eastAsia="方正仿宋_GBK"/>
          <w:sz w:val="28"/>
          <w:szCs w:val="28"/>
          <w:u w:val="thick"/>
        </w:rPr>
        <w:t>2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>6</w:t>
      </w:r>
      <w:r>
        <w:rPr>
          <w:rFonts w:eastAsia="方正仿宋_GBK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>2</w:t>
      </w:r>
      <w:r>
        <w:rPr>
          <w:rFonts w:eastAsia="方正仿宋_GBK"/>
          <w:sz w:val="28"/>
          <w:szCs w:val="28"/>
          <w:u w:val="thick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>13</w:t>
      </w:r>
      <w:r>
        <w:rPr>
          <w:rFonts w:eastAsia="方正仿宋_GBK"/>
          <w:sz w:val="28"/>
          <w:szCs w:val="28"/>
          <w:u w:val="thick"/>
        </w:rPr>
        <w:t>日印发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9362A5-136A-4B60-A2B3-01614980BC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1F4C143-61EC-4068-BB73-1D3ED7C53C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F7BD6A-48AD-4946-8F89-A86C7DD2075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00A475-DECC-41CE-BE18-C8A1BFD6FD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588679">
                <w:pPr>
                  <w:pStyle w:val="6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宋体"/>
                    <w:sz w:val="28"/>
                    <w:szCs w:val="28"/>
                  </w:rPr>
                  <w:t>1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1D003F4"/>
    <w:rsid w:val="03505C66"/>
    <w:rsid w:val="064F520B"/>
    <w:rsid w:val="07DE0AAA"/>
    <w:rsid w:val="09502F56"/>
    <w:rsid w:val="0AE95411"/>
    <w:rsid w:val="0BB8447D"/>
    <w:rsid w:val="0CB038E3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9204A5A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264F8E"/>
    <w:rsid w:val="26D83835"/>
    <w:rsid w:val="2786250D"/>
    <w:rsid w:val="27F5397D"/>
    <w:rsid w:val="2ABB0720"/>
    <w:rsid w:val="2AFF29AF"/>
    <w:rsid w:val="2B6540BB"/>
    <w:rsid w:val="2B6F62D5"/>
    <w:rsid w:val="2B8704A8"/>
    <w:rsid w:val="2FB27D82"/>
    <w:rsid w:val="30C82935"/>
    <w:rsid w:val="33077C70"/>
    <w:rsid w:val="34E478E0"/>
    <w:rsid w:val="359D56FF"/>
    <w:rsid w:val="35EF5E14"/>
    <w:rsid w:val="368F633F"/>
    <w:rsid w:val="37083883"/>
    <w:rsid w:val="378578B7"/>
    <w:rsid w:val="38146403"/>
    <w:rsid w:val="38B97D28"/>
    <w:rsid w:val="38BB358E"/>
    <w:rsid w:val="38D97FC3"/>
    <w:rsid w:val="3A1F5203"/>
    <w:rsid w:val="3D584BA2"/>
    <w:rsid w:val="3E021FAB"/>
    <w:rsid w:val="3F4F7231"/>
    <w:rsid w:val="402E288B"/>
    <w:rsid w:val="4104773E"/>
    <w:rsid w:val="417E794A"/>
    <w:rsid w:val="448453A3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DC86833"/>
    <w:rsid w:val="4E252DB9"/>
    <w:rsid w:val="4F8000E2"/>
    <w:rsid w:val="5073301F"/>
    <w:rsid w:val="51606BFC"/>
    <w:rsid w:val="545424E6"/>
    <w:rsid w:val="54D55BDE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163086B"/>
    <w:rsid w:val="6383212C"/>
    <w:rsid w:val="64D91FD4"/>
    <w:rsid w:val="65E0558A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E6A3208"/>
    <w:rsid w:val="6FB24951"/>
    <w:rsid w:val="6FD827A7"/>
    <w:rsid w:val="70BD626C"/>
    <w:rsid w:val="726C3FD1"/>
    <w:rsid w:val="73397D17"/>
    <w:rsid w:val="73815F40"/>
    <w:rsid w:val="73E223A7"/>
    <w:rsid w:val="74154AF0"/>
    <w:rsid w:val="75EC1E21"/>
    <w:rsid w:val="76B77724"/>
    <w:rsid w:val="76D832CD"/>
    <w:rsid w:val="7A601D17"/>
    <w:rsid w:val="7A7973A8"/>
    <w:rsid w:val="7B0C0998"/>
    <w:rsid w:val="7BAA0A78"/>
    <w:rsid w:val="7C5031A0"/>
    <w:rsid w:val="7DB9735D"/>
    <w:rsid w:val="7DE467BB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3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1087</Words>
  <Characters>1330</Characters>
  <Lines>3</Lines>
  <Paragraphs>1</Paragraphs>
  <TotalTime>0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2025-08-06T08:56:00Z</dcterms:created>
  <dc:creator>jw</dc:creator>
  <cp:lastModifiedBy>董丽莉</cp:lastModifiedBy>
  <cp:lastPrinted>2026-02-13T04:35:42Z</cp:lastPrinted>
  <dcterms:modified xsi:type="dcterms:W3CDTF">2026-02-13T04:35:46Z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BFCEC26323E44AA2A0E8619B7F2C1E37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