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55E1E">
      <w:pPr>
        <w:overflowPunct w:val="0"/>
        <w:adjustRightInd/>
        <w:spacing w:line="240" w:lineRule="auto"/>
        <w:rPr>
          <w:rFonts w:ascii="方正仿宋_GBK" w:hAnsi="方正仿宋_GBK" w:cs="方正仿宋_GBK"/>
          <w:bCs/>
          <w:i w:val="0"/>
          <w:iCs w:val="0"/>
        </w:rPr>
      </w:pPr>
    </w:p>
    <w:p w14:paraId="4308993F">
      <w:pPr>
        <w:overflowPunct w:val="0"/>
        <w:adjustRightInd/>
        <w:spacing w:line="240" w:lineRule="auto"/>
        <w:rPr>
          <w:rFonts w:ascii="方正仿宋_GBK" w:hAnsi="方正仿宋_GBK" w:cs="方正仿宋_GBK"/>
          <w:bCs/>
          <w:i w:val="0"/>
          <w:iCs w:val="0"/>
        </w:rPr>
      </w:pPr>
    </w:p>
    <w:p w14:paraId="474B7692">
      <w:pPr>
        <w:overflowPunct w:val="0"/>
        <w:adjustRightInd/>
        <w:spacing w:line="240" w:lineRule="auto"/>
        <w:rPr>
          <w:rFonts w:ascii="方正仿宋_GBK" w:hAnsi="方正仿宋_GBK" w:cs="方正仿宋_GBK"/>
          <w:bCs/>
          <w:i w:val="0"/>
          <w:iCs w:val="0"/>
        </w:rPr>
      </w:pPr>
    </w:p>
    <w:p w14:paraId="1FEE5A1D">
      <w:pPr>
        <w:overflowPunct w:val="0"/>
        <w:adjustRightInd/>
        <w:spacing w:line="240" w:lineRule="auto"/>
        <w:rPr>
          <w:bCs/>
          <w:i w:val="0"/>
          <w:iCs w:val="0"/>
        </w:rPr>
      </w:pPr>
    </w:p>
    <w:p w14:paraId="086C0281">
      <w:pPr>
        <w:overflowPunct w:val="0"/>
        <w:adjustRightInd/>
        <w:spacing w:line="240" w:lineRule="auto"/>
        <w:rPr>
          <w:bCs/>
          <w:i w:val="0"/>
          <w:iCs w:val="0"/>
        </w:rPr>
      </w:pPr>
      <w:r>
        <w:rPr>
          <w:bCs/>
          <w:i w:val="0"/>
          <w:iCs w:val="0"/>
        </w:rPr>
        <w:pict>
          <v:shape id="_x0000_s1032" o:spid="_x0000_s1032" o:spt="136" type="#_x0000_t136" style="position:absolute;left:0pt;margin-left:7.75pt;margin-top:4.8pt;height:53.85pt;width:425.2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0B00AF82">
      <w:pPr>
        <w:overflowPunct w:val="0"/>
        <w:adjustRightInd/>
        <w:spacing w:line="240" w:lineRule="auto"/>
        <w:jc w:val="center"/>
        <w:rPr>
          <w:rFonts w:eastAsia="宋体"/>
          <w:i w:val="0"/>
          <w:iCs w:val="0"/>
          <w:kern w:val="2"/>
        </w:rPr>
      </w:pPr>
    </w:p>
    <w:p w14:paraId="09B59DB7">
      <w:pPr>
        <w:overflowPunct w:val="0"/>
        <w:adjustRightInd/>
        <w:spacing w:line="240" w:lineRule="auto"/>
        <w:rPr>
          <w:bCs/>
          <w:i w:val="0"/>
          <w:iCs w:val="0"/>
        </w:rPr>
      </w:pPr>
    </w:p>
    <w:p w14:paraId="2C53E525">
      <w:pPr>
        <w:adjustRightInd/>
        <w:spacing w:line="240" w:lineRule="auto"/>
        <w:jc w:val="center"/>
        <w:rPr>
          <w:i w:val="0"/>
          <w:iCs w:val="0"/>
        </w:rPr>
      </w:pPr>
    </w:p>
    <w:p w14:paraId="71650508">
      <w:pPr>
        <w:tabs>
          <w:tab w:val="left" w:pos="2270"/>
          <w:tab w:val="center" w:pos="4482"/>
        </w:tabs>
        <w:adjustRightInd/>
        <w:spacing w:line="240" w:lineRule="auto"/>
        <w:jc w:val="left"/>
        <w:rPr>
          <w:rFonts w:eastAsia="宋体"/>
          <w:bCs/>
          <w:i w:val="0"/>
          <w:iCs w:val="0"/>
        </w:rPr>
      </w:pPr>
      <w:r>
        <w:rPr>
          <w:i w:val="0"/>
          <w:iCs w:val="0"/>
        </w:rPr>
        <w:pict>
          <v:rect id="_x0000_s1026" o:spid="_x0000_s1026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7480E1FE">
                  <w:pPr>
                    <w:jc w:val="center"/>
                  </w:pPr>
                </w:p>
              </w:txbxContent>
            </v:textbox>
          </v:rect>
        </w:pict>
      </w:r>
      <w:bookmarkStart w:id="0" w:name="approveNum"/>
      <w:r>
        <w:rPr>
          <w:rFonts w:hint="eastAsia"/>
          <w:i w:val="0"/>
          <w:iCs w:val="0"/>
          <w:lang w:eastAsia="zh-CN"/>
        </w:rPr>
        <w:tab/>
      </w: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76</w:t>
      </w:r>
      <w:r>
        <w:rPr>
          <w:rFonts w:ascii="方正仿宋_GBK" w:hAnsi="方正仿宋_GBK" w:cs="方正仿宋_GBK"/>
          <w:i w:val="0"/>
          <w:iCs w:val="0"/>
        </w:rPr>
        <w:t>号</w:t>
      </w:r>
      <w:bookmarkEnd w:id="0"/>
    </w:p>
    <w:p w14:paraId="255C8D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5" w:lineRule="exact"/>
        <w:jc w:val="both"/>
        <w:textAlignment w:val="auto"/>
        <w:rPr>
          <w:rFonts w:eastAsia="方正小标宋_GBK"/>
          <w:i w:val="0"/>
          <w:iCs w:val="0"/>
          <w:kern w:val="2"/>
          <w:sz w:val="44"/>
          <w:szCs w:val="44"/>
        </w:rPr>
      </w:pPr>
    </w:p>
    <w:p w14:paraId="3FB40F67">
      <w:pPr>
        <w:pStyle w:val="2"/>
      </w:pPr>
    </w:p>
    <w:p w14:paraId="6704FF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ascii="Times New Roman" w:hAnsi="Times New Roman" w:eastAsia="方正小标宋_GBK" w:cs="Times New Roman"/>
          <w:i w:val="0"/>
          <w:iCs w:val="0"/>
          <w:kern w:val="2"/>
          <w:sz w:val="44"/>
          <w:szCs w:val="44"/>
        </w:rPr>
      </w:pPr>
      <w:bookmarkStart w:id="1" w:name="approveUnit"/>
      <w:r>
        <w:rPr>
          <w:rFonts w:ascii="Times New Roman" w:hAnsi="Times New Roman" w:eastAsia="方正小标宋_GBK" w:cs="Times New Roman"/>
          <w:i w:val="0"/>
          <w:iCs w:val="0"/>
          <w:kern w:val="2"/>
          <w:sz w:val="44"/>
          <w:szCs w:val="44"/>
        </w:rPr>
        <w:t>重庆市</w:t>
      </w:r>
      <w:r>
        <w:rPr>
          <w:rFonts w:hint="eastAsia" w:ascii="Times New Roman" w:hAnsi="Times New Roman" w:eastAsia="方正小标宋_GBK" w:cs="Times New Roman"/>
          <w:i w:val="0"/>
          <w:iCs w:val="0"/>
          <w:kern w:val="2"/>
          <w:sz w:val="44"/>
          <w:szCs w:val="44"/>
          <w:lang w:val="en-US" w:eastAsia="zh-CN"/>
        </w:rPr>
        <w:t>黔江区</w:t>
      </w:r>
      <w:r>
        <w:rPr>
          <w:rFonts w:ascii="Times New Roman" w:hAnsi="Times New Roman" w:eastAsia="方正小标宋_GBK" w:cs="Times New Roman"/>
          <w:i w:val="0"/>
          <w:iCs w:val="0"/>
          <w:kern w:val="2"/>
          <w:sz w:val="44"/>
          <w:szCs w:val="44"/>
        </w:rPr>
        <w:t>发展和改革委员会</w:t>
      </w:r>
      <w:bookmarkEnd w:id="1"/>
    </w:p>
    <w:p w14:paraId="52AFAA2F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5" w:lineRule="exact"/>
        <w:jc w:val="center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val="en-US" w:eastAsia="zh-CN"/>
        </w:rPr>
        <w:t>黔江老城区污水管网改造提升项目</w:t>
      </w:r>
    </w:p>
    <w:p w14:paraId="1A4D2AA6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5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可行性研究报告</w:t>
      </w:r>
      <w:r>
        <w:rPr>
          <w:rFonts w:eastAsia="方正小标宋_GBK"/>
          <w:sz w:val="44"/>
          <w:szCs w:val="44"/>
        </w:rPr>
        <w:t>的批复</w:t>
      </w:r>
    </w:p>
    <w:p w14:paraId="2EBB312F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5" w:lineRule="exact"/>
        <w:rPr>
          <w:szCs w:val="32"/>
        </w:rPr>
      </w:pPr>
    </w:p>
    <w:p w14:paraId="5B3FB35A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5" w:lineRule="exact"/>
        <w:rPr>
          <w:rFonts w:hint="eastAsia" w:ascii="方正仿宋_GBK" w:hAnsi="方正仿宋_GBK" w:eastAsia="方正仿宋_GBK" w:cs="方正仿宋_GBK"/>
          <w:szCs w:val="32"/>
          <w:lang w:eastAsia="zh-CN"/>
        </w:rPr>
      </w:pPr>
      <w:r>
        <w:rPr>
          <w:rFonts w:hint="eastAsia" w:eastAsia="方正仿宋_GBK"/>
          <w:sz w:val="32"/>
          <w:szCs w:val="32"/>
        </w:rPr>
        <w:t>重庆市枳丹石城市建设开发有限公司</w:t>
      </w:r>
      <w:r>
        <w:rPr>
          <w:rFonts w:eastAsia="方正仿宋_GBK"/>
          <w:sz w:val="32"/>
          <w:szCs w:val="32"/>
        </w:rPr>
        <w:t>：</w:t>
      </w:r>
    </w:p>
    <w:p w14:paraId="5B455876">
      <w:pPr>
        <w:pStyle w:val="4"/>
        <w:keepNext w:val="0"/>
        <w:keepLines w:val="0"/>
        <w:pageBreakBefore w:val="0"/>
        <w:widowControl w:val="0"/>
        <w:kinsoku/>
        <w:wordWrap/>
        <w:topLinePunct w:val="0"/>
        <w:bidi w:val="0"/>
        <w:spacing w:line="575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  <w:lang w:eastAsia="zh-CN"/>
        </w:rPr>
        <w:t>你单位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经由区住房城乡建委转报的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《关于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转报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黔江老城区污水管网改造提升项目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可行性研究报告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审查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的函</w:t>
      </w:r>
      <w:r>
        <w:rPr>
          <w:rFonts w:hint="default" w:ascii="Times New Roman" w:hAnsi="Times New Roman" w:eastAsia="方正仿宋_GBK" w:cs="Times New Roman"/>
          <w:szCs w:val="32"/>
        </w:rPr>
        <w:t>》（枳丹石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函</w:t>
      </w:r>
      <w:r>
        <w:rPr>
          <w:rFonts w:hint="default" w:ascii="Times New Roman" w:hAnsi="Times New Roman" w:eastAsia="方正小标宋_GBK" w:cs="Times New Roman"/>
          <w:szCs w:val="32"/>
        </w:rPr>
        <w:t>〔</w:t>
      </w:r>
      <w:r>
        <w:rPr>
          <w:rFonts w:hint="default" w:ascii="Times New Roman" w:hAnsi="Times New Roman" w:eastAsia="方正仿宋_GBK" w:cs="Times New Roman"/>
          <w:szCs w:val="32"/>
        </w:rPr>
        <w:t>202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Cs w:val="32"/>
        </w:rPr>
        <w:t>〕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Cs w:val="32"/>
        </w:rPr>
        <w:t>号）收悉。经研究，同意实施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黔江老城区污水管网改造提升项目</w:t>
      </w:r>
      <w:r>
        <w:rPr>
          <w:rFonts w:hint="default" w:ascii="Times New Roman" w:hAnsi="Times New Roman" w:eastAsia="方正仿宋_GBK" w:cs="Times New Roman"/>
          <w:szCs w:val="32"/>
        </w:rPr>
        <w:t>（项目代码：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2503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500114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04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01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102529</w:t>
      </w:r>
      <w:r>
        <w:rPr>
          <w:rFonts w:hint="default" w:ascii="Times New Roman" w:hAnsi="Times New Roman" w:eastAsia="方正仿宋_GBK" w:cs="Times New Roman"/>
          <w:szCs w:val="32"/>
        </w:rPr>
        <w:t>）。现将项目可行性研究报告批复如下：</w:t>
      </w:r>
    </w:p>
    <w:p w14:paraId="74C293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 w:val="0"/>
        <w:autoSpaceDN w:val="0"/>
        <w:bidi w:val="0"/>
        <w:adjustRightInd w:val="0"/>
        <w:snapToGrid w:val="0"/>
        <w:spacing w:line="575" w:lineRule="exact"/>
        <w:ind w:firstLine="632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一、项目业主：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重庆市枳丹石城市建设开发有限公司</w:t>
      </w:r>
    </w:p>
    <w:p w14:paraId="4BD443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632" w:firstLineChars="200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、建设地点：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黔江区老城区</w:t>
      </w:r>
    </w:p>
    <w:p w14:paraId="4E028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、主要建设内容及规模：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重庆市黔江区老城区改造污水管网，新建管网18.26公里，改造管网7.0公里，主要建设内容：新建DN300污水管网3.00km</w:t>
      </w: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其中DN400污水管网7.93km</w:t>
      </w: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DN500污水管网0.35km</w:t>
      </w: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DN600污水管网2.74km</w:t>
      </w: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DN800污水管网2.19km</w:t>
      </w: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DN1000污水管网1.33km</w:t>
      </w: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DN1200管网0.59km</w:t>
      </w: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DN1400污水管网0.13km,配套</w:t>
      </w:r>
      <w:r>
        <w:rPr>
          <w:rFonts w:hint="eastAsia" w:ascii="Times New Roman" w:hAnsi="Times New Roman" w:cs="Times New Roman"/>
          <w:spacing w:val="0"/>
          <w:sz w:val="32"/>
          <w:szCs w:val="32"/>
          <w:highlight w:val="none"/>
          <w:lang w:val="en-US" w:eastAsia="zh-CN"/>
        </w:rPr>
        <w:t>建设检查井620座；更新修复老旧破损污水管网7.0公里，管径DN300，配套建设检查井、跌水井等附属构建物。</w:t>
      </w:r>
    </w:p>
    <w:p w14:paraId="6CA648D3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5" w:lineRule="exact"/>
        <w:ind w:firstLine="632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、建设工期：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个月。</w:t>
      </w:r>
    </w:p>
    <w:p w14:paraId="4D8B8A61"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line="575" w:lineRule="exact"/>
        <w:ind w:firstLine="632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五、项目总投资及资金来源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：项目总投资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12209.74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万元，其中：工程费用10724.43万元，工程建设其他费用903.89万元，预备费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581.42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万元。资金来源为申请国市补助资金，不足部分由业主自筹。</w:t>
      </w:r>
    </w:p>
    <w:p w14:paraId="11013797"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line="575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、招标核准：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本项目的招标范围为工程施工，勘察、设计、监理等与工程建设有关的服务，以及与工程建设有关的重要设备、材料的采购等。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按照招标投标法相关规定，依法必须招标的，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招标方式为公开招标，招标组织形式为委托招标。招标公告在指定媒介公开发布。</w:t>
      </w:r>
    </w:p>
    <w:p w14:paraId="7852C73A"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line="575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七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、有关事项：</w:t>
      </w:r>
      <w:r>
        <w:rPr>
          <w:rFonts w:hint="eastAsia" w:ascii="Times New Roman" w:hAnsi="Times New Roman" w:eastAsia="方正仿宋_GBK"/>
          <w:sz w:val="32"/>
          <w:szCs w:val="32"/>
        </w:rPr>
        <w:t>请你单位根据本批复，结合项目可行性研究报告评估意见，进一步深化初步设计等前期工作，及时将投资概算报送我委审批。要严格执行项目法人责任制、招标投标制、工程监理制、合同管理制，严格控制工程投资标准，防止工程超概。</w:t>
      </w:r>
    </w:p>
    <w:p w14:paraId="02547AB0"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line="575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700F1E33"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line="575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</w:t>
      </w:r>
      <w:r>
        <w:rPr>
          <w:rFonts w:hint="eastAsia" w:ascii="Times New Roman" w:hAnsi="Times New Roman"/>
          <w:sz w:val="32"/>
          <w:szCs w:val="32"/>
          <w:lang w:eastAsia="zh-CN"/>
        </w:rPr>
        <w:t>黔江老城区污水管网改造提升项目</w:t>
      </w:r>
      <w:r>
        <w:rPr>
          <w:rFonts w:hint="eastAsia" w:ascii="Times New Roman" w:hAnsi="Times New Roman" w:eastAsia="方正仿宋_GBK"/>
          <w:sz w:val="32"/>
          <w:szCs w:val="32"/>
        </w:rPr>
        <w:t>投资估算审核表</w:t>
      </w:r>
    </w:p>
    <w:p w14:paraId="552CB0BF"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line="575" w:lineRule="exact"/>
        <w:rPr>
          <w:rFonts w:hint="eastAsia" w:ascii="Times New Roman" w:hAnsi="Times New Roman" w:eastAsia="方正仿宋_GBK"/>
          <w:sz w:val="32"/>
          <w:szCs w:val="32"/>
        </w:rPr>
      </w:pPr>
    </w:p>
    <w:p w14:paraId="075968FE">
      <w:pPr>
        <w:pStyle w:val="13"/>
        <w:keepNext w:val="0"/>
        <w:keepLines w:val="0"/>
        <w:pageBreakBefore w:val="0"/>
        <w:widowControl w:val="0"/>
        <w:kinsoku/>
        <w:wordWrap/>
        <w:topLinePunct w:val="0"/>
        <w:bidi w:val="0"/>
        <w:spacing w:line="575" w:lineRule="exact"/>
      </w:pPr>
    </w:p>
    <w:p w14:paraId="358A3A9A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5" w:lineRule="exact"/>
        <w:ind w:firstLine="3476" w:firstLineChars="11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重庆市黔江区发展和改革委员会</w:t>
      </w:r>
    </w:p>
    <w:p w14:paraId="4847F139">
      <w:pPr>
        <w:pStyle w:val="4"/>
        <w:keepNext w:val="0"/>
        <w:keepLines w:val="0"/>
        <w:pageBreakBefore w:val="0"/>
        <w:widowControl w:val="0"/>
        <w:kinsoku/>
        <w:wordWrap/>
        <w:topLinePunct w:val="0"/>
        <w:bidi w:val="0"/>
        <w:spacing w:line="575" w:lineRule="exact"/>
        <w:ind w:firstLine="632" w:firstLineChars="200"/>
      </w:pPr>
      <w:r>
        <w:rPr>
          <w:rFonts w:eastAsia="方正仿宋_GBK"/>
          <w:szCs w:val="32"/>
        </w:rPr>
        <w:t xml:space="preserve">                </w:t>
      </w:r>
      <w:r>
        <w:rPr>
          <w:rFonts w:hint="eastAsia" w:eastAsia="方正仿宋_GBK"/>
          <w:szCs w:val="32"/>
        </w:rPr>
        <w:t xml:space="preserve">        202</w:t>
      </w:r>
      <w:r>
        <w:rPr>
          <w:rFonts w:hint="eastAsia" w:eastAsia="方正仿宋_GBK"/>
          <w:szCs w:val="32"/>
          <w:lang w:val="en-US" w:eastAsia="zh-CN"/>
        </w:rPr>
        <w:t>6</w:t>
      </w:r>
      <w:r>
        <w:rPr>
          <w:rFonts w:eastAsia="方正仿宋_GBK"/>
        </w:rPr>
        <w:t>年</w:t>
      </w:r>
      <w:r>
        <w:rPr>
          <w:rFonts w:hint="eastAsia" w:eastAsia="方正仿宋_GBK"/>
          <w:lang w:val="en-US" w:eastAsia="zh-CN"/>
        </w:rPr>
        <w:t>2</w:t>
      </w:r>
      <w:r>
        <w:rPr>
          <w:rFonts w:eastAsia="方正仿宋_GBK"/>
        </w:rPr>
        <w:t>月</w:t>
      </w:r>
      <w:r>
        <w:rPr>
          <w:rFonts w:hint="eastAsia" w:eastAsia="方正仿宋_GBK"/>
          <w:lang w:val="en-US" w:eastAsia="zh-CN"/>
        </w:rPr>
        <w:t>13</w:t>
      </w:r>
      <w:r>
        <w:rPr>
          <w:rFonts w:eastAsia="方正仿宋_GBK"/>
        </w:rPr>
        <w:t>日</w:t>
      </w:r>
    </w:p>
    <w:p w14:paraId="4F1D0E0D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55950CBE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619E74E0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15333CFF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6D04A3E0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22D862DA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6E21B9C2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7A34C91E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6AFF213F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2F9F429F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29C52894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4284823C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4789D2F3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571E9CA6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3AB41B99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76E3584F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622DEFBF">
      <w:pPr>
        <w:pStyle w:val="2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23FEE898">
      <w:pPr>
        <w:pStyle w:val="2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5C34C2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jc w:val="left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7205C196">
      <w:pPr>
        <w:pStyle w:val="2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 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黔江区老城区污水管网改造提升项目投资估算表</w:t>
      </w:r>
    </w:p>
    <w:p w14:paraId="43B486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8"/>
        <w:tblW w:w="9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5274"/>
        <w:gridCol w:w="2730"/>
      </w:tblGrid>
      <w:tr w14:paraId="4CBC9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9C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9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5446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审定金额（万元）</w:t>
            </w:r>
          </w:p>
        </w:tc>
      </w:tr>
      <w:tr w14:paraId="5C07A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26E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楷体_GBK" w:hAnsi="宋体" w:eastAsia="方正楷体_GBK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7DAB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楷体_GBK" w:hAnsi="宋体" w:eastAsia="方正楷体_GBK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AB0B1C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楷体_GBK" w:hAnsi="宋体" w:eastAsia="方正楷体_GBK" w:cs="宋体"/>
                <w:b/>
                <w:bCs/>
                <w:i w:val="0"/>
                <w:iCs w:val="0"/>
                <w:color w:val="000000"/>
                <w:sz w:val="24"/>
                <w:szCs w:val="20"/>
                <w:u w:val="none"/>
              </w:rPr>
            </w:pPr>
          </w:p>
        </w:tc>
      </w:tr>
      <w:tr w14:paraId="7568B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2F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4F2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F9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10724.43</w:t>
            </w:r>
          </w:p>
        </w:tc>
      </w:tr>
      <w:tr w14:paraId="1DEA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A3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7998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黔江老城区污水管网改造提升项目</w:t>
            </w: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9AB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4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6C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52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C8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90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903.89</w:t>
            </w:r>
          </w:p>
        </w:tc>
      </w:tr>
      <w:tr w14:paraId="31BA2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28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4BEE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74E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53.62</w:t>
            </w:r>
          </w:p>
        </w:tc>
      </w:tr>
      <w:tr w14:paraId="0DC6B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3F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5770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项目建设管理费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7E8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162.10</w:t>
            </w:r>
          </w:p>
        </w:tc>
      </w:tr>
      <w:tr w14:paraId="144E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DD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B175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07C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147.46</w:t>
            </w:r>
          </w:p>
        </w:tc>
      </w:tr>
      <w:tr w14:paraId="04DBB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37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7A18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44C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21.64</w:t>
            </w:r>
          </w:p>
        </w:tc>
      </w:tr>
      <w:tr w14:paraId="54CC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50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FD99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招标交易费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E89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E5B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63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CA34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可行性研究费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195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30.72</w:t>
            </w:r>
          </w:p>
        </w:tc>
      </w:tr>
      <w:tr w14:paraId="0FF0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129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E8F4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工程勘察设计费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3FA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268.11</w:t>
            </w:r>
          </w:p>
        </w:tc>
      </w:tr>
      <w:tr w14:paraId="4A6DD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DF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39BC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施工图审查费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8A3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21.45</w:t>
            </w:r>
          </w:p>
        </w:tc>
      </w:tr>
      <w:tr w14:paraId="042C2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B5A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2C48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工程造价咨询费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261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105.18</w:t>
            </w:r>
          </w:p>
        </w:tc>
      </w:tr>
      <w:tr w14:paraId="59343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E0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61F4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环境影响评价费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162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7.82</w:t>
            </w:r>
          </w:p>
        </w:tc>
      </w:tr>
      <w:tr w14:paraId="22531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E4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F774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E21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32.17</w:t>
            </w:r>
          </w:p>
        </w:tc>
      </w:tr>
      <w:tr w14:paraId="113B8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0A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楷体_GBK" w:hAnsi="Times New Roman" w:eastAsia="方正楷体_GBK" w:cs="Times New Roman"/>
                <w:b w:val="0"/>
                <w:bCs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方正楷体_GBK" w:hAnsi="Times New Roman" w:eastAsia="方正楷体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B719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仿宋_GBK" w:eastAsia="方正楷体_GBK" w:cs="方正仿宋_GBK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仿宋_GBK" w:eastAsia="方正楷体_GBK" w:cs="方正仿宋_GBK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安全生产保障费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FF0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53.62</w:t>
            </w:r>
          </w:p>
        </w:tc>
      </w:tr>
      <w:tr w14:paraId="3B155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EC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第一、二部分费用总和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6D5F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11628.32</w:t>
            </w:r>
          </w:p>
        </w:tc>
      </w:tr>
      <w:tr w14:paraId="3095A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8F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65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EA4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581.42</w:t>
            </w:r>
          </w:p>
        </w:tc>
      </w:tr>
      <w:tr w14:paraId="46F0C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77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1D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估算总投资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A85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12209.74</w:t>
            </w:r>
          </w:p>
        </w:tc>
      </w:tr>
    </w:tbl>
    <w:p w14:paraId="69CD2B7B">
      <w:pPr>
        <w:pStyle w:val="2"/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43DF93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6DFD7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lang w:eastAsia="zh-CN"/>
        </w:rPr>
      </w:pPr>
    </w:p>
    <w:p w14:paraId="5BACFF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7DFBFC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lang w:eastAsia="zh-CN"/>
        </w:rPr>
      </w:pPr>
    </w:p>
    <w:p w14:paraId="327B7A2F">
      <w:pPr>
        <w:pStyle w:val="2"/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61404EB8">
      <w:pPr>
        <w:pStyle w:val="2"/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4C93E495">
      <w:pPr>
        <w:pStyle w:val="2"/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2" w:name="_GoBack"/>
      <w:bookmarkEnd w:id="2"/>
    </w:p>
    <w:p w14:paraId="6BFC73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793EB0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lang w:eastAsia="zh-CN"/>
        </w:rPr>
      </w:pPr>
    </w:p>
    <w:p w14:paraId="2E044FFF">
      <w:pPr>
        <w:spacing w:line="440" w:lineRule="exact"/>
        <w:ind w:left="-319" w:leftChars="-101" w:right="-290" w:rightChars="-92"/>
        <w:rPr>
          <w:rFonts w:hint="eastAsia" w:eastAsia="方正仿宋_GBK"/>
          <w:sz w:val="28"/>
          <w:szCs w:val="28"/>
          <w:u w:val="single"/>
        </w:rPr>
      </w:pPr>
      <w:r>
        <w:rPr>
          <w:rFonts w:hint="eastAsia" w:eastAsia="方正黑体_GBK"/>
          <w:sz w:val="32"/>
          <w:szCs w:val="32"/>
          <w:u w:val="thick"/>
        </w:rPr>
        <w:t xml:space="preserve">                  </w:t>
      </w:r>
      <w:r>
        <w:rPr>
          <w:rFonts w:eastAsia="方正小标宋_GBK"/>
          <w:sz w:val="32"/>
          <w:szCs w:val="32"/>
          <w:u w:val="thick"/>
        </w:rPr>
        <w:t xml:space="preserve">                                           </w:t>
      </w:r>
    </w:p>
    <w:p w14:paraId="2D4D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-319" w:leftChars="-101" w:right="-290" w:rightChars="-92"/>
        <w:textAlignment w:val="baseline"/>
        <w:rPr>
          <w:rFonts w:hint="default" w:eastAsia="方正仿宋_GBK"/>
          <w:sz w:val="28"/>
          <w:szCs w:val="28"/>
          <w:u w:val="thick"/>
          <w:lang w:val="en-US" w:eastAsia="zh-CN"/>
        </w:rPr>
      </w:pPr>
      <w:r>
        <w:rPr>
          <w:rFonts w:hint="eastAsia" w:eastAsia="方正仿宋_GBK"/>
          <w:sz w:val="28"/>
          <w:szCs w:val="28"/>
          <w:u w:val="single"/>
        </w:rPr>
        <w:t xml:space="preserve">  抄送：区纪委监委、区财政局、区审计局</w:t>
      </w:r>
      <w:r>
        <w:rPr>
          <w:rFonts w:hint="eastAsia"/>
          <w:sz w:val="28"/>
          <w:szCs w:val="28"/>
          <w:u w:val="single"/>
          <w:lang w:eastAsia="zh-CN"/>
        </w:rPr>
        <w:t>、区住房城乡建委</w:t>
      </w:r>
      <w:r>
        <w:rPr>
          <w:rFonts w:hint="eastAsia" w:eastAsia="方正仿宋_GBK"/>
          <w:sz w:val="28"/>
          <w:szCs w:val="28"/>
          <w:u w:val="single"/>
        </w:rPr>
        <w:t xml:space="preserve">。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eastAsia="方正仿宋_GBK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p w14:paraId="2EC04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-319" w:leftChars="-101" w:right="-290" w:rightChars="-92"/>
        <w:textAlignment w:val="baseline"/>
        <w:rPr>
          <w:i w:val="0"/>
          <w:iCs w:val="0"/>
          <w:sz w:val="28"/>
          <w:szCs w:val="28"/>
        </w:rPr>
      </w:pPr>
      <w:r>
        <w:rPr>
          <w:rFonts w:hint="eastAsia" w:eastAsia="方正仿宋_GBK"/>
          <w:sz w:val="28"/>
          <w:szCs w:val="28"/>
          <w:u w:val="thick"/>
        </w:rPr>
        <w:t xml:space="preserve"> </w:t>
      </w:r>
      <w:r>
        <w:rPr>
          <w:rFonts w:hint="eastAsia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eastAsia="方正仿宋_GBK"/>
          <w:sz w:val="28"/>
          <w:szCs w:val="28"/>
          <w:u w:val="thick"/>
        </w:rPr>
        <w:t>重庆市</w:t>
      </w:r>
      <w:r>
        <w:rPr>
          <w:rFonts w:eastAsia="方正仿宋_GBK"/>
          <w:sz w:val="28"/>
          <w:szCs w:val="28"/>
          <w:u w:val="thick"/>
        </w:rPr>
        <w:t xml:space="preserve">黔江区发展和改革委员会办公室  </w:t>
      </w:r>
      <w:r>
        <w:rPr>
          <w:rFonts w:hint="eastAsia" w:eastAsia="方正仿宋_GBK"/>
          <w:sz w:val="28"/>
          <w:szCs w:val="28"/>
          <w:u w:val="thick"/>
        </w:rPr>
        <w:t xml:space="preserve"> </w:t>
      </w:r>
      <w:r>
        <w:rPr>
          <w:rFonts w:eastAsia="方正仿宋_GBK"/>
          <w:sz w:val="28"/>
          <w:szCs w:val="28"/>
          <w:u w:val="thick"/>
        </w:rPr>
        <w:t xml:space="preserve"> </w:t>
      </w:r>
      <w:r>
        <w:rPr>
          <w:rFonts w:hint="eastAsia" w:eastAsia="方正仿宋_GBK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eastAsia="方正仿宋_GBK"/>
          <w:sz w:val="28"/>
          <w:szCs w:val="28"/>
          <w:u w:val="thick"/>
          <w:lang w:val="en-US" w:eastAsia="zh-CN"/>
        </w:rPr>
        <w:t xml:space="preserve">  </w:t>
      </w:r>
      <w:r>
        <w:rPr>
          <w:rFonts w:eastAsia="方正仿宋_GBK"/>
          <w:sz w:val="28"/>
          <w:szCs w:val="28"/>
          <w:u w:val="thick"/>
        </w:rPr>
        <w:t xml:space="preserve">  </w:t>
      </w:r>
      <w:r>
        <w:rPr>
          <w:rFonts w:hint="eastAsia" w:eastAsia="方正仿宋_GBK"/>
          <w:sz w:val="28"/>
          <w:szCs w:val="28"/>
          <w:u w:val="thick"/>
        </w:rPr>
        <w:t xml:space="preserve"> </w:t>
      </w:r>
      <w:r>
        <w:rPr>
          <w:rFonts w:eastAsia="方正仿宋_GBK"/>
          <w:sz w:val="28"/>
          <w:szCs w:val="28"/>
          <w:u w:val="thick"/>
        </w:rPr>
        <w:t>20</w:t>
      </w:r>
      <w:r>
        <w:rPr>
          <w:rFonts w:hint="eastAsia" w:eastAsia="方正仿宋_GBK"/>
          <w:sz w:val="28"/>
          <w:szCs w:val="28"/>
          <w:u w:val="thick"/>
        </w:rPr>
        <w:t>2</w:t>
      </w:r>
      <w:r>
        <w:rPr>
          <w:rFonts w:hint="eastAsia" w:eastAsia="方正仿宋_GBK"/>
          <w:sz w:val="28"/>
          <w:szCs w:val="28"/>
          <w:u w:val="thick"/>
          <w:lang w:val="en-US" w:eastAsia="zh-CN"/>
        </w:rPr>
        <w:t>6</w:t>
      </w:r>
      <w:r>
        <w:rPr>
          <w:rFonts w:eastAsia="方正仿宋_GBK"/>
          <w:sz w:val="28"/>
          <w:szCs w:val="28"/>
          <w:u w:val="thick"/>
        </w:rPr>
        <w:t>年</w:t>
      </w:r>
      <w:r>
        <w:rPr>
          <w:rFonts w:hint="eastAsia"/>
          <w:sz w:val="28"/>
          <w:szCs w:val="28"/>
          <w:u w:val="thick"/>
          <w:lang w:val="en-US" w:eastAsia="zh-CN"/>
        </w:rPr>
        <w:t>2</w:t>
      </w:r>
      <w:r>
        <w:rPr>
          <w:rFonts w:eastAsia="方正仿宋_GBK"/>
          <w:sz w:val="28"/>
          <w:szCs w:val="28"/>
          <w:u w:val="thick"/>
        </w:rPr>
        <w:t>月</w:t>
      </w:r>
      <w:r>
        <w:rPr>
          <w:rFonts w:hint="eastAsia"/>
          <w:sz w:val="28"/>
          <w:szCs w:val="28"/>
          <w:u w:val="thick"/>
          <w:lang w:val="en-US" w:eastAsia="zh-CN"/>
        </w:rPr>
        <w:t>13</w:t>
      </w:r>
      <w:r>
        <w:rPr>
          <w:rFonts w:eastAsia="方正仿宋_GBK"/>
          <w:sz w:val="28"/>
          <w:szCs w:val="28"/>
          <w:u w:val="thick"/>
        </w:rPr>
        <w:t>日印发</w:t>
      </w:r>
      <w:r>
        <w:rPr>
          <w:rFonts w:hint="eastAsia" w:eastAsia="方正仿宋_GBK"/>
          <w:sz w:val="28"/>
          <w:szCs w:val="28"/>
          <w:u w:val="thick"/>
        </w:rPr>
        <w:t xml:space="preserve"> </w:t>
      </w:r>
      <w:r>
        <w:rPr>
          <w:rFonts w:eastAsia="方正仿宋_GBK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531" w:bottom="1984" w:left="1531" w:header="851" w:footer="1417" w:gutter="0"/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F11A6B3-447A-4BA0-B5BE-5DD45660BA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A88A912-5AAB-4FF9-839B-9CA5BE9B361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FA2D112-2580-488D-A36B-87C27A4A70C2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4AB306D-9DAE-45AC-A8FC-6D50676573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B309F">
    <w:pPr>
      <w:jc w:val="right"/>
      <w:rPr>
        <w:rFonts w:eastAsia="Times New Roman"/>
        <w:sz w:val="18"/>
      </w:rPr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A588679">
                <w:pPr>
                  <w:pStyle w:val="6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eastAsia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Fonts w:eastAsia="宋体"/>
                    <w:sz w:val="28"/>
                    <w:szCs w:val="28"/>
                  </w:rPr>
                  <w:t>1</w:t>
                </w:r>
                <w:r>
                  <w:rPr>
                    <w:rFonts w:eastAsia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7FDB9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5989"/>
    <w:rsid w:val="00050FA0"/>
    <w:rsid w:val="00096BAE"/>
    <w:rsid w:val="000A01FB"/>
    <w:rsid w:val="000B24F9"/>
    <w:rsid w:val="000B4A22"/>
    <w:rsid w:val="000C0BF7"/>
    <w:rsid w:val="000C2FB2"/>
    <w:rsid w:val="000C6B28"/>
    <w:rsid w:val="000D0B4C"/>
    <w:rsid w:val="000F25BF"/>
    <w:rsid w:val="001005AC"/>
    <w:rsid w:val="001024AA"/>
    <w:rsid w:val="001056AD"/>
    <w:rsid w:val="001520B3"/>
    <w:rsid w:val="00182501"/>
    <w:rsid w:val="00185691"/>
    <w:rsid w:val="00192E6B"/>
    <w:rsid w:val="001B24CD"/>
    <w:rsid w:val="001B58F6"/>
    <w:rsid w:val="001D3042"/>
    <w:rsid w:val="001D7EF0"/>
    <w:rsid w:val="001E64D7"/>
    <w:rsid w:val="001F7BBB"/>
    <w:rsid w:val="00221657"/>
    <w:rsid w:val="002328B1"/>
    <w:rsid w:val="002466FA"/>
    <w:rsid w:val="00250A8A"/>
    <w:rsid w:val="0026530B"/>
    <w:rsid w:val="00266A87"/>
    <w:rsid w:val="00296D93"/>
    <w:rsid w:val="002B04C6"/>
    <w:rsid w:val="002C26CE"/>
    <w:rsid w:val="002D3B50"/>
    <w:rsid w:val="00301B6D"/>
    <w:rsid w:val="00392240"/>
    <w:rsid w:val="00396CAE"/>
    <w:rsid w:val="003B3891"/>
    <w:rsid w:val="003D5F25"/>
    <w:rsid w:val="003E4FE8"/>
    <w:rsid w:val="003E5084"/>
    <w:rsid w:val="003F450B"/>
    <w:rsid w:val="004077FA"/>
    <w:rsid w:val="00413264"/>
    <w:rsid w:val="00432433"/>
    <w:rsid w:val="00434D79"/>
    <w:rsid w:val="00474C3A"/>
    <w:rsid w:val="00490227"/>
    <w:rsid w:val="00496D2E"/>
    <w:rsid w:val="00497F00"/>
    <w:rsid w:val="004A2FB3"/>
    <w:rsid w:val="004D68B4"/>
    <w:rsid w:val="004E0474"/>
    <w:rsid w:val="0050535E"/>
    <w:rsid w:val="005777F4"/>
    <w:rsid w:val="005C27F5"/>
    <w:rsid w:val="005C3378"/>
    <w:rsid w:val="005C7EAE"/>
    <w:rsid w:val="005F3C4D"/>
    <w:rsid w:val="006042BD"/>
    <w:rsid w:val="006068C6"/>
    <w:rsid w:val="00615E22"/>
    <w:rsid w:val="00662243"/>
    <w:rsid w:val="00662C8B"/>
    <w:rsid w:val="006A30D0"/>
    <w:rsid w:val="006B04E4"/>
    <w:rsid w:val="006C0DE2"/>
    <w:rsid w:val="0072131F"/>
    <w:rsid w:val="00731C1B"/>
    <w:rsid w:val="00737083"/>
    <w:rsid w:val="00765BC9"/>
    <w:rsid w:val="007770A5"/>
    <w:rsid w:val="00794916"/>
    <w:rsid w:val="007F46CB"/>
    <w:rsid w:val="00800B8F"/>
    <w:rsid w:val="00815223"/>
    <w:rsid w:val="00831787"/>
    <w:rsid w:val="00840973"/>
    <w:rsid w:val="00850D3F"/>
    <w:rsid w:val="00853F77"/>
    <w:rsid w:val="00860A47"/>
    <w:rsid w:val="00867FC3"/>
    <w:rsid w:val="00891C35"/>
    <w:rsid w:val="008935D1"/>
    <w:rsid w:val="00896F29"/>
    <w:rsid w:val="008B74C0"/>
    <w:rsid w:val="008F6151"/>
    <w:rsid w:val="009048D5"/>
    <w:rsid w:val="00904AFE"/>
    <w:rsid w:val="0092122C"/>
    <w:rsid w:val="009220DF"/>
    <w:rsid w:val="0093548C"/>
    <w:rsid w:val="0094704C"/>
    <w:rsid w:val="00965CCB"/>
    <w:rsid w:val="00972E17"/>
    <w:rsid w:val="00974193"/>
    <w:rsid w:val="009A449C"/>
    <w:rsid w:val="009A5EB0"/>
    <w:rsid w:val="009B5111"/>
    <w:rsid w:val="009B56E5"/>
    <w:rsid w:val="00A1588C"/>
    <w:rsid w:val="00A23D73"/>
    <w:rsid w:val="00A40C10"/>
    <w:rsid w:val="00A4300C"/>
    <w:rsid w:val="00A443C1"/>
    <w:rsid w:val="00A955CD"/>
    <w:rsid w:val="00AA3D4F"/>
    <w:rsid w:val="00AF5CAC"/>
    <w:rsid w:val="00B1777D"/>
    <w:rsid w:val="00B51CD6"/>
    <w:rsid w:val="00B73014"/>
    <w:rsid w:val="00B80CD6"/>
    <w:rsid w:val="00B82E95"/>
    <w:rsid w:val="00B833D8"/>
    <w:rsid w:val="00BA0FA4"/>
    <w:rsid w:val="00BD335A"/>
    <w:rsid w:val="00BF0A53"/>
    <w:rsid w:val="00C464A8"/>
    <w:rsid w:val="00C6762A"/>
    <w:rsid w:val="00C83427"/>
    <w:rsid w:val="00CD4D55"/>
    <w:rsid w:val="00D01740"/>
    <w:rsid w:val="00D05DF1"/>
    <w:rsid w:val="00D7295A"/>
    <w:rsid w:val="00D878F1"/>
    <w:rsid w:val="00D902A8"/>
    <w:rsid w:val="00D97CFB"/>
    <w:rsid w:val="00DA2332"/>
    <w:rsid w:val="00DB38C2"/>
    <w:rsid w:val="00DC314D"/>
    <w:rsid w:val="00DD0D97"/>
    <w:rsid w:val="00DD2B37"/>
    <w:rsid w:val="00DD4877"/>
    <w:rsid w:val="00DD59CC"/>
    <w:rsid w:val="00E03841"/>
    <w:rsid w:val="00E56C8D"/>
    <w:rsid w:val="00E7080E"/>
    <w:rsid w:val="00E73AC1"/>
    <w:rsid w:val="00E770E1"/>
    <w:rsid w:val="00E93235"/>
    <w:rsid w:val="00ED5B9D"/>
    <w:rsid w:val="00EE4DB0"/>
    <w:rsid w:val="00EF6B8E"/>
    <w:rsid w:val="00EF7895"/>
    <w:rsid w:val="00F13201"/>
    <w:rsid w:val="00F14A44"/>
    <w:rsid w:val="00F63B69"/>
    <w:rsid w:val="00F63FF8"/>
    <w:rsid w:val="00FA4D84"/>
    <w:rsid w:val="00FA4DBD"/>
    <w:rsid w:val="00FB4D5D"/>
    <w:rsid w:val="00FC3919"/>
    <w:rsid w:val="00FC49BF"/>
    <w:rsid w:val="010B1EA6"/>
    <w:rsid w:val="01A06D82"/>
    <w:rsid w:val="01B25A4D"/>
    <w:rsid w:val="01D003F4"/>
    <w:rsid w:val="03505C66"/>
    <w:rsid w:val="064F520B"/>
    <w:rsid w:val="07DE0AAA"/>
    <w:rsid w:val="09502F56"/>
    <w:rsid w:val="0AE95411"/>
    <w:rsid w:val="0BB8447D"/>
    <w:rsid w:val="0CB038E3"/>
    <w:rsid w:val="0CF02DEE"/>
    <w:rsid w:val="0D840E89"/>
    <w:rsid w:val="0DC50276"/>
    <w:rsid w:val="0F8141E3"/>
    <w:rsid w:val="12080E07"/>
    <w:rsid w:val="123039D7"/>
    <w:rsid w:val="12C81AA5"/>
    <w:rsid w:val="136F4921"/>
    <w:rsid w:val="1578613D"/>
    <w:rsid w:val="15C2342E"/>
    <w:rsid w:val="1637679E"/>
    <w:rsid w:val="19204A5A"/>
    <w:rsid w:val="193D01E0"/>
    <w:rsid w:val="1C365FDC"/>
    <w:rsid w:val="1D2027D0"/>
    <w:rsid w:val="1D4E12BA"/>
    <w:rsid w:val="1F4C00ED"/>
    <w:rsid w:val="21F455CD"/>
    <w:rsid w:val="226117B6"/>
    <w:rsid w:val="23445D57"/>
    <w:rsid w:val="23570372"/>
    <w:rsid w:val="256B156C"/>
    <w:rsid w:val="25B27047"/>
    <w:rsid w:val="26264F8E"/>
    <w:rsid w:val="26D83835"/>
    <w:rsid w:val="2786250D"/>
    <w:rsid w:val="27F5397D"/>
    <w:rsid w:val="2ABB0720"/>
    <w:rsid w:val="2AFF29AF"/>
    <w:rsid w:val="2B6540BB"/>
    <w:rsid w:val="2B6F62D5"/>
    <w:rsid w:val="2B8704A8"/>
    <w:rsid w:val="2FB27D82"/>
    <w:rsid w:val="30C82935"/>
    <w:rsid w:val="33077C70"/>
    <w:rsid w:val="34E478E0"/>
    <w:rsid w:val="359D56FF"/>
    <w:rsid w:val="35EF5E14"/>
    <w:rsid w:val="368F633F"/>
    <w:rsid w:val="37083883"/>
    <w:rsid w:val="378578B7"/>
    <w:rsid w:val="38146403"/>
    <w:rsid w:val="38B97D28"/>
    <w:rsid w:val="38BB358E"/>
    <w:rsid w:val="38D97FC3"/>
    <w:rsid w:val="3A1F5203"/>
    <w:rsid w:val="3D584BA2"/>
    <w:rsid w:val="3E021FAB"/>
    <w:rsid w:val="3F4F7231"/>
    <w:rsid w:val="402E288B"/>
    <w:rsid w:val="4104773E"/>
    <w:rsid w:val="417E794A"/>
    <w:rsid w:val="448453A3"/>
    <w:rsid w:val="44983428"/>
    <w:rsid w:val="44EE4DF6"/>
    <w:rsid w:val="45E47B16"/>
    <w:rsid w:val="45FA4B9F"/>
    <w:rsid w:val="46947057"/>
    <w:rsid w:val="47321912"/>
    <w:rsid w:val="47651902"/>
    <w:rsid w:val="477B47A9"/>
    <w:rsid w:val="478A34FC"/>
    <w:rsid w:val="47E66258"/>
    <w:rsid w:val="495A0CAC"/>
    <w:rsid w:val="4A30398A"/>
    <w:rsid w:val="4A9F4CF0"/>
    <w:rsid w:val="4AC07792"/>
    <w:rsid w:val="4CE7092E"/>
    <w:rsid w:val="4DC86833"/>
    <w:rsid w:val="4E252DB9"/>
    <w:rsid w:val="4F8000E2"/>
    <w:rsid w:val="5073301F"/>
    <w:rsid w:val="51606BFC"/>
    <w:rsid w:val="53033AC5"/>
    <w:rsid w:val="545424E6"/>
    <w:rsid w:val="54D55BDE"/>
    <w:rsid w:val="54E47F11"/>
    <w:rsid w:val="55342CF9"/>
    <w:rsid w:val="55835057"/>
    <w:rsid w:val="57DB6B64"/>
    <w:rsid w:val="5BC50A62"/>
    <w:rsid w:val="60050F24"/>
    <w:rsid w:val="603D6F06"/>
    <w:rsid w:val="60EE1FAE"/>
    <w:rsid w:val="61263F4D"/>
    <w:rsid w:val="61561366"/>
    <w:rsid w:val="6163086B"/>
    <w:rsid w:val="6383212C"/>
    <w:rsid w:val="64D91FD4"/>
    <w:rsid w:val="65E0558A"/>
    <w:rsid w:val="68E8683A"/>
    <w:rsid w:val="694D661D"/>
    <w:rsid w:val="696E3491"/>
    <w:rsid w:val="69CC4101"/>
    <w:rsid w:val="6AFF5937"/>
    <w:rsid w:val="6BF86AA4"/>
    <w:rsid w:val="6C3D2854"/>
    <w:rsid w:val="6CB769F9"/>
    <w:rsid w:val="6DC76061"/>
    <w:rsid w:val="6E163EDE"/>
    <w:rsid w:val="6E6A3208"/>
    <w:rsid w:val="6FB24951"/>
    <w:rsid w:val="6FD827A7"/>
    <w:rsid w:val="70BD626C"/>
    <w:rsid w:val="726C3FD1"/>
    <w:rsid w:val="73397D17"/>
    <w:rsid w:val="73815F40"/>
    <w:rsid w:val="73E223A7"/>
    <w:rsid w:val="74154AF0"/>
    <w:rsid w:val="75EC1E21"/>
    <w:rsid w:val="76B77724"/>
    <w:rsid w:val="76D832CD"/>
    <w:rsid w:val="7A601D17"/>
    <w:rsid w:val="7A7973A8"/>
    <w:rsid w:val="7B0C0998"/>
    <w:rsid w:val="7BAA0A78"/>
    <w:rsid w:val="7C5031A0"/>
    <w:rsid w:val="7DB9735D"/>
    <w:rsid w:val="7DE467BB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方正仿宋_GBK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1032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605633-B490-42C1-B33A-F18EA88CE6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4</Pages>
  <Words>1091</Words>
  <Characters>1333</Characters>
  <Lines>3</Lines>
  <Paragraphs>1</Paragraphs>
  <TotalTime>0</TotalTime>
  <ScaleCrop>false</ScaleCrop>
  <LinksUpToDate>false</LinksUpToDate>
  <CharactersWithSpaces>1467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2025-08-06T08:56:00Z</dcterms:created>
  <dc:creator>jw</dc:creator>
  <cp:lastModifiedBy>董丽莉</cp:lastModifiedBy>
  <cp:lastPrinted>2026-02-13T04:37:28Z</cp:lastPrinted>
  <dcterms:modified xsi:type="dcterms:W3CDTF">2026-02-13T04:37:31Z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BFCEC26323E44AA2A0E8619B7F2C1E37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eyJoZGlkIjoiMTY2Y2ZlYTNkNWI5MzlkYjFiNjgwMzcyNGYwMjIxODUiLCJ1c2VySWQiOiIxOTA1NDczOTIifQ==</vt:lpwstr>
  </property>
</Properties>
</file>