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54</w:t>
      </w:r>
      <w:r>
        <w:rPr>
          <w:rFonts w:eastAsia="方正仿宋_GBK"/>
          <w:sz w:val="32"/>
          <w:szCs w:val="32"/>
        </w:rPr>
        <w:t>号</w:t>
      </w:r>
    </w:p>
    <w:p w14:paraId="4CFD5A3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rPr>
      </w:pPr>
      <w:r>
        <w:rPr>
          <w:rFonts w:hint="eastAsia" w:eastAsia="方正仿宋_GBK"/>
          <w:sz w:val="32"/>
          <w:szCs w:val="32"/>
        </w:rPr>
        <w:t xml:space="preserve"> </w:t>
      </w:r>
    </w:p>
    <w:p w14:paraId="192965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01C3B776">
      <w:pPr>
        <w:autoSpaceDE w:val="0"/>
        <w:spacing w:line="595" w:lineRule="exact"/>
        <w:jc w:val="center"/>
        <w:rPr>
          <w:rFonts w:hint="eastAsia" w:eastAsia="方正小标宋_GBK"/>
          <w:sz w:val="44"/>
          <w:szCs w:val="44"/>
        </w:rPr>
      </w:pPr>
      <w:r>
        <w:rPr>
          <w:rFonts w:ascii="方正小标宋_GBK" w:eastAsia="方正小标宋_GBK"/>
          <w:sz w:val="44"/>
          <w:szCs w:val="44"/>
        </w:rPr>
        <w:t>关于</w:t>
      </w:r>
      <w:r>
        <w:rPr>
          <w:rFonts w:hint="default" w:ascii="Times New Roman" w:hAnsi="Times New Roman" w:eastAsia="方正小标宋_GBK" w:cs="Times New Roman"/>
          <w:sz w:val="44"/>
          <w:szCs w:val="44"/>
          <w:lang w:eastAsia="zh-CN"/>
        </w:rPr>
        <w:t>园区产业发展配套设施安全标识标线提标改造项目</w:t>
      </w:r>
      <w:r>
        <w:rPr>
          <w:rFonts w:hint="eastAsia" w:eastAsia="方正小标宋_GBK"/>
          <w:sz w:val="44"/>
          <w:szCs w:val="44"/>
          <w:lang w:val="zh-CN"/>
        </w:rPr>
        <w:t>项目</w:t>
      </w:r>
      <w:r>
        <w:rPr>
          <w:rFonts w:ascii="方正小标宋_GBK" w:eastAsia="方正小标宋_GBK"/>
          <w:sz w:val="44"/>
          <w:szCs w:val="44"/>
        </w:rPr>
        <w:t>建议书的批复</w:t>
      </w:r>
    </w:p>
    <w:p w14:paraId="64D9F99F">
      <w:pPr>
        <w:autoSpaceDE w:val="0"/>
        <w:spacing w:line="595" w:lineRule="exact"/>
      </w:pPr>
      <w:r>
        <w:rPr>
          <w:rFonts w:hint="eastAsia"/>
        </w:rPr>
        <w:t xml:space="preserve">  </w:t>
      </w:r>
    </w:p>
    <w:p w14:paraId="3306B941">
      <w:pPr>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ascii="方正仿宋_GBK" w:eastAsia="方正仿宋_GBK"/>
          <w:lang w:eastAsia="zh-CN"/>
        </w:rPr>
      </w:pPr>
      <w:r>
        <w:rPr>
          <w:rFonts w:hint="eastAsia" w:ascii="方正仿宋_GBK" w:eastAsia="方正仿宋_GBK"/>
          <w:sz w:val="32"/>
          <w:szCs w:val="32"/>
          <w:lang w:eastAsia="zh-CN"/>
        </w:rPr>
        <w:t>区经济信息委</w:t>
      </w:r>
      <w:r>
        <w:rPr>
          <w:rFonts w:ascii="方正仿宋_GBK" w:eastAsia="方正仿宋_GBK"/>
          <w:sz w:val="32"/>
          <w:szCs w:val="32"/>
        </w:rPr>
        <w:t>：</w:t>
      </w:r>
    </w:p>
    <w:p w14:paraId="04917A17">
      <w:pPr>
        <w:pStyle w:val="6"/>
        <w:autoSpaceDE w:val="0"/>
        <w:spacing w:line="595" w:lineRule="exact"/>
        <w:ind w:left="0" w:leftChars="0" w:firstLine="640" w:firstLineChars="200"/>
        <w:rPr>
          <w:rFonts w:ascii="方正仿宋_GBK" w:eastAsia="方正仿宋_GBK"/>
        </w:rPr>
      </w:pPr>
      <w:r>
        <w:rPr>
          <w:rFonts w:hint="eastAsia" w:ascii="方正仿宋_GBK" w:eastAsia="方正仿宋_GBK"/>
          <w:lang w:eastAsia="zh-CN"/>
        </w:rPr>
        <w:t>你单位《关于审查园区产业发展配套设施安全标识标线提标改造项目建议书的</w:t>
      </w:r>
      <w:r>
        <w:rPr>
          <w:rFonts w:hint="eastAsia" w:ascii="方正仿宋_GBK" w:eastAsia="方正仿宋_GBK"/>
          <w:lang w:val="en-US" w:eastAsia="zh-CN"/>
        </w:rPr>
        <w:t>函</w:t>
      </w:r>
      <w:r>
        <w:rPr>
          <w:rFonts w:hint="eastAsia" w:ascii="方正仿宋_GBK" w:eastAsia="方正仿宋_GBK"/>
          <w:lang w:eastAsia="zh-CN"/>
        </w:rPr>
        <w:t>》（黔江经信</w:t>
      </w:r>
      <w:r>
        <w:rPr>
          <w:rFonts w:hint="default" w:ascii="Times New Roman" w:hAnsi="Times New Roman" w:eastAsia="方正仿宋_GBK" w:cs="Times New Roman"/>
          <w:lang w:eastAsia="zh-CN"/>
        </w:rPr>
        <w:t>函〔2026〕1</w:t>
      </w:r>
      <w:r>
        <w:rPr>
          <w:rFonts w:hint="eastAsia" w:ascii="方正仿宋_GBK" w:eastAsia="方正仿宋_GBK"/>
          <w:lang w:eastAsia="zh-CN"/>
        </w:rPr>
        <w:t>号）收悉，经研究，同意实施园区产业发展配套设施安全标识标线提标改造项目</w:t>
      </w:r>
      <w:r>
        <w:rPr>
          <w:rFonts w:hint="eastAsia" w:ascii="方正仿宋_GBK" w:eastAsia="方正仿宋_GBK"/>
        </w:rPr>
        <w:t>，现批复如下：</w:t>
      </w:r>
    </w:p>
    <w:p w14:paraId="79E61D7C">
      <w:pPr>
        <w:pStyle w:val="6"/>
        <w:numPr>
          <w:ilvl w:val="0"/>
          <w:numId w:val="0"/>
        </w:numPr>
        <w:autoSpaceDE w:val="0"/>
        <w:spacing w:line="595" w:lineRule="exact"/>
        <w:ind w:firstLine="640" w:firstLineChars="200"/>
        <w:rPr>
          <w:rFonts w:hint="eastAsia" w:ascii="方正仿宋_GBK" w:eastAsia="方正仿宋_GBK"/>
          <w:lang w:eastAsia="zh-CN"/>
        </w:rPr>
      </w:pPr>
      <w:r>
        <w:rPr>
          <w:rFonts w:hint="eastAsia" w:ascii="方正黑体_GBK" w:eastAsia="方正黑体_GBK"/>
          <w:lang w:eastAsia="zh-CN"/>
        </w:rPr>
        <w:t>一、</w:t>
      </w:r>
      <w:r>
        <w:rPr>
          <w:rFonts w:hint="eastAsia" w:ascii="方正黑体_GBK" w:eastAsia="方正黑体_GBK"/>
        </w:rPr>
        <w:t>项目名称：</w:t>
      </w:r>
      <w:r>
        <w:rPr>
          <w:rFonts w:hint="eastAsia" w:ascii="方正仿宋_GBK" w:eastAsia="方正仿宋_GBK"/>
          <w:lang w:eastAsia="zh-CN"/>
        </w:rPr>
        <w:t>园区产业发展配套设施安全标识标线提标改造项目</w:t>
      </w:r>
    </w:p>
    <w:p w14:paraId="3F101E7C">
      <w:pPr>
        <w:pStyle w:val="6"/>
        <w:numPr>
          <w:ilvl w:val="0"/>
          <w:numId w:val="0"/>
        </w:numPr>
        <w:autoSpaceDE w:val="0"/>
        <w:spacing w:line="595" w:lineRule="exact"/>
        <w:ind w:firstLine="640" w:firstLineChars="200"/>
        <w:rPr>
          <w:rFonts w:hint="default" w:ascii="Times New Roman" w:hAnsi="Times New Roman" w:eastAsia="方正仿宋_GBK" w:cs="Times New Roman"/>
          <w:lang w:val="en-US" w:eastAsia="zh-CN"/>
        </w:rPr>
      </w:pPr>
      <w:r>
        <w:rPr>
          <w:rFonts w:hint="eastAsia" w:ascii="方正黑体_GBK" w:eastAsia="方正黑体_GBK"/>
          <w:lang w:eastAsia="zh-CN"/>
        </w:rPr>
        <w:t>二、项目</w:t>
      </w:r>
      <w:r>
        <w:rPr>
          <w:rFonts w:hint="default" w:ascii="Times New Roman" w:hAnsi="Times New Roman" w:eastAsia="方正黑体_GBK" w:cs="Times New Roman"/>
          <w:lang w:eastAsia="zh-CN"/>
        </w:rPr>
        <w:t>代码：</w:t>
      </w:r>
      <w:r>
        <w:rPr>
          <w:rFonts w:hint="default" w:ascii="Times New Roman" w:hAnsi="Times New Roman" w:eastAsia="方正仿宋_GBK" w:cs="Times New Roman"/>
          <w:kern w:val="2"/>
          <w:sz w:val="32"/>
          <w:szCs w:val="32"/>
          <w:lang w:val="en-US" w:eastAsia="zh-CN" w:bidi="ar-SA"/>
        </w:rPr>
        <w:t>2601-500114-04-05-</w:t>
      </w:r>
      <w:r>
        <w:rPr>
          <w:rFonts w:hint="eastAsia" w:eastAsia="方正仿宋_GBK" w:cs="Times New Roman"/>
          <w:kern w:val="2"/>
          <w:sz w:val="32"/>
          <w:szCs w:val="32"/>
          <w:lang w:val="en-US" w:eastAsia="zh-CN" w:bidi="ar-SA"/>
        </w:rPr>
        <w:t>756708</w:t>
      </w:r>
    </w:p>
    <w:p w14:paraId="641191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textAlignment w:val="auto"/>
        <w:outlineLvl w:val="9"/>
        <w:rPr>
          <w:rFonts w:hint="eastAsia"/>
          <w:lang w:val="en-US" w:eastAsia="zh-CN"/>
        </w:rPr>
      </w:pPr>
      <w:r>
        <w:rPr>
          <w:rFonts w:hint="eastAsia" w:ascii="方正黑体_GBK" w:hAnsi="Times New Roman" w:eastAsia="方正黑体_GBK" w:cs="Times New Roman"/>
          <w:kern w:val="2"/>
          <w:sz w:val="32"/>
          <w:szCs w:val="32"/>
          <w:lang w:val="en-US" w:eastAsia="zh-CN" w:bidi="ar-SA"/>
        </w:rPr>
        <w:t>三、项目业主：</w:t>
      </w:r>
      <w:r>
        <w:rPr>
          <w:rFonts w:hint="eastAsia" w:ascii="方正仿宋_GBK" w:eastAsia="方正仿宋_GBK"/>
          <w:color w:val="auto"/>
          <w:sz w:val="32"/>
          <w:szCs w:val="32"/>
          <w:lang w:val="en-US" w:eastAsia="zh-CN"/>
        </w:rPr>
        <w:t>重庆市正阳工业园</w:t>
      </w:r>
      <w:bookmarkStart w:id="0" w:name="_GoBack"/>
      <w:bookmarkEnd w:id="0"/>
      <w:r>
        <w:rPr>
          <w:rFonts w:hint="eastAsia" w:ascii="方正仿宋_GBK" w:eastAsia="方正仿宋_GBK"/>
          <w:color w:val="auto"/>
          <w:sz w:val="32"/>
          <w:szCs w:val="32"/>
          <w:lang w:val="en-US" w:eastAsia="zh-CN"/>
        </w:rPr>
        <w:t>区管理委员会</w:t>
      </w:r>
    </w:p>
    <w:p w14:paraId="50F8354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方正仿宋_GBK" w:hAnsi="等线" w:eastAsia="方正仿宋_GBK" w:cs="Times New Roman"/>
          <w:kern w:val="2"/>
          <w:sz w:val="32"/>
          <w:szCs w:val="32"/>
          <w:lang w:val="en-US" w:eastAsia="zh-CN" w:bidi="ar-SA"/>
        </w:rPr>
      </w:pPr>
      <w:r>
        <w:rPr>
          <w:rFonts w:hint="eastAsia" w:ascii="方正黑体_GBK" w:eastAsia="方正黑体_GBK" w:cs="Times New Roman"/>
          <w:kern w:val="2"/>
          <w:sz w:val="32"/>
          <w:szCs w:val="32"/>
          <w:lang w:val="en-US" w:eastAsia="zh-CN" w:bidi="ar-SA"/>
        </w:rPr>
        <w:t>四</w:t>
      </w:r>
      <w:r>
        <w:rPr>
          <w:rFonts w:hint="eastAsia" w:ascii="方正黑体_GBK" w:hAnsi="Times New Roman" w:eastAsia="方正黑体_GBK" w:cs="Times New Roman"/>
          <w:kern w:val="2"/>
          <w:sz w:val="32"/>
          <w:szCs w:val="32"/>
          <w:lang w:val="en-US" w:eastAsia="zh-CN" w:bidi="ar-SA"/>
        </w:rPr>
        <w:t>、建设地址：</w:t>
      </w:r>
      <w:r>
        <w:rPr>
          <w:rFonts w:hint="eastAsia" w:ascii="方正仿宋_GBK" w:eastAsia="方正仿宋_GBK"/>
          <w:color w:val="auto"/>
          <w:sz w:val="32"/>
          <w:szCs w:val="32"/>
          <w:highlight w:val="none"/>
          <w:lang w:val="en-US" w:eastAsia="zh-CN"/>
        </w:rPr>
        <w:t>重庆市正阳工业园区</w:t>
      </w:r>
    </w:p>
    <w:p w14:paraId="24D51DB0">
      <w:pPr>
        <w:spacing w:line="560" w:lineRule="exact"/>
        <w:ind w:firstLine="640" w:firstLineChars="200"/>
        <w:rPr>
          <w:rFonts w:hint="eastAsia" w:ascii="方正仿宋_GBK" w:eastAsia="方正仿宋_GBK"/>
          <w:color w:val="auto"/>
          <w:sz w:val="32"/>
          <w:szCs w:val="32"/>
          <w:highlight w:val="none"/>
          <w:lang w:val="en-US" w:eastAsia="zh-CN"/>
        </w:rPr>
      </w:pPr>
      <w:r>
        <w:rPr>
          <w:rFonts w:hint="eastAsia" w:ascii="方正黑体_GBK" w:eastAsia="方正黑体_GBK"/>
          <w:sz w:val="32"/>
          <w:szCs w:val="32"/>
          <w:lang w:eastAsia="zh-CN"/>
        </w:rPr>
        <w:t>五</w:t>
      </w:r>
      <w:r>
        <w:rPr>
          <w:rFonts w:hint="eastAsia" w:ascii="方正黑体_GBK" w:eastAsia="方正黑体_GBK"/>
          <w:sz w:val="32"/>
          <w:szCs w:val="32"/>
        </w:rPr>
        <w:t>、</w:t>
      </w:r>
      <w:r>
        <w:rPr>
          <w:rFonts w:ascii="方正黑体_GBK" w:eastAsia="方正黑体_GBK"/>
          <w:sz w:val="32"/>
          <w:szCs w:val="32"/>
        </w:rPr>
        <w:t>建设规模及主要建设内容</w:t>
      </w:r>
      <w:r>
        <w:rPr>
          <w:rFonts w:hint="eastAsia" w:ascii="方正仿宋_GBK" w:eastAsia="方正仿宋_GBK"/>
          <w:sz w:val="32"/>
          <w:szCs w:val="32"/>
          <w:lang w:eastAsia="zh-CN"/>
        </w:rPr>
        <w:t>：</w:t>
      </w:r>
      <w:r>
        <w:rPr>
          <w:rFonts w:hint="eastAsia" w:ascii="方正仿宋_GBK" w:eastAsia="方正仿宋_GBK"/>
          <w:color w:val="auto"/>
          <w:sz w:val="32"/>
          <w:szCs w:val="32"/>
          <w:highlight w:val="none"/>
        </w:rPr>
        <w:t>实施园区产业发展配套设施安全标识标线提标改造，统筹开展园区内安全标识、交通标线等相关设施设备的采购、运输、安装，同步完成现场放线、施划、调试、验收等全流程施工作业，全面升级园区安全标识标线配套体系</w:t>
      </w:r>
      <w:r>
        <w:rPr>
          <w:rFonts w:hint="eastAsia" w:ascii="方正仿宋_GBK" w:eastAsia="方正仿宋_GBK"/>
          <w:color w:val="auto"/>
          <w:sz w:val="32"/>
          <w:szCs w:val="32"/>
          <w:highlight w:val="none"/>
          <w:lang w:val="en-US" w:eastAsia="zh-CN"/>
        </w:rPr>
        <w:t>。</w:t>
      </w:r>
    </w:p>
    <w:p w14:paraId="614B4A1C">
      <w:pPr>
        <w:spacing w:line="560" w:lineRule="exact"/>
        <w:ind w:firstLine="640" w:firstLineChars="200"/>
        <w:rPr>
          <w:rFonts w:hint="eastAsia" w:ascii="方正仿宋_GBK" w:eastAsia="方正仿宋_GBK"/>
          <w:sz w:val="32"/>
          <w:szCs w:val="32"/>
          <w:lang w:val="en-US" w:eastAsia="zh-CN"/>
        </w:rPr>
      </w:pPr>
      <w:r>
        <w:rPr>
          <w:rFonts w:hint="eastAsia" w:ascii="方正黑体_GBK" w:eastAsia="方正黑体_GBK"/>
          <w:sz w:val="32"/>
          <w:szCs w:val="32"/>
          <w:lang w:eastAsia="zh-CN"/>
        </w:rPr>
        <w:t>六</w:t>
      </w:r>
      <w:r>
        <w:rPr>
          <w:rFonts w:hint="eastAsia" w:ascii="方正黑体_GBK" w:eastAsia="方正黑体_GBK"/>
          <w:sz w:val="32"/>
          <w:szCs w:val="32"/>
        </w:rPr>
        <w:t>、</w:t>
      </w:r>
      <w:r>
        <w:rPr>
          <w:rFonts w:ascii="方正黑体_GBK" w:eastAsia="方正黑体_GBK"/>
          <w:sz w:val="32"/>
          <w:szCs w:val="32"/>
        </w:rPr>
        <w:t>项目总投资及资金来源：</w:t>
      </w:r>
      <w:r>
        <w:rPr>
          <w:rFonts w:hint="eastAsia" w:ascii="方正仿宋_GBK" w:eastAsia="方正仿宋_GBK"/>
          <w:sz w:val="32"/>
          <w:szCs w:val="32"/>
        </w:rPr>
        <w:t>项目</w:t>
      </w:r>
      <w:r>
        <w:rPr>
          <w:rFonts w:hint="eastAsia" w:ascii="方正仿宋_GBK" w:eastAsia="方正仿宋_GBK"/>
          <w:sz w:val="32"/>
          <w:szCs w:val="32"/>
          <w:lang w:eastAsia="zh-CN"/>
        </w:rPr>
        <w:t>估算</w:t>
      </w:r>
      <w:r>
        <w:rPr>
          <w:rFonts w:hint="eastAsia" w:ascii="方正仿宋_GBK" w:eastAsia="方正仿宋_GBK"/>
          <w:sz w:val="32"/>
          <w:szCs w:val="32"/>
        </w:rPr>
        <w:t>总投</w:t>
      </w:r>
      <w:r>
        <w:rPr>
          <w:rFonts w:hint="default" w:ascii="Times New Roman" w:hAnsi="Times New Roman" w:eastAsia="方正仿宋_GBK" w:cs="Times New Roman"/>
          <w:sz w:val="32"/>
          <w:szCs w:val="32"/>
        </w:rPr>
        <w:t>资</w:t>
      </w:r>
      <w:r>
        <w:rPr>
          <w:rFonts w:hint="default" w:ascii="Times New Roman" w:hAnsi="Times New Roman" w:cs="Times New Roman"/>
          <w:b w:val="0"/>
          <w:bCs/>
          <w:sz w:val="32"/>
          <w:szCs w:val="32"/>
          <w:lang w:val="en-US" w:eastAsia="zh-CN"/>
        </w:rPr>
        <w:t>4500</w:t>
      </w:r>
      <w:r>
        <w:rPr>
          <w:rFonts w:hint="default" w:ascii="Times New Roman" w:hAnsi="Times New Roman" w:eastAsia="方正仿宋_GBK" w:cs="Times New Roman"/>
          <w:sz w:val="32"/>
          <w:szCs w:val="32"/>
          <w:lang w:val="en-US" w:eastAsia="zh-CN"/>
        </w:rPr>
        <w:t>万</w:t>
      </w:r>
      <w:r>
        <w:rPr>
          <w:rFonts w:hint="eastAsia" w:ascii="方正仿宋_GBK" w:hAnsi="方正仿宋_GBK" w:eastAsia="方正仿宋_GBK" w:cs="方正仿宋_GBK"/>
          <w:sz w:val="32"/>
          <w:szCs w:val="32"/>
          <w:lang w:val="en-US" w:eastAsia="zh-CN"/>
        </w:rPr>
        <w:t>元，</w:t>
      </w:r>
      <w:r>
        <w:rPr>
          <w:rFonts w:hint="eastAsia" w:ascii="方正仿宋_GBK" w:eastAsia="方正仿宋_GBK"/>
          <w:sz w:val="32"/>
          <w:szCs w:val="32"/>
          <w:lang w:eastAsia="zh-CN"/>
        </w:rPr>
        <w:t>资金来源为</w:t>
      </w:r>
      <w:r>
        <w:rPr>
          <w:rFonts w:hint="eastAsia" w:ascii="方正仿宋_GBK" w:eastAsia="方正仿宋_GBK"/>
          <w:color w:val="auto"/>
          <w:sz w:val="32"/>
          <w:szCs w:val="32"/>
          <w:highlight w:val="none"/>
          <w:lang w:val="en-US" w:eastAsia="zh-CN"/>
        </w:rPr>
        <w:t>争取国市补助资金</w:t>
      </w:r>
      <w:r>
        <w:rPr>
          <w:rFonts w:hint="eastAsia" w:ascii="方正仿宋_GBK" w:eastAsia="方正仿宋_GBK"/>
          <w:sz w:val="32"/>
          <w:szCs w:val="32"/>
          <w:lang w:eastAsia="zh-CN"/>
        </w:rPr>
        <w:t>，不足部分由业主自筹。</w:t>
      </w:r>
    </w:p>
    <w:p w14:paraId="07027E89">
      <w:pPr>
        <w:autoSpaceDE w:val="0"/>
        <w:spacing w:line="595" w:lineRule="exact"/>
        <w:ind w:firstLine="640" w:firstLineChars="200"/>
        <w:rPr>
          <w:rFonts w:hint="eastAsia" w:eastAsia="方正仿宋_GBK"/>
          <w:sz w:val="32"/>
          <w:szCs w:val="32"/>
        </w:rPr>
      </w:pPr>
      <w:r>
        <w:rPr>
          <w:rFonts w:hint="eastAsia" w:ascii="方正黑体_GBK" w:eastAsia="方正黑体_GBK"/>
          <w:sz w:val="32"/>
          <w:szCs w:val="32"/>
          <w:lang w:eastAsia="zh-CN"/>
        </w:rPr>
        <w:t>七</w:t>
      </w:r>
      <w:r>
        <w:rPr>
          <w:rFonts w:ascii="方正黑体_GBK" w:eastAsia="方正黑体_GBK"/>
          <w:sz w:val="32"/>
          <w:szCs w:val="32"/>
        </w:rPr>
        <w:t>、项目建设工期：</w:t>
      </w:r>
      <w:r>
        <w:rPr>
          <w:rFonts w:hint="eastAsia" w:eastAsia="方正仿宋_GBK"/>
          <w:sz w:val="32"/>
          <w:szCs w:val="32"/>
          <w:lang w:val="en-US" w:eastAsia="zh-CN"/>
        </w:rPr>
        <w:t>6</w:t>
      </w:r>
      <w:r>
        <w:rPr>
          <w:rFonts w:ascii="方正仿宋_GBK" w:eastAsia="方正仿宋_GBK"/>
          <w:sz w:val="32"/>
          <w:szCs w:val="32"/>
        </w:rPr>
        <w:t>个月。</w:t>
      </w:r>
    </w:p>
    <w:p w14:paraId="1D80CE2F">
      <w:pPr>
        <w:autoSpaceDE w:val="0"/>
        <w:spacing w:line="595" w:lineRule="exact"/>
        <w:ind w:firstLine="640" w:firstLineChars="200"/>
        <w:rPr>
          <w:rFonts w:ascii="方正仿宋_GBK" w:eastAsia="方正仿宋_GBK"/>
          <w:sz w:val="32"/>
          <w:szCs w:val="32"/>
        </w:rPr>
      </w:pPr>
      <w:r>
        <w:rPr>
          <w:rFonts w:hint="eastAsia" w:ascii="方正仿宋_GBK" w:eastAsia="方正仿宋_GBK"/>
          <w:sz w:val="32"/>
          <w:szCs w:val="32"/>
        </w:rPr>
        <w:t>请你单位接此批复后，严格按照基本建设程序开展下一步工作。</w:t>
      </w:r>
    </w:p>
    <w:p w14:paraId="6F996A33">
      <w:pPr>
        <w:autoSpaceDE w:val="0"/>
        <w:spacing w:line="595" w:lineRule="exact"/>
        <w:ind w:firstLine="640" w:firstLineChars="200"/>
        <w:rPr>
          <w:rFonts w:hint="eastAsia" w:eastAsia="方正仿宋_GBK"/>
          <w:sz w:val="32"/>
          <w:szCs w:val="32"/>
        </w:rPr>
      </w:pPr>
      <w:r>
        <w:rPr>
          <w:rFonts w:eastAsia="方正仿宋_GBK"/>
          <w:sz w:val="32"/>
          <w:szCs w:val="32"/>
        </w:rPr>
        <w:t xml:space="preserve"> </w:t>
      </w:r>
    </w:p>
    <w:p w14:paraId="2ADE64C4">
      <w:pPr>
        <w:autoSpaceDE w:val="0"/>
        <w:spacing w:line="595" w:lineRule="exact"/>
        <w:ind w:firstLine="640" w:firstLineChars="200"/>
        <w:rPr>
          <w:rFonts w:eastAsia="方正仿宋_GBK"/>
          <w:sz w:val="32"/>
          <w:szCs w:val="32"/>
        </w:rPr>
      </w:pPr>
      <w:r>
        <w:rPr>
          <w:rFonts w:eastAsia="方正仿宋_GBK"/>
          <w:sz w:val="32"/>
          <w:szCs w:val="32"/>
        </w:rPr>
        <w:t xml:space="preserve"> </w:t>
      </w:r>
    </w:p>
    <w:p w14:paraId="576F292C">
      <w:pPr>
        <w:autoSpaceDE w:val="0"/>
        <w:spacing w:line="595" w:lineRule="exact"/>
        <w:ind w:firstLine="3840" w:firstLineChars="1200"/>
        <w:rPr>
          <w:rFonts w:eastAsia="方正仿宋_GBK"/>
          <w:sz w:val="32"/>
          <w:szCs w:val="32"/>
        </w:rPr>
      </w:pPr>
      <w:r>
        <w:rPr>
          <w:rFonts w:ascii="方正仿宋_GBK" w:eastAsia="方正仿宋_GBK"/>
          <w:sz w:val="32"/>
          <w:szCs w:val="32"/>
        </w:rPr>
        <w:t>重庆市黔江区发展和改革委员会</w:t>
      </w:r>
    </w:p>
    <w:p w14:paraId="51E2C7C1">
      <w:pPr>
        <w:pStyle w:val="6"/>
        <w:autoSpaceDE w:val="0"/>
        <w:spacing w:line="595" w:lineRule="exact"/>
        <w:ind w:left="1472" w:firstLine="640" w:firstLineChars="200"/>
        <w:rPr>
          <w:rFonts w:hint="default" w:ascii="Times New Roman" w:hAnsi="Times New Roman" w:eastAsia="方正仿宋_GBK" w:cs="Times New Roman"/>
          <w:kern w:val="2"/>
          <w:sz w:val="32"/>
          <w:szCs w:val="32"/>
          <w:lang w:val="en-US" w:eastAsia="zh-CN" w:bidi="ar-SA"/>
        </w:rPr>
      </w:pPr>
      <w:r>
        <w:rPr>
          <w:rFonts w:eastAsia="方正仿宋_GBK"/>
        </w:rPr>
        <w:t xml:space="preserve">              </w:t>
      </w:r>
      <w:r>
        <w:rPr>
          <w:rFonts w:hint="default" w:ascii="Times New Roman" w:hAnsi="Times New Roman" w:eastAsia="方正仿宋_GBK" w:cs="Times New Roman"/>
        </w:rPr>
        <w:t xml:space="preserve">   </w:t>
      </w:r>
      <w:r>
        <w:rPr>
          <w:rFonts w:hint="default" w:ascii="Times New Roman" w:hAnsi="Times New Roman" w:eastAsia="方正仿宋_GBK" w:cs="Times New Roman"/>
          <w:kern w:val="2"/>
          <w:sz w:val="32"/>
          <w:szCs w:val="32"/>
          <w:lang w:val="en-US" w:eastAsia="zh-CN" w:bidi="ar-SA"/>
        </w:rPr>
        <w:t xml:space="preserve"> 2026年1月16日</w:t>
      </w:r>
    </w:p>
    <w:p w14:paraId="0E836420">
      <w:pPr>
        <w:autoSpaceDE w:val="0"/>
        <w:spacing w:line="595" w:lineRule="exact"/>
        <w:rPr>
          <w:rFonts w:ascii="方正仿宋_GBK" w:hAnsi="Times New Roman" w:eastAsia="方正仿宋_GBK" w:cs="Times New Roman"/>
          <w:kern w:val="2"/>
          <w:sz w:val="32"/>
          <w:szCs w:val="32"/>
          <w:lang w:val="en-US" w:eastAsia="zh-CN" w:bidi="ar-SA"/>
        </w:rPr>
      </w:pPr>
      <w:r>
        <w:rPr>
          <w:rFonts w:ascii="方正仿宋_GBK" w:hAnsi="Times New Roman" w:eastAsia="方正仿宋_GBK" w:cs="Times New Roman"/>
          <w:kern w:val="2"/>
          <w:sz w:val="32"/>
          <w:szCs w:val="32"/>
          <w:lang w:val="en-US" w:eastAsia="zh-CN" w:bidi="ar-SA"/>
        </w:rPr>
        <w:t xml:space="preserve"> </w:t>
      </w:r>
    </w:p>
    <w:p w14:paraId="39CBD4CA">
      <w:pPr>
        <w:autoSpaceDE w:val="0"/>
        <w:spacing w:line="515" w:lineRule="exact"/>
        <w:rPr>
          <w:rFonts w:eastAsia="方正仿宋_GBK"/>
          <w:sz w:val="28"/>
          <w:szCs w:val="28"/>
        </w:rPr>
      </w:pPr>
      <w:r>
        <w:rPr>
          <w:rFonts w:eastAsia="方正仿宋_GBK"/>
          <w:sz w:val="28"/>
          <w:szCs w:val="28"/>
        </w:rPr>
        <w:t xml:space="preserve"> </w:t>
      </w:r>
    </w:p>
    <w:p w14:paraId="0C8537A6">
      <w:pPr>
        <w:autoSpaceDE w:val="0"/>
        <w:spacing w:line="515" w:lineRule="exact"/>
        <w:rPr>
          <w:rFonts w:eastAsia="方正仿宋_GBK"/>
          <w:sz w:val="28"/>
          <w:szCs w:val="28"/>
        </w:rPr>
      </w:pPr>
      <w:r>
        <w:rPr>
          <w:rFonts w:eastAsia="方正仿宋_GBK"/>
          <w:sz w:val="28"/>
          <w:szCs w:val="28"/>
        </w:rPr>
        <w:t xml:space="preserve"> </w:t>
      </w:r>
    </w:p>
    <w:p w14:paraId="51968ED6">
      <w:pPr>
        <w:autoSpaceDE w:val="0"/>
        <w:spacing w:line="515" w:lineRule="exact"/>
        <w:rPr>
          <w:rFonts w:eastAsia="方正仿宋_GBK"/>
          <w:sz w:val="28"/>
          <w:szCs w:val="28"/>
        </w:rPr>
      </w:pPr>
      <w:r>
        <w:rPr>
          <w:rFonts w:eastAsia="方正仿宋_GBK"/>
          <w:sz w:val="28"/>
          <w:szCs w:val="28"/>
        </w:rPr>
        <w:t xml:space="preserve"> </w:t>
      </w:r>
    </w:p>
    <w:p w14:paraId="7AD55E56">
      <w:r>
        <w:rPr>
          <w:rFonts w:eastAsia="方正仿宋_GBK"/>
          <w:sz w:val="28"/>
          <w:szCs w:val="28"/>
        </w:rPr>
        <w:t xml:space="preserve"> </w:t>
      </w:r>
    </w:p>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财政局</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1</w:t>
      </w:r>
      <w:r>
        <w:rPr>
          <w:rFonts w:eastAsia="方正仿宋_GBK"/>
          <w:sz w:val="28"/>
          <w:szCs w:val="28"/>
          <w:u w:val="thick"/>
        </w:rPr>
        <w:t>月</w:t>
      </w:r>
      <w:r>
        <w:rPr>
          <w:rFonts w:hint="eastAsia" w:eastAsia="方正仿宋_GBK"/>
          <w:sz w:val="28"/>
          <w:szCs w:val="28"/>
          <w:u w:val="thick"/>
          <w:lang w:val="en-US" w:eastAsia="zh-CN"/>
        </w:rPr>
        <w:t>16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701"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11"/>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6C73A774">
    <w:pPr>
      <w:pStyle w:val="11"/>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2C5A88"/>
    <w:rsid w:val="0D37421D"/>
    <w:rsid w:val="0D9232F6"/>
    <w:rsid w:val="0E090617"/>
    <w:rsid w:val="14CA633F"/>
    <w:rsid w:val="151D3100"/>
    <w:rsid w:val="15636F5B"/>
    <w:rsid w:val="159C1643"/>
    <w:rsid w:val="17A80401"/>
    <w:rsid w:val="18A40448"/>
    <w:rsid w:val="18B57618"/>
    <w:rsid w:val="18CB25F9"/>
    <w:rsid w:val="193E59D1"/>
    <w:rsid w:val="19520625"/>
    <w:rsid w:val="197D28AB"/>
    <w:rsid w:val="1A7D5B75"/>
    <w:rsid w:val="1A8D6AC6"/>
    <w:rsid w:val="1DA31F74"/>
    <w:rsid w:val="1EA96F47"/>
    <w:rsid w:val="1EB556EE"/>
    <w:rsid w:val="20D9540E"/>
    <w:rsid w:val="20F47F3F"/>
    <w:rsid w:val="22E76282"/>
    <w:rsid w:val="24840DFC"/>
    <w:rsid w:val="24BA5355"/>
    <w:rsid w:val="24F11C09"/>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67062D4"/>
    <w:rsid w:val="38657C26"/>
    <w:rsid w:val="39705D78"/>
    <w:rsid w:val="397671E0"/>
    <w:rsid w:val="398C37FF"/>
    <w:rsid w:val="3A5C509D"/>
    <w:rsid w:val="3EF47EDA"/>
    <w:rsid w:val="3FED15ED"/>
    <w:rsid w:val="40CB4FDA"/>
    <w:rsid w:val="41B542C3"/>
    <w:rsid w:val="41BE7770"/>
    <w:rsid w:val="42BC4BDD"/>
    <w:rsid w:val="42F57923"/>
    <w:rsid w:val="439C7BEA"/>
    <w:rsid w:val="443D58AA"/>
    <w:rsid w:val="44546F12"/>
    <w:rsid w:val="44EA464F"/>
    <w:rsid w:val="45105EDB"/>
    <w:rsid w:val="47CB141F"/>
    <w:rsid w:val="485311A6"/>
    <w:rsid w:val="487D33E1"/>
    <w:rsid w:val="48876104"/>
    <w:rsid w:val="490948F4"/>
    <w:rsid w:val="4BF61160"/>
    <w:rsid w:val="4F735634"/>
    <w:rsid w:val="4FA80033"/>
    <w:rsid w:val="50575F45"/>
    <w:rsid w:val="50A469FF"/>
    <w:rsid w:val="526026B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4801AB7"/>
    <w:rsid w:val="67915D89"/>
    <w:rsid w:val="68F21DD6"/>
    <w:rsid w:val="6A6C1DE8"/>
    <w:rsid w:val="6A9E6E7B"/>
    <w:rsid w:val="6BAE6A0F"/>
    <w:rsid w:val="6C07486C"/>
    <w:rsid w:val="6D6F4477"/>
    <w:rsid w:val="6D851EEC"/>
    <w:rsid w:val="6DBC51E2"/>
    <w:rsid w:val="6DE76703"/>
    <w:rsid w:val="6EF52ED4"/>
    <w:rsid w:val="6EF61234"/>
    <w:rsid w:val="6FCA21DF"/>
    <w:rsid w:val="6FF83694"/>
    <w:rsid w:val="72AF5315"/>
    <w:rsid w:val="742B5A1B"/>
    <w:rsid w:val="74DD0860"/>
    <w:rsid w:val="74F716AD"/>
    <w:rsid w:val="76E535BA"/>
    <w:rsid w:val="77C816DC"/>
    <w:rsid w:val="78624336"/>
    <w:rsid w:val="798F3B70"/>
    <w:rsid w:val="79BC4EE7"/>
    <w:rsid w:val="7A494110"/>
    <w:rsid w:val="7A757CD5"/>
    <w:rsid w:val="7A9639EB"/>
    <w:rsid w:val="7AED1855"/>
    <w:rsid w:val="7C0A2E6F"/>
    <w:rsid w:val="7C762E67"/>
    <w:rsid w:val="7CC1424A"/>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6">
    <w:name w:val="Body Text Indent"/>
    <w:basedOn w:val="1"/>
    <w:qFormat/>
    <w:uiPriority w:val="0"/>
    <w:pPr>
      <w:ind w:firstLine="640" w:firstLineChars="200"/>
    </w:pPr>
    <w:rPr>
      <w:rFonts w:eastAsia="仿宋_GB2312"/>
      <w:sz w:val="32"/>
    </w:rPr>
  </w:style>
  <w:style w:type="paragraph" w:styleId="7">
    <w:name w:val="toc 5"/>
    <w:basedOn w:val="1"/>
    <w:next w:val="1"/>
    <w:qFormat/>
    <w:uiPriority w:val="0"/>
    <w:pPr>
      <w:ind w:left="840"/>
    </w:pPr>
    <w:rPr>
      <w:sz w:val="18"/>
      <w:szCs w:val="18"/>
    </w:rPr>
  </w:style>
  <w:style w:type="paragraph" w:styleId="8">
    <w:name w:val="Plain Text"/>
    <w:basedOn w:val="1"/>
    <w:unhideWhenUsed/>
    <w:qFormat/>
    <w:uiPriority w:val="99"/>
    <w:rPr>
      <w:rFonts w:ascii="宋体" w:hAnsi="Courier New"/>
    </w:rPr>
  </w:style>
  <w:style w:type="paragraph" w:styleId="9">
    <w:name w:val="Body Text Indent 2"/>
    <w:basedOn w:val="1"/>
    <w:qFormat/>
    <w:uiPriority w:val="0"/>
    <w:pPr>
      <w:ind w:firstLine="645"/>
    </w:pPr>
    <w:rPr>
      <w:rFonts w:ascii="黑体" w:eastAsia="黑体"/>
      <w:sz w:val="32"/>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basedOn w:val="15"/>
    <w:qFormat/>
    <w:uiPriority w:val="0"/>
  </w:style>
  <w:style w:type="character" w:customStyle="1" w:styleId="18">
    <w:name w:val="页眉 Char"/>
    <w:link w:val="12"/>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2</Pages>
  <Words>481</Words>
  <Characters>522</Characters>
  <Lines>11</Lines>
  <Paragraphs>3</Paragraphs>
  <TotalTime>1</TotalTime>
  <ScaleCrop>false</ScaleCrop>
  <LinksUpToDate>false</LinksUpToDate>
  <CharactersWithSpaces>675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2026-01-28T03:27:00Z</cp:lastPrinted>
  <dcterms:modified xsi:type="dcterms:W3CDTF">2026-03-16T01:19:26Z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