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113</w:t>
      </w:r>
      <w:r>
        <w:rPr>
          <w:rFonts w:eastAsia="方正仿宋_GBK"/>
          <w:sz w:val="32"/>
          <w:szCs w:val="32"/>
        </w:rPr>
        <w:t>号</w:t>
      </w:r>
    </w:p>
    <w:p w14:paraId="2881FF5C">
      <w:pPr>
        <w:spacing w:line="520" w:lineRule="exact"/>
        <w:rPr>
          <w:rFonts w:hint="eastAsia" w:eastAsia="方正仿宋_GBK"/>
          <w:sz w:val="32"/>
          <w:szCs w:val="32"/>
        </w:rPr>
      </w:pPr>
      <w:r>
        <w:rPr>
          <w:rFonts w:hint="eastAsia" w:eastAsia="方正仿宋_GBK"/>
          <w:sz w:val="32"/>
          <w:szCs w:val="32"/>
        </w:rPr>
        <w:t xml:space="preserve"> </w:t>
      </w:r>
    </w:p>
    <w:p w14:paraId="5F9EF067">
      <w:pPr>
        <w:spacing w:line="575" w:lineRule="exact"/>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78698B10">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关于黔江区马喇镇排涝工程可行性</w:t>
      </w:r>
    </w:p>
    <w:p w14:paraId="72B4E37A">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研究报告的批复</w:t>
      </w:r>
    </w:p>
    <w:p w14:paraId="1E619590">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p>
    <w:p w14:paraId="39F9A7F4">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w:t>
      </w:r>
      <w:r>
        <w:rPr>
          <w:rFonts w:hint="default" w:ascii="Times New Roman" w:hAnsi="Times New Roman" w:eastAsia="方正仿宋_GBK" w:cs="Times New Roman"/>
          <w:sz w:val="32"/>
          <w:szCs w:val="32"/>
          <w:lang w:eastAsia="zh-CN"/>
        </w:rPr>
        <w:t>水利局</w:t>
      </w:r>
      <w:r>
        <w:rPr>
          <w:rFonts w:hint="default" w:ascii="Times New Roman" w:hAnsi="Times New Roman" w:eastAsia="方正仿宋_GBK" w:cs="Times New Roman"/>
          <w:sz w:val="32"/>
          <w:szCs w:val="32"/>
        </w:rPr>
        <w:t>：</w:t>
      </w:r>
    </w:p>
    <w:p w14:paraId="601D8D8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eastAsia="zh-CN"/>
        </w:rPr>
        <w:t>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转报</w:t>
      </w:r>
      <w:r>
        <w:rPr>
          <w:rFonts w:hint="default" w:ascii="Times New Roman" w:hAnsi="Times New Roman" w:eastAsia="方正仿宋_GBK" w:cs="Times New Roman"/>
          <w:sz w:val="32"/>
          <w:szCs w:val="32"/>
        </w:rPr>
        <w:t>黔江区马喇镇排涝工程可行性研究报告</w:t>
      </w:r>
      <w:r>
        <w:rPr>
          <w:rFonts w:hint="default" w:ascii="Times New Roman" w:hAnsi="Times New Roman" w:eastAsia="方正仿宋_GBK" w:cs="Times New Roman"/>
          <w:sz w:val="32"/>
          <w:szCs w:val="32"/>
          <w:lang w:eastAsia="zh-CN"/>
        </w:rPr>
        <w:t>审批</w:t>
      </w:r>
      <w:r>
        <w:rPr>
          <w:rFonts w:hint="default" w:ascii="Times New Roman" w:hAnsi="Times New Roman" w:eastAsia="方正仿宋_GBK" w:cs="Times New Roman"/>
          <w:sz w:val="32"/>
          <w:szCs w:val="32"/>
        </w:rPr>
        <w:t>请示</w:t>
      </w:r>
      <w:r>
        <w:rPr>
          <w:rFonts w:hint="default" w:ascii="Times New Roman" w:hAnsi="Times New Roman" w:eastAsia="方正仿宋_GBK" w:cs="Times New Roman"/>
          <w:sz w:val="32"/>
          <w:szCs w:val="32"/>
          <w:lang w:eastAsia="zh-CN"/>
        </w:rPr>
        <w:t>的函</w:t>
      </w:r>
      <w:r>
        <w:rPr>
          <w:rFonts w:hint="default" w:ascii="Times New Roman" w:hAnsi="Times New Roman" w:eastAsia="方正仿宋_GBK" w:cs="Times New Roman"/>
          <w:sz w:val="32"/>
          <w:szCs w:val="32"/>
        </w:rPr>
        <w:t>》（黔</w:t>
      </w:r>
      <w:r>
        <w:rPr>
          <w:rFonts w:hint="default" w:ascii="Times New Roman" w:hAnsi="Times New Roman" w:eastAsia="方正仿宋_GBK" w:cs="Times New Roman"/>
          <w:sz w:val="32"/>
          <w:szCs w:val="32"/>
          <w:lang w:eastAsia="zh-CN"/>
        </w:rPr>
        <w:t>江水利函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号）收悉。经区政府</w:t>
      </w:r>
      <w:r>
        <w:rPr>
          <w:rFonts w:hint="default" w:ascii="Times New Roman" w:hAnsi="Times New Roman" w:eastAsia="方正仿宋_GBK" w:cs="Times New Roman"/>
          <w:sz w:val="32"/>
          <w:szCs w:val="32"/>
          <w:lang w:eastAsia="zh-CN"/>
        </w:rPr>
        <w:t>投资项目前期工作服务中心组织重庆同丰工程管理咨询有</w:t>
      </w:r>
      <w:r>
        <w:rPr>
          <w:rFonts w:hint="default" w:ascii="Times New Roman" w:hAnsi="Times New Roman" w:eastAsia="方正仿宋_GBK" w:cs="Times New Roman"/>
          <w:b w:val="0"/>
          <w:bCs w:val="0"/>
          <w:sz w:val="32"/>
          <w:szCs w:val="32"/>
          <w:lang w:eastAsia="zh-CN"/>
        </w:rPr>
        <w:t>限公司</w:t>
      </w:r>
      <w:r>
        <w:rPr>
          <w:rFonts w:hint="default" w:ascii="Times New Roman" w:hAnsi="Times New Roman" w:eastAsia="方正仿宋_GBK" w:cs="Times New Roman"/>
          <w:b w:val="0"/>
          <w:bCs w:val="0"/>
          <w:sz w:val="32"/>
          <w:szCs w:val="32"/>
        </w:rPr>
        <w:t>审核</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原则同意该项目可行性研究报告</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现批复如下：</w:t>
      </w:r>
    </w:p>
    <w:p w14:paraId="49B2AC21">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马喇</w:t>
      </w:r>
      <w:r>
        <w:rPr>
          <w:rFonts w:hint="default" w:ascii="Times New Roman" w:hAnsi="Times New Roman" w:eastAsia="方正仿宋_GBK" w:cs="Times New Roman"/>
          <w:b w:val="0"/>
          <w:bCs w:val="0"/>
          <w:sz w:val="32"/>
          <w:szCs w:val="32"/>
        </w:rPr>
        <w:t>镇</w:t>
      </w:r>
      <w:r>
        <w:rPr>
          <w:rFonts w:hint="default" w:ascii="Times New Roman" w:hAnsi="Times New Roman" w:eastAsia="方正仿宋_GBK" w:cs="Times New Roman"/>
          <w:b w:val="0"/>
          <w:bCs w:val="0"/>
          <w:sz w:val="32"/>
          <w:szCs w:val="32"/>
          <w:lang w:eastAsia="zh-CN"/>
        </w:rPr>
        <w:t>范围内防洪、排涝、灌溉能力，</w:t>
      </w:r>
      <w:r>
        <w:rPr>
          <w:rFonts w:hint="default" w:ascii="Times New Roman" w:hAnsi="Times New Roman" w:eastAsia="方正仿宋_GBK" w:cs="Times New Roman"/>
          <w:b w:val="0"/>
          <w:bCs w:val="0"/>
          <w:sz w:val="32"/>
          <w:szCs w:val="32"/>
        </w:rPr>
        <w:t>同意实施该项目。</w:t>
      </w:r>
    </w:p>
    <w:p w14:paraId="037A1143">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-500114-04-01-</w:t>
      </w:r>
      <w:r>
        <w:rPr>
          <w:rFonts w:hint="default" w:ascii="Times New Roman" w:hAnsi="Times New Roman" w:eastAsia="方正仿宋_GBK" w:cs="Times New Roman"/>
          <w:b w:val="0"/>
          <w:bCs w:val="0"/>
          <w:sz w:val="32"/>
          <w:szCs w:val="32"/>
          <w:lang w:val="en-US" w:eastAsia="zh-CN"/>
        </w:rPr>
        <w:t>781501</w:t>
      </w:r>
      <w:r>
        <w:rPr>
          <w:rFonts w:hint="default" w:ascii="Times New Roman" w:hAnsi="Times New Roman" w:eastAsia="方正仿宋_GBK" w:cs="Times New Roman"/>
          <w:b w:val="0"/>
          <w:bCs w:val="0"/>
          <w:sz w:val="32"/>
          <w:szCs w:val="32"/>
        </w:rPr>
        <w:t>。</w:t>
      </w:r>
    </w:p>
    <w:p w14:paraId="2B5FAA73">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三、项目业主：重庆市枳丹石城市建设开发有限公司。</w:t>
      </w:r>
    </w:p>
    <w:p w14:paraId="0F99E3C9">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四、项目建设地点：黔江区</w:t>
      </w:r>
      <w:r>
        <w:rPr>
          <w:rFonts w:hint="default" w:ascii="Times New Roman" w:hAnsi="Times New Roman" w:eastAsia="方正仿宋_GBK" w:cs="Times New Roman"/>
          <w:b w:val="0"/>
          <w:bCs w:val="0"/>
          <w:sz w:val="32"/>
          <w:szCs w:val="32"/>
          <w:lang w:eastAsia="zh-CN"/>
        </w:rPr>
        <w:t>马喇</w:t>
      </w:r>
      <w:r>
        <w:rPr>
          <w:rFonts w:hint="default" w:ascii="Times New Roman" w:hAnsi="Times New Roman" w:eastAsia="方正仿宋_GBK" w:cs="Times New Roman"/>
          <w:b w:val="0"/>
          <w:bCs w:val="0"/>
          <w:sz w:val="32"/>
          <w:szCs w:val="32"/>
        </w:rPr>
        <w:t>镇。</w:t>
      </w:r>
    </w:p>
    <w:p w14:paraId="77894A8D">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新建分洪箱涵1.945公里，河道疏浚6.59公里；新建田间纵向排水沟4.95公里，横向排水沟0.648公里，复建排水沟0.4公里，排水沟疏浚7.066公里，新建灌溉管道1.55公里，新建污水渠300米，拆除重建桥梁1座，新建简支桥梁1座等。</w:t>
      </w:r>
    </w:p>
    <w:p w14:paraId="2A8478E6">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9403.67万元，其中：建筑工程6847.45万元，机电设备及安装工程134.00万元，施工临时工程383.07万元，独立费用1221.15万元，基本预备费429.29万元，工程建设及施工场地征地费108.71万元，水土保持费160.00万元，环境保护工程120.00万元。资金来源为</w:t>
      </w:r>
      <w:r>
        <w:rPr>
          <w:rFonts w:hint="default" w:ascii="Times New Roman" w:hAnsi="Times New Roman" w:eastAsia="方正仿宋_GBK" w:cs="Times New Roman"/>
          <w:b w:val="0"/>
          <w:bCs w:val="0"/>
          <w:sz w:val="32"/>
          <w:szCs w:val="32"/>
          <w:lang w:eastAsia="zh-CN"/>
        </w:rPr>
        <w:t>争取国市水利发展专项资金和业主自筹</w:t>
      </w:r>
      <w:r>
        <w:rPr>
          <w:rFonts w:hint="default" w:ascii="Times New Roman" w:hAnsi="Times New Roman" w:eastAsia="方正仿宋_GBK" w:cs="Times New Roman"/>
          <w:b w:val="0"/>
          <w:bCs w:val="0"/>
          <w:sz w:val="32"/>
          <w:szCs w:val="32"/>
        </w:rPr>
        <w:t>。</w:t>
      </w:r>
    </w:p>
    <w:p w14:paraId="71E29A3C">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个月。</w:t>
      </w:r>
    </w:p>
    <w:p w14:paraId="13C4BD15">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w:t>
      </w:r>
      <w:r>
        <w:rPr>
          <w:rFonts w:hint="default" w:ascii="Times New Roman" w:hAnsi="Times New Roman" w:eastAsia="方正仿宋_GBK" w:cs="Times New Roman"/>
          <w:b w:val="0"/>
          <w:bCs w:val="0"/>
          <w:sz w:val="32"/>
          <w:szCs w:val="32"/>
          <w:lang w:eastAsia="zh-CN"/>
        </w:rPr>
        <w:t>投</w:t>
      </w:r>
      <w:r>
        <w:rPr>
          <w:rFonts w:hint="default" w:ascii="Times New Roman" w:hAnsi="Times New Roman" w:eastAsia="方正仿宋_GBK" w:cs="Times New Roman"/>
          <w:b w:val="0"/>
          <w:bCs w:val="0"/>
          <w:sz w:val="32"/>
          <w:szCs w:val="32"/>
        </w:rPr>
        <w:t>标核准：本项目招标范围为工程施工，勘察、设计、监理等与工程建设有关的服务，以及与工程建设有关的重要设备、材料等的采购。达到依法必须招标限额标准的，招标方式为公开招标，招标组织形式为委托招标，招标公告在指定媒介公开发布。</w:t>
      </w:r>
    </w:p>
    <w:p w14:paraId="4303DCF0">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九、有关要求:请接此批复后，抓紧推进项目前期工作，加快工程初步设计论证和工程概（预）算编制，及早落实项目资金，确保工程早日开工建设。</w:t>
      </w:r>
    </w:p>
    <w:p w14:paraId="01F2CDCC">
      <w:pPr>
        <w:keepNext w:val="0"/>
        <w:keepLines w:val="0"/>
        <w:pageBreakBefore w:val="0"/>
        <w:widowControl w:val="0"/>
        <w:kinsoku/>
        <w:wordWrap/>
        <w:overflowPunct/>
        <w:topLinePunct w:val="0"/>
        <w:autoSpaceDE/>
        <w:autoSpaceDN/>
        <w:bidi w:val="0"/>
        <w:adjustRightInd/>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6397DD1D">
      <w:pPr>
        <w:keepNext w:val="0"/>
        <w:keepLines w:val="0"/>
        <w:pageBreakBefore w:val="0"/>
        <w:widowControl w:val="0"/>
        <w:kinsoku/>
        <w:wordWrap/>
        <w:overflowPunct/>
        <w:topLinePunct w:val="0"/>
        <w:autoSpaceDE/>
        <w:autoSpaceDN/>
        <w:bidi w:val="0"/>
        <w:adjustRightInd/>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附件：黔江区马喇镇排涝工程投资估算表</w:t>
      </w:r>
    </w:p>
    <w:p w14:paraId="4B3A7C21">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p>
    <w:p w14:paraId="0F945B09">
      <w:pPr>
        <w:keepNext w:val="0"/>
        <w:keepLines w:val="0"/>
        <w:pageBreakBefore w:val="0"/>
        <w:widowControl w:val="0"/>
        <w:kinsoku/>
        <w:wordWrap/>
        <w:overflowPunct/>
        <w:topLinePunct w:val="0"/>
        <w:autoSpaceDE/>
        <w:autoSpaceDN/>
        <w:bidi w:val="0"/>
        <w:adjustRightInd/>
        <w:snapToGrid/>
        <w:spacing w:line="575" w:lineRule="exact"/>
        <w:textAlignment w:val="auto"/>
        <w:rPr>
          <w:rFonts w:hint="default" w:ascii="Times New Roman" w:hAnsi="Times New Roman" w:eastAsia="方正仿宋_GBK" w:cs="Times New Roman"/>
          <w:b w:val="0"/>
          <w:bCs w:val="0"/>
          <w:sz w:val="32"/>
          <w:szCs w:val="32"/>
        </w:rPr>
      </w:pPr>
    </w:p>
    <w:p w14:paraId="3815FFB9">
      <w:pPr>
        <w:keepNext w:val="0"/>
        <w:keepLines w:val="0"/>
        <w:pageBreakBefore w:val="0"/>
        <w:widowControl w:val="0"/>
        <w:kinsoku/>
        <w:wordWrap/>
        <w:overflowPunct/>
        <w:topLinePunct w:val="0"/>
        <w:autoSpaceDE/>
        <w:autoSpaceDN/>
        <w:bidi w:val="0"/>
        <w:adjustRightInd/>
        <w:snapToGrid/>
        <w:spacing w:line="575" w:lineRule="exact"/>
        <w:ind w:firstLine="3200" w:firstLineChars="10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重庆市黔江区发展和改革委员会</w:t>
      </w:r>
    </w:p>
    <w:p w14:paraId="3392D0A0">
      <w:pPr>
        <w:keepNext w:val="0"/>
        <w:keepLines w:val="0"/>
        <w:pageBreakBefore w:val="0"/>
        <w:widowControl w:val="0"/>
        <w:kinsoku/>
        <w:wordWrap/>
        <w:overflowPunct/>
        <w:topLinePunct w:val="0"/>
        <w:autoSpaceDE/>
        <w:autoSpaceDN/>
        <w:bidi w:val="0"/>
        <w:adjustRightInd/>
        <w:snapToGrid/>
        <w:spacing w:line="575" w:lineRule="exact"/>
        <w:ind w:firstLine="4480" w:firstLineChars="14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月</w:t>
      </w:r>
      <w:r>
        <w:rPr>
          <w:rFonts w:hint="eastAsia" w:eastAsia="方正仿宋_GBK" w:cs="Times New Roman"/>
          <w:b w:val="0"/>
          <w:bCs w:val="0"/>
          <w:sz w:val="32"/>
          <w:szCs w:val="32"/>
          <w:lang w:val="en-US" w:eastAsia="zh-CN"/>
        </w:rPr>
        <w:t>8</w:t>
      </w:r>
      <w:bookmarkStart w:id="0" w:name="_GoBack"/>
      <w:bookmarkEnd w:id="0"/>
      <w:r>
        <w:rPr>
          <w:rFonts w:hint="default" w:ascii="Times New Roman" w:hAnsi="Times New Roman" w:eastAsia="方正仿宋_GBK" w:cs="Times New Roman"/>
          <w:b w:val="0"/>
          <w:bCs w:val="0"/>
          <w:sz w:val="32"/>
          <w:szCs w:val="32"/>
        </w:rPr>
        <w:t>日</w:t>
      </w:r>
    </w:p>
    <w:p w14:paraId="06480EDB">
      <w:pPr>
        <w:spacing w:line="520" w:lineRule="exact"/>
        <w:ind w:firstLine="3840" w:firstLineChars="1200"/>
        <w:rPr>
          <w:rFonts w:hint="default" w:ascii="Times New Roman" w:hAnsi="Times New Roman" w:eastAsia="方正仿宋_GBK" w:cs="Times New Roman"/>
          <w:sz w:val="32"/>
          <w:szCs w:val="32"/>
        </w:rPr>
      </w:pPr>
    </w:p>
    <w:p w14:paraId="24778D86">
      <w:pPr>
        <w:pStyle w:val="5"/>
        <w:spacing w:line="500" w:lineRule="exact"/>
        <w:rPr>
          <w:rFonts w:ascii="Times New Roman" w:hAnsi="Times New Roman" w:eastAsia="方正仿宋_GBK"/>
          <w:sz w:val="28"/>
          <w:szCs w:val="28"/>
        </w:rPr>
      </w:pPr>
    </w:p>
    <w:p w14:paraId="77E77471">
      <w:pPr>
        <w:pStyle w:val="5"/>
        <w:spacing w:line="500" w:lineRule="exact"/>
        <w:rPr>
          <w:rFonts w:ascii="Times New Roman" w:hAnsi="Times New Roman" w:eastAsia="方正仿宋_GBK"/>
          <w:sz w:val="28"/>
          <w:szCs w:val="28"/>
        </w:rPr>
      </w:pPr>
    </w:p>
    <w:p w14:paraId="47FDF825">
      <w:pPr>
        <w:pStyle w:val="5"/>
        <w:spacing w:line="500" w:lineRule="exact"/>
        <w:rPr>
          <w:rFonts w:ascii="Times New Roman" w:hAnsi="Times New Roman" w:eastAsia="方正仿宋_GBK"/>
          <w:sz w:val="28"/>
          <w:szCs w:val="28"/>
        </w:rPr>
      </w:pPr>
    </w:p>
    <w:p w14:paraId="2FBA35FE">
      <w:pPr>
        <w:pStyle w:val="5"/>
        <w:spacing w:line="500" w:lineRule="exact"/>
        <w:rPr>
          <w:rFonts w:ascii="Times New Roman" w:hAnsi="Times New Roman" w:eastAsia="方正仿宋_GBK"/>
          <w:sz w:val="28"/>
          <w:szCs w:val="28"/>
        </w:rPr>
      </w:pPr>
    </w:p>
    <w:p w14:paraId="7BA98B28">
      <w:pPr>
        <w:pStyle w:val="5"/>
        <w:spacing w:line="500" w:lineRule="exact"/>
        <w:rPr>
          <w:rFonts w:ascii="Times New Roman" w:hAnsi="Times New Roman" w:eastAsia="方正仿宋_GBK"/>
          <w:sz w:val="28"/>
          <w:szCs w:val="28"/>
        </w:rPr>
      </w:pPr>
    </w:p>
    <w:p w14:paraId="068A9D9B">
      <w:pPr>
        <w:pStyle w:val="5"/>
        <w:spacing w:line="500" w:lineRule="exact"/>
        <w:rPr>
          <w:rFonts w:ascii="Times New Roman" w:hAnsi="Times New Roman" w:eastAsia="方正仿宋_GBK"/>
          <w:sz w:val="28"/>
          <w:szCs w:val="28"/>
        </w:rPr>
      </w:pPr>
    </w:p>
    <w:p w14:paraId="26EC76E0">
      <w:pPr>
        <w:pStyle w:val="5"/>
        <w:spacing w:line="500" w:lineRule="exact"/>
        <w:rPr>
          <w:rFonts w:ascii="Times New Roman" w:hAnsi="Times New Roman" w:eastAsia="方正仿宋_GBK"/>
          <w:sz w:val="28"/>
          <w:szCs w:val="28"/>
        </w:rPr>
      </w:pPr>
    </w:p>
    <w:p w14:paraId="3EC92768">
      <w:pPr>
        <w:pStyle w:val="5"/>
        <w:spacing w:line="500" w:lineRule="exact"/>
        <w:rPr>
          <w:rFonts w:ascii="Times New Roman" w:hAnsi="Times New Roman" w:eastAsia="方正仿宋_GBK"/>
          <w:sz w:val="28"/>
          <w:szCs w:val="28"/>
        </w:rPr>
      </w:pPr>
    </w:p>
    <w:p w14:paraId="433A16AA">
      <w:pPr>
        <w:pStyle w:val="5"/>
        <w:spacing w:line="500" w:lineRule="exact"/>
        <w:rPr>
          <w:rFonts w:ascii="Times New Roman" w:hAnsi="Times New Roman" w:eastAsia="方正仿宋_GBK"/>
          <w:sz w:val="28"/>
          <w:szCs w:val="28"/>
        </w:rPr>
      </w:pPr>
    </w:p>
    <w:p w14:paraId="153799C7">
      <w:pPr>
        <w:pStyle w:val="5"/>
        <w:spacing w:line="500" w:lineRule="exact"/>
        <w:rPr>
          <w:rFonts w:ascii="Times New Roman" w:hAnsi="Times New Roman" w:eastAsia="方正仿宋_GBK"/>
          <w:sz w:val="28"/>
          <w:szCs w:val="28"/>
        </w:rPr>
      </w:pPr>
    </w:p>
    <w:p w14:paraId="62638766">
      <w:pPr>
        <w:pStyle w:val="5"/>
        <w:spacing w:line="500" w:lineRule="exact"/>
        <w:rPr>
          <w:rFonts w:ascii="Times New Roman" w:hAnsi="Times New Roman" w:eastAsia="方正仿宋_GBK"/>
          <w:sz w:val="28"/>
          <w:szCs w:val="28"/>
        </w:rPr>
      </w:pPr>
    </w:p>
    <w:p w14:paraId="0380664E">
      <w:pPr>
        <w:pStyle w:val="5"/>
        <w:spacing w:line="500" w:lineRule="exact"/>
        <w:rPr>
          <w:rFonts w:ascii="Times New Roman" w:hAnsi="Times New Roman" w:eastAsia="方正仿宋_GBK"/>
          <w:sz w:val="28"/>
          <w:szCs w:val="28"/>
        </w:rPr>
      </w:pPr>
    </w:p>
    <w:p w14:paraId="0C64B415">
      <w:pPr>
        <w:pStyle w:val="5"/>
        <w:spacing w:line="500" w:lineRule="exact"/>
        <w:rPr>
          <w:rFonts w:ascii="Times New Roman" w:hAnsi="Times New Roman" w:eastAsia="方正仿宋_GBK"/>
          <w:sz w:val="28"/>
          <w:szCs w:val="28"/>
        </w:rPr>
      </w:pPr>
    </w:p>
    <w:p w14:paraId="2B981E2C">
      <w:pPr>
        <w:pStyle w:val="5"/>
        <w:spacing w:line="500" w:lineRule="exact"/>
        <w:rPr>
          <w:rFonts w:ascii="Times New Roman" w:hAnsi="Times New Roman" w:eastAsia="方正仿宋_GBK"/>
          <w:sz w:val="28"/>
          <w:szCs w:val="28"/>
        </w:rPr>
      </w:pPr>
    </w:p>
    <w:p w14:paraId="4D188FB8">
      <w:pPr>
        <w:pStyle w:val="5"/>
        <w:spacing w:line="500" w:lineRule="exact"/>
        <w:rPr>
          <w:rFonts w:ascii="Times New Roman" w:hAnsi="Times New Roman" w:eastAsia="方正仿宋_GBK"/>
          <w:sz w:val="28"/>
          <w:szCs w:val="28"/>
        </w:rPr>
      </w:pPr>
    </w:p>
    <w:p w14:paraId="2B0441D4">
      <w:pPr>
        <w:pStyle w:val="5"/>
        <w:spacing w:line="500" w:lineRule="exact"/>
        <w:rPr>
          <w:rFonts w:ascii="Times New Roman" w:hAnsi="Times New Roman" w:eastAsia="方正仿宋_GBK"/>
          <w:sz w:val="28"/>
          <w:szCs w:val="28"/>
        </w:rPr>
      </w:pPr>
    </w:p>
    <w:p w14:paraId="62C2DF98">
      <w:pPr>
        <w:pStyle w:val="5"/>
        <w:spacing w:line="500" w:lineRule="exact"/>
        <w:rPr>
          <w:rFonts w:ascii="Times New Roman" w:hAnsi="Times New Roman" w:eastAsia="方正仿宋_GBK"/>
          <w:sz w:val="28"/>
          <w:szCs w:val="28"/>
        </w:rPr>
      </w:pPr>
    </w:p>
    <w:p w14:paraId="0B789DC3">
      <w:pPr>
        <w:pStyle w:val="5"/>
        <w:spacing w:line="500" w:lineRule="exact"/>
        <w:rPr>
          <w:rFonts w:ascii="Times New Roman" w:hAnsi="Times New Roman" w:eastAsia="方正仿宋_GBK"/>
          <w:sz w:val="28"/>
          <w:szCs w:val="28"/>
        </w:rPr>
      </w:pP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方正黑体_GBK" w:hAnsi="方正黑体_GBK" w:eastAsia="方正黑体_GBK" w:cs="方正黑体_GBK"/>
          <w:sz w:val="32"/>
          <w:szCs w:val="32"/>
        </w:rPr>
      </w:pP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黔江区马喇镇排涝工程投资估算表</w:t>
      </w:r>
    </w:p>
    <w:p w14:paraId="1540B95F">
      <w:pPr>
        <w:pStyle w:val="5"/>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36"/>
          <w:szCs w:val="36"/>
        </w:rPr>
      </w:pPr>
    </w:p>
    <w:tbl>
      <w:tblPr>
        <w:tblStyle w:val="10"/>
        <w:tblW w:w="87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4815"/>
        <w:gridCol w:w="2813"/>
      </w:tblGrid>
      <w:tr w14:paraId="46AEC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7533">
            <w:pPr>
              <w:keepNext w:val="0"/>
              <w:keepLines w:val="0"/>
              <w:widowControl/>
              <w:suppressLineNumbers w:val="0"/>
              <w:jc w:val="center"/>
              <w:textAlignment w:val="center"/>
              <w:rPr>
                <w:rFonts w:ascii="方正黑体_GBK" w:hAnsi="方正黑体_GBK" w:eastAsia="方正黑体_GBK" w:cs="方正黑体_GBK"/>
                <w:i w:val="0"/>
                <w:iCs w:val="0"/>
                <w:color w:val="000000"/>
                <w:sz w:val="30"/>
                <w:szCs w:val="30"/>
                <w:u w:val="none"/>
              </w:rPr>
            </w:pPr>
            <w:r>
              <w:rPr>
                <w:rFonts w:hint="eastAsia" w:ascii="方正黑体_GBK" w:hAnsi="方正黑体_GBK" w:eastAsia="方正黑体_GBK" w:cs="方正黑体_GBK"/>
                <w:i w:val="0"/>
                <w:iCs w:val="0"/>
                <w:color w:val="000000"/>
                <w:kern w:val="0"/>
                <w:sz w:val="30"/>
                <w:szCs w:val="30"/>
                <w:u w:val="none"/>
                <w:lang w:val="en-US" w:eastAsia="zh-CN" w:bidi="ar"/>
              </w:rPr>
              <w:t>序号</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F5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1"/>
                <w:szCs w:val="31"/>
                <w:u w:val="none"/>
              </w:rPr>
            </w:pPr>
            <w:r>
              <w:rPr>
                <w:rFonts w:hint="eastAsia" w:ascii="方正黑体_GBK" w:hAnsi="方正黑体_GBK" w:eastAsia="方正黑体_GBK" w:cs="方正黑体_GBK"/>
                <w:i w:val="0"/>
                <w:iCs w:val="0"/>
                <w:color w:val="000000"/>
                <w:kern w:val="0"/>
                <w:sz w:val="31"/>
                <w:szCs w:val="31"/>
                <w:u w:val="none"/>
                <w:lang w:val="en-US" w:eastAsia="zh-CN" w:bidi="ar"/>
              </w:rPr>
              <w:t>工程或费用名称</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ABF">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30"/>
                <w:szCs w:val="30"/>
                <w:u w:val="none"/>
              </w:rPr>
            </w:pPr>
            <w:r>
              <w:rPr>
                <w:rFonts w:hint="eastAsia" w:ascii="方正黑体_GBK" w:hAnsi="方正黑体_GBK" w:eastAsia="方正黑体_GBK" w:cs="方正黑体_GBK"/>
                <w:i w:val="0"/>
                <w:iCs w:val="0"/>
                <w:color w:val="000000"/>
                <w:kern w:val="0"/>
                <w:sz w:val="30"/>
                <w:szCs w:val="30"/>
                <w:u w:val="none"/>
                <w:lang w:val="en-US" w:eastAsia="zh-CN" w:bidi="ar"/>
              </w:rPr>
              <w:t>金</w:t>
            </w:r>
            <w:r>
              <w:rPr>
                <w:rStyle w:val="24"/>
                <w:lang w:val="en-US" w:eastAsia="zh-CN" w:bidi="ar"/>
              </w:rPr>
              <w:t xml:space="preserve">  </w:t>
            </w:r>
            <w:r>
              <w:rPr>
                <w:rStyle w:val="25"/>
                <w:lang w:val="en-US" w:eastAsia="zh-CN" w:bidi="ar"/>
              </w:rPr>
              <w:t>额</w:t>
            </w:r>
          </w:p>
        </w:tc>
      </w:tr>
      <w:tr w14:paraId="47F2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147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一</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00A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工程部分</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EA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9014.96 </w:t>
            </w:r>
          </w:p>
        </w:tc>
      </w:tr>
      <w:tr w14:paraId="155F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B8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（一）</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1A50">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建筑工程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6B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6847.45 </w:t>
            </w:r>
          </w:p>
        </w:tc>
      </w:tr>
      <w:tr w14:paraId="2E41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C3A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93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排涝工程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89E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1478.64 </w:t>
            </w:r>
          </w:p>
        </w:tc>
      </w:tr>
      <w:tr w14:paraId="662B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12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17F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灌溉工程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39D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40.66 </w:t>
            </w:r>
          </w:p>
        </w:tc>
      </w:tr>
      <w:tr w14:paraId="0204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B05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E86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分洪工程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250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5067.37 </w:t>
            </w:r>
          </w:p>
        </w:tc>
      </w:tr>
      <w:tr w14:paraId="1469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C41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50D5">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弃渣处置</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DEB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36.70 </w:t>
            </w:r>
          </w:p>
        </w:tc>
      </w:tr>
      <w:tr w14:paraId="25E5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1A9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FCA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其他工程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654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224.08 </w:t>
            </w:r>
          </w:p>
        </w:tc>
      </w:tr>
      <w:tr w14:paraId="2C157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8B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（二）</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132E">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机电设备及安装工程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EA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134.00 </w:t>
            </w:r>
          </w:p>
        </w:tc>
      </w:tr>
      <w:tr w14:paraId="1145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19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（三）</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6C51">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施工临时工程</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D33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383.07 </w:t>
            </w:r>
          </w:p>
        </w:tc>
      </w:tr>
      <w:tr w14:paraId="4C16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AD9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（四）</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C28F">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独立费用</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55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1221.15 </w:t>
            </w:r>
          </w:p>
        </w:tc>
      </w:tr>
      <w:tr w14:paraId="72E7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E2C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9C9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建设管理费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18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180.24 </w:t>
            </w:r>
          </w:p>
        </w:tc>
      </w:tr>
      <w:tr w14:paraId="67AF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2DD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DE54">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工程建设监理费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F76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117.77 </w:t>
            </w:r>
          </w:p>
        </w:tc>
      </w:tr>
      <w:tr w14:paraId="0AA9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29F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FBC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生产准备费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9CD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27.25 </w:t>
            </w:r>
          </w:p>
        </w:tc>
      </w:tr>
      <w:tr w14:paraId="7C57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A67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5EB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科研勘察设计费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EA2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520.03 </w:t>
            </w:r>
          </w:p>
        </w:tc>
      </w:tr>
      <w:tr w14:paraId="3A95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18F6">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450">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其他</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4B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375.86 </w:t>
            </w:r>
          </w:p>
        </w:tc>
      </w:tr>
      <w:tr w14:paraId="71501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0FD5">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1</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ED5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工程质量检测费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B6A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73.65 </w:t>
            </w:r>
          </w:p>
        </w:tc>
      </w:tr>
      <w:tr w14:paraId="175C1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7458">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2</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4F8">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工程咨询费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4663">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204.22 </w:t>
            </w:r>
          </w:p>
        </w:tc>
      </w:tr>
      <w:tr w14:paraId="52DF3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5C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3</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05A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交易服务费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4A1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64.85 </w:t>
            </w:r>
          </w:p>
        </w:tc>
      </w:tr>
      <w:tr w14:paraId="18363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F79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w:t>
            </w:r>
            <w:r>
              <w:rPr>
                <w:rFonts w:hint="default" w:ascii="Times New Roman" w:hAnsi="Times New Roman" w:eastAsia="宋体" w:cs="Times New Roman"/>
                <w:i w:val="0"/>
                <w:iCs w:val="0"/>
                <w:color w:val="000000"/>
                <w:kern w:val="0"/>
                <w:sz w:val="28"/>
                <w:szCs w:val="28"/>
                <w:u w:val="none"/>
                <w:lang w:val="en-US" w:eastAsia="zh-CN" w:bidi="ar"/>
              </w:rPr>
              <w:t>4</w:t>
            </w:r>
            <w:r>
              <w:rPr>
                <w:rFonts w:hint="eastAsia" w:ascii="方正仿宋_GBK" w:hAnsi="方正仿宋_GBK" w:eastAsia="方正仿宋_GBK" w:cs="方正仿宋_GBK"/>
                <w:i w:val="0"/>
                <w:iCs w:val="0"/>
                <w:color w:val="000000"/>
                <w:kern w:val="0"/>
                <w:sz w:val="28"/>
                <w:szCs w:val="28"/>
                <w:u w:val="none"/>
                <w:lang w:val="en-US" w:eastAsia="zh-CN" w:bidi="ar"/>
              </w:rPr>
              <w:t>）</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11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工程保险费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DD8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33.14 </w:t>
            </w:r>
          </w:p>
        </w:tc>
      </w:tr>
      <w:tr w14:paraId="5DB05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6BB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（五）</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649A">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lang w:val="en-US" w:eastAsia="zh-CN" w:bidi="ar"/>
              </w:rPr>
              <w:t>基本预备费</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C6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429.29 </w:t>
            </w:r>
          </w:p>
        </w:tc>
      </w:tr>
      <w:tr w14:paraId="5155F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26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二</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87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专项部分投资</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27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 xml:space="preserve">388.71 </w:t>
            </w:r>
          </w:p>
        </w:tc>
      </w:tr>
      <w:tr w14:paraId="253E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F11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25A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建设征地与移民安置补偿投资</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CB7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108.71 </w:t>
            </w:r>
          </w:p>
        </w:tc>
      </w:tr>
      <w:tr w14:paraId="2B5FD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2DDF">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BFA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环境保护工程投资</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7E1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120.00 </w:t>
            </w:r>
          </w:p>
        </w:tc>
      </w:tr>
      <w:tr w14:paraId="54B9F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2DB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8DB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水土保持工程投资</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F38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160.00 </w:t>
            </w:r>
          </w:p>
        </w:tc>
      </w:tr>
      <w:tr w14:paraId="5772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650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三</w:t>
            </w:r>
          </w:p>
        </w:tc>
        <w:tc>
          <w:tcPr>
            <w:tcW w:w="4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E25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楷体_GBK" w:hAnsi="方正楷体_GBK" w:eastAsia="方正楷体_GBK" w:cs="方正楷体_GBK"/>
                <w:b/>
                <w:bCs/>
                <w:i w:val="0"/>
                <w:iCs w:val="0"/>
                <w:color w:val="000000"/>
                <w:kern w:val="0"/>
                <w:sz w:val="28"/>
                <w:szCs w:val="28"/>
                <w:u w:val="none"/>
                <w:lang w:val="en-US" w:eastAsia="zh-CN" w:bidi="ar"/>
              </w:rPr>
              <w:t>建设项目总投资估算</w:t>
            </w:r>
          </w:p>
        </w:tc>
        <w:tc>
          <w:tcPr>
            <w:tcW w:w="2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5D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9403.67</w:t>
            </w:r>
          </w:p>
        </w:tc>
      </w:tr>
    </w:tbl>
    <w:p w14:paraId="34463C78"/>
    <w:p w14:paraId="501B7472"/>
    <w:p w14:paraId="7453FC25"/>
    <w:p w14:paraId="2A2DF636"/>
    <w:p w14:paraId="590512C0"/>
    <w:p w14:paraId="5A028190"/>
    <w:p w14:paraId="4DE2D7E1"/>
    <w:p w14:paraId="1C7F282A"/>
    <w:p w14:paraId="7DDEEA1B"/>
    <w:p w14:paraId="7F3F9EAE"/>
    <w:p w14:paraId="64E35502"/>
    <w:p w14:paraId="1609EC01"/>
    <w:p w14:paraId="78B86EF8"/>
    <w:p w14:paraId="49324657"/>
    <w:p w14:paraId="33DFDA61"/>
    <w:p w14:paraId="0DFC09A7"/>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4</w:t>
      </w:r>
      <w:r>
        <w:rPr>
          <w:rFonts w:eastAsia="方正仿宋_GBK"/>
          <w:sz w:val="28"/>
          <w:szCs w:val="28"/>
          <w:u w:val="thick"/>
        </w:rPr>
        <w:t>月</w:t>
      </w:r>
      <w:r>
        <w:rPr>
          <w:rFonts w:hint="eastAsia" w:eastAsia="方正仿宋_GBK"/>
          <w:sz w:val="28"/>
          <w:szCs w:val="28"/>
          <w:u w:val="thick"/>
          <w:lang w:val="en-US" w:eastAsia="zh-CN"/>
        </w:rPr>
        <w:t>8</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B9890371-D88C-4C02-BF05-5BE1D9F89964}"/>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7A1F1A32-0FEE-4AA3-824F-865B6D297E22}"/>
  </w:font>
  <w:font w:name="方正楷体_GBK">
    <w:panose1 w:val="03000509000000000000"/>
    <w:charset w:val="86"/>
    <w:family w:val="auto"/>
    <w:pitch w:val="default"/>
    <w:sig w:usb0="00000001" w:usb1="080E0000" w:usb2="00000000" w:usb3="00000000" w:csb0="00040000" w:csb1="00000000"/>
    <w:embedRegular r:id="rId3" w:fontKey="{6B546279-3937-4AC5-98A2-9BFC13853956}"/>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556441CC-0698-413A-8CCC-8DEE9D2C27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AD61B81"/>
    <w:rsid w:val="0B7A378A"/>
    <w:rsid w:val="0C443D5D"/>
    <w:rsid w:val="0C4A4FFD"/>
    <w:rsid w:val="0CFC0645"/>
    <w:rsid w:val="0D37421D"/>
    <w:rsid w:val="0E090617"/>
    <w:rsid w:val="10402F22"/>
    <w:rsid w:val="14CA633F"/>
    <w:rsid w:val="15636F5B"/>
    <w:rsid w:val="175C5702"/>
    <w:rsid w:val="193E59D1"/>
    <w:rsid w:val="1B9E2247"/>
    <w:rsid w:val="1EAC07D7"/>
    <w:rsid w:val="1F013809"/>
    <w:rsid w:val="1F950368"/>
    <w:rsid w:val="226B0259"/>
    <w:rsid w:val="250D18ED"/>
    <w:rsid w:val="254A0970"/>
    <w:rsid w:val="27351CB2"/>
    <w:rsid w:val="28D139F4"/>
    <w:rsid w:val="2AD46A97"/>
    <w:rsid w:val="31A87524"/>
    <w:rsid w:val="39705D78"/>
    <w:rsid w:val="397671E0"/>
    <w:rsid w:val="3EF47EDA"/>
    <w:rsid w:val="487D33E1"/>
    <w:rsid w:val="4AF901D0"/>
    <w:rsid w:val="4F735634"/>
    <w:rsid w:val="4FFB4CF6"/>
    <w:rsid w:val="5130612A"/>
    <w:rsid w:val="534E1E00"/>
    <w:rsid w:val="5726180C"/>
    <w:rsid w:val="5F75634D"/>
    <w:rsid w:val="5FFE1A79"/>
    <w:rsid w:val="616F605C"/>
    <w:rsid w:val="653B0AE4"/>
    <w:rsid w:val="66560D21"/>
    <w:rsid w:val="678D70A8"/>
    <w:rsid w:val="6A6C1DE8"/>
    <w:rsid w:val="6AF30A16"/>
    <w:rsid w:val="6BAE6A0F"/>
    <w:rsid w:val="6C68355C"/>
    <w:rsid w:val="6CE440E0"/>
    <w:rsid w:val="6EF61234"/>
    <w:rsid w:val="764E6BC5"/>
    <w:rsid w:val="78624336"/>
    <w:rsid w:val="798F3B7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character" w:customStyle="1" w:styleId="24">
    <w:name w:val="font51"/>
    <w:basedOn w:val="11"/>
    <w:uiPriority w:val="0"/>
    <w:rPr>
      <w:rFonts w:hint="eastAsia" w:ascii="方正黑体_GBK" w:hAnsi="方正黑体_GBK" w:eastAsia="方正黑体_GBK" w:cs="方正黑体_GBK"/>
      <w:color w:val="000000"/>
      <w:sz w:val="30"/>
      <w:szCs w:val="30"/>
      <w:u w:val="none"/>
    </w:rPr>
  </w:style>
  <w:style w:type="character" w:customStyle="1" w:styleId="25">
    <w:name w:val="font11"/>
    <w:basedOn w:val="11"/>
    <w:qFormat/>
    <w:uiPriority w:val="0"/>
    <w:rPr>
      <w:rFonts w:hint="eastAsia" w:ascii="方正黑体_GBK" w:hAnsi="方正黑体_GBK" w:eastAsia="方正黑体_GBK" w:cs="方正黑体_GBK"/>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5</Pages>
  <Words>739</Words>
  <Characters>854</Characters>
  <Lines>11</Lines>
  <Paragraphs>3</Paragraphs>
  <TotalTime>5</TotalTime>
  <ScaleCrop>false</ScaleCrop>
  <LinksUpToDate>false</LinksUpToDate>
  <CharactersWithSpaces>859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2026-04-08T08:21:00Z</cp:lastPrinted>
  <dcterms:modified xsi:type="dcterms:W3CDTF">2026-04-09T01:27:17Z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