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122</w:t>
      </w:r>
      <w:bookmarkStart w:id="1" w:name="_GoBack"/>
      <w:bookmarkEnd w:id="1"/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6685B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黔江区2026年“四好农村路”建设项目黄溪镇塘河村1组（小地名，汪家丫口）联网路硬化工程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6507E0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szCs w:val="32"/>
        </w:rPr>
      </w:pPr>
    </w:p>
    <w:p w14:paraId="795BCB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59755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年“四好农村路”建设项目黄溪镇塘河村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1组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（小地名，汪家丫口）联网路硬化工程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年“四好农村路”建设项目黄溪镇塘河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村1组（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小地名，汪家丫口）联网路硬化工程</w:t>
      </w:r>
      <w:r>
        <w:rPr>
          <w:rFonts w:hint="eastAsia" w:ascii="方正仿宋_GBK" w:hAnsi="方正仿宋_GBK" w:eastAsia="方正仿宋_GBK" w:cs="方正仿宋_GBK"/>
          <w:szCs w:val="32"/>
        </w:rPr>
        <w:t>（项目代码：</w:t>
      </w:r>
      <w:r>
        <w:rPr>
          <w:rFonts w:hint="default" w:ascii="Times New Roman" w:hAnsi="Times New Roman" w:eastAsia="方正仿宋_GBK" w:cs="Times New Roman"/>
          <w:szCs w:val="32"/>
        </w:rPr>
        <w:t>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default" w:ascii="Times New Roman" w:hAnsi="Times New Roman" w:eastAsia="方正仿宋_GBK" w:cs="Times New Roman"/>
          <w:szCs w:val="32"/>
        </w:rPr>
        <w:t>-500114-04-01-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595029</w:t>
      </w:r>
      <w:r>
        <w:rPr>
          <w:rFonts w:hint="default" w:ascii="Times New Roman" w:hAnsi="Times New Roman" w:eastAsia="方正仿宋_GBK" w:cs="Times New Roman"/>
          <w:szCs w:val="32"/>
        </w:rPr>
        <w:t>）。现将项</w:t>
      </w:r>
      <w:r>
        <w:rPr>
          <w:rFonts w:hint="eastAsia" w:ascii="方正仿宋_GBK" w:hAnsi="方正仿宋_GBK" w:eastAsia="方正仿宋_GBK" w:cs="方正仿宋_GBK"/>
          <w:szCs w:val="32"/>
        </w:rPr>
        <w:t>目可行性研究报告批复如下：</w:t>
      </w:r>
    </w:p>
    <w:p w14:paraId="44FAF2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F33AA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1EA9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线全长1.381公里，共涉及1条路段，主线起于汪家口，止于熊家槽，全长1.381公里。对该项目全线硬化，路基宽度4.5米，20厘米厚C25水泥混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凝土路面。</w:t>
      </w:r>
    </w:p>
    <w:p w14:paraId="35C781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个月。</w:t>
      </w:r>
    </w:p>
    <w:p w14:paraId="18790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估算总投资79.62万元，其中：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工程费用73.27万元，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工程建设其他费4.03万元，基本预备费2.32万元。资金来源为中央专项补助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资金，不足部分由业主自筹。</w:t>
      </w:r>
    </w:p>
    <w:p w14:paraId="271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0C2DA2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09D553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667F92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黔江区2026年“四好农村路”建设项目黄溪镇塘河村</w:t>
      </w:r>
    </w:p>
    <w:p w14:paraId="534A61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520" w:firstLineChars="500"/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1组（小地名，汪家丫口）联网路硬化工程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0D22403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</w:pPr>
    </w:p>
    <w:p w14:paraId="08C56A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73F66A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2C4F83AC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E5E66DA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黔江区2026年“四好农村路”建设项目黄溪镇塘河村1组</w:t>
      </w:r>
    </w:p>
    <w:p w14:paraId="474338B3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（小地名，汪家丫口）联网路硬化工程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0A6714B1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5910"/>
        <w:gridCol w:w="1935"/>
      </w:tblGrid>
      <w:tr w14:paraId="605A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19D7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73.27 </w:t>
            </w:r>
          </w:p>
        </w:tc>
      </w:tr>
      <w:tr w14:paraId="1400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9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黔江区2026年“四好农村路”建设项目黄溪镇塘河村1组（小地名，汪家丫口）联网路硬化工程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2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73.27 </w:t>
            </w:r>
          </w:p>
        </w:tc>
      </w:tr>
      <w:tr w14:paraId="47DA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4.03 </w:t>
            </w:r>
          </w:p>
        </w:tc>
      </w:tr>
      <w:tr w14:paraId="5F2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C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1.48 </w:t>
            </w:r>
          </w:p>
        </w:tc>
      </w:tr>
      <w:tr w14:paraId="641D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1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2.20 </w:t>
            </w:r>
          </w:p>
        </w:tc>
      </w:tr>
      <w:tr w14:paraId="11B9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7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4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0.06 </w:t>
            </w:r>
          </w:p>
        </w:tc>
      </w:tr>
      <w:tr w14:paraId="715C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4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0.29 </w:t>
            </w:r>
          </w:p>
        </w:tc>
      </w:tr>
      <w:tr w14:paraId="4D37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2.32 </w:t>
            </w:r>
          </w:p>
        </w:tc>
      </w:tr>
      <w:tr w14:paraId="7585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79.62</w:t>
            </w:r>
          </w:p>
        </w:tc>
      </w:tr>
    </w:tbl>
    <w:p w14:paraId="21C4218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7787B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84D61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617B1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2173F5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3242A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0FF1B4C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C20257C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482D2E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156315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9CF2D2E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3</Pages>
  <Words>896</Words>
  <Characters>1009</Characters>
  <Lines>4</Lines>
  <Paragraphs>1</Paragraphs>
  <TotalTime>1</TotalTime>
  <ScaleCrop>false</ScaleCrop>
  <LinksUpToDate>false</LinksUpToDate>
  <CharactersWithSpaces>1165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2026-04-17T08:07:00Z</cp:lastPrinted>
  <dcterms:modified xsi:type="dcterms:W3CDTF">2026-04-17T08:13:15Z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