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0561E6">
      <w:pPr>
        <w:overflowPunct w:val="0"/>
        <w:adjustRightInd/>
        <w:spacing w:line="240" w:lineRule="auto"/>
        <w:rPr>
          <w:rFonts w:ascii="方正仿宋_GBK" w:hAnsi="方正仿宋_GBK" w:cs="方正仿宋_GBK"/>
          <w:bCs/>
        </w:rPr>
      </w:pPr>
    </w:p>
    <w:p w14:paraId="45B7705A">
      <w:pPr>
        <w:overflowPunct w:val="0"/>
        <w:adjustRightInd/>
        <w:spacing w:line="240" w:lineRule="auto"/>
        <w:rPr>
          <w:rFonts w:ascii="方正仿宋_GBK" w:hAnsi="方正仿宋_GBK" w:cs="方正仿宋_GBK"/>
          <w:bCs/>
        </w:rPr>
      </w:pPr>
    </w:p>
    <w:p w14:paraId="0E68E3D1">
      <w:pPr>
        <w:overflowPunct w:val="0"/>
        <w:adjustRightInd/>
        <w:spacing w:line="240" w:lineRule="auto"/>
        <w:rPr>
          <w:rFonts w:ascii="方正仿宋_GBK" w:hAnsi="方正仿宋_GBK" w:cs="方正仿宋_GBK"/>
          <w:bCs/>
        </w:rPr>
      </w:pPr>
    </w:p>
    <w:p w14:paraId="7D82B414">
      <w:pPr>
        <w:overflowPunct w:val="0"/>
        <w:adjustRightInd/>
        <w:spacing w:line="240" w:lineRule="auto"/>
        <w:rPr>
          <w:bCs/>
        </w:rPr>
      </w:pPr>
    </w:p>
    <w:p w14:paraId="7FA0BC8A">
      <w:pPr>
        <w:overflowPunct w:val="0"/>
        <w:adjustRightInd/>
        <w:spacing w:line="240" w:lineRule="auto"/>
        <w:rPr>
          <w:bCs/>
        </w:rPr>
      </w:pPr>
      <w:r>
        <w:rPr>
          <w:bCs/>
          <w:i w:val="0"/>
          <w:iCs w:val="0"/>
        </w:rPr>
        <w:pict>
          <v:shape id="_x0000_s1038" o:spid="_x0000_s1038" o:spt="136" type="#_x0000_t136" style="position:absolute;left:0pt;margin-left:7.75pt;margin-top:4.8pt;height:53.85pt;width:425.2pt;z-index:251660288;mso-width-relative:page;mso-height-relative:page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重庆市黔江区发展和改革委员会文件" style="font-family:方正小标宋_GBK;font-size:36pt;v-text-align:center;"/>
          </v:shape>
        </w:pict>
      </w:r>
    </w:p>
    <w:p w14:paraId="78FEA080">
      <w:pPr>
        <w:overflowPunct w:val="0"/>
        <w:adjustRightInd/>
        <w:spacing w:line="240" w:lineRule="auto"/>
        <w:jc w:val="center"/>
        <w:rPr>
          <w:rFonts w:eastAsia="宋体"/>
          <w:kern w:val="2"/>
        </w:rPr>
      </w:pPr>
    </w:p>
    <w:p w14:paraId="1CDC2D20">
      <w:pPr>
        <w:overflowPunct w:val="0"/>
        <w:adjustRightInd/>
        <w:spacing w:line="240" w:lineRule="auto"/>
        <w:rPr>
          <w:bCs/>
        </w:rPr>
      </w:pPr>
    </w:p>
    <w:p w14:paraId="42A9414E">
      <w:pPr>
        <w:adjustRightInd/>
        <w:spacing w:line="240" w:lineRule="auto"/>
        <w:jc w:val="center"/>
        <w:rPr>
          <w:i/>
          <w:iCs/>
        </w:rPr>
      </w:pPr>
    </w:p>
    <w:p w14:paraId="0FB03F15">
      <w:pPr>
        <w:adjustRightInd/>
        <w:spacing w:line="240" w:lineRule="auto"/>
        <w:jc w:val="center"/>
        <w:rPr>
          <w:rFonts w:eastAsia="宋体"/>
          <w:bCs/>
          <w:iCs/>
        </w:rPr>
      </w:pPr>
      <w:r>
        <w:rPr>
          <w:rFonts w:hint="eastAsia"/>
          <w:i w:val="0"/>
          <w:iCs w:val="0"/>
          <w:lang w:eastAsia="zh-CN"/>
        </w:rPr>
        <w:t>黔江发改委发〔2026〕</w:t>
      </w:r>
      <w:r>
        <w:rPr>
          <w:rFonts w:hint="eastAsia"/>
          <w:i w:val="0"/>
          <w:iCs w:val="0"/>
          <w:lang w:val="en-US" w:eastAsia="zh-CN"/>
        </w:rPr>
        <w:t>131</w:t>
      </w:r>
      <w:r>
        <w:rPr>
          <w:rFonts w:ascii="方正仿宋_GBK" w:hAnsi="方正仿宋_GBK" w:cs="方正仿宋_GBK"/>
          <w:i w:val="0"/>
          <w:iCs w:val="0"/>
        </w:rPr>
        <w:t>号</w:t>
      </w:r>
      <w:r>
        <w:rPr>
          <w:iCs/>
        </w:rPr>
        <w:pict>
          <v:rect id="_x0000_s1028" o:spid="_x0000_s1028" o:spt="1" style="position:absolute;left:0pt;margin-left:0pt;margin-top:25.95pt;height:2.25pt;width:442.2pt;z-index:251659264;mso-width-relative:page;mso-height-relative:page;" fillcolor="#FF0202" filled="t" stroked="f" coordsize="21600,21600">
            <v:path/>
            <v:fill on="t" focussize="0,0"/>
            <v:stroke on="f"/>
            <v:imagedata o:title=""/>
            <o:lock v:ext="edit"/>
            <v:textbox>
              <w:txbxContent>
                <w:p w14:paraId="1E9C08F3">
                  <w:pPr>
                    <w:jc w:val="center"/>
                  </w:pPr>
                </w:p>
              </w:txbxContent>
            </v:textbox>
          </v:rect>
        </w:pict>
      </w:r>
    </w:p>
    <w:p w14:paraId="1C91029D">
      <w:pPr>
        <w:overflowPunct w:val="0"/>
        <w:adjustRightInd/>
        <w:spacing w:line="580" w:lineRule="exact"/>
        <w:jc w:val="both"/>
        <w:textAlignment w:val="auto"/>
        <w:rPr>
          <w:rFonts w:eastAsia="方正小标宋_GBK"/>
          <w:kern w:val="2"/>
          <w:sz w:val="44"/>
          <w:szCs w:val="44"/>
        </w:rPr>
      </w:pPr>
    </w:p>
    <w:p w14:paraId="7090E3E5">
      <w:pPr>
        <w:pStyle w:val="2"/>
      </w:pPr>
    </w:p>
    <w:p w14:paraId="08A6A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5" w:lineRule="exact"/>
        <w:ind w:firstLine="0"/>
        <w:jc w:val="center"/>
        <w:textAlignment w:val="baseline"/>
        <w:rPr>
          <w:rFonts w:hint="eastAsia" w:eastAsia="方正小标宋_GBK"/>
          <w:bCs/>
          <w:kern w:val="2"/>
          <w:sz w:val="44"/>
          <w:szCs w:val="44"/>
        </w:rPr>
      </w:pPr>
      <w:r>
        <w:rPr>
          <w:rFonts w:hint="eastAsia" w:eastAsia="方正小标宋_GBK"/>
          <w:bCs/>
          <w:kern w:val="2"/>
          <w:sz w:val="44"/>
          <w:szCs w:val="44"/>
        </w:rPr>
        <w:t>重庆市黔江区发展和改革委员会</w:t>
      </w:r>
    </w:p>
    <w:p w14:paraId="682E45B2">
      <w:pPr>
        <w:snapToGrid w:val="0"/>
        <w:spacing w:line="595" w:lineRule="exact"/>
        <w:ind w:firstLine="200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关于</w:t>
      </w:r>
      <w:r>
        <w:rPr>
          <w:rFonts w:hint="eastAsia" w:eastAsia="方正小标宋_GBK"/>
          <w:sz w:val="44"/>
          <w:szCs w:val="44"/>
          <w:lang w:val="zh-CN"/>
        </w:rPr>
        <w:t>黔江区2026年“四好农村路”建设项目邻鄂镇松林村6组黑林口至邻鄂村6组马头坡公路硬化工程</w:t>
      </w:r>
      <w:r>
        <w:rPr>
          <w:rFonts w:hint="eastAsia" w:eastAsia="方正小标宋_GBK"/>
          <w:sz w:val="44"/>
          <w:szCs w:val="44"/>
        </w:rPr>
        <w:t>可行性研究报告</w:t>
      </w:r>
      <w:r>
        <w:rPr>
          <w:rFonts w:eastAsia="方正小标宋_GBK"/>
          <w:sz w:val="44"/>
          <w:szCs w:val="44"/>
        </w:rPr>
        <w:t>的批复</w:t>
      </w:r>
    </w:p>
    <w:p w14:paraId="0EC1D57A">
      <w:pPr>
        <w:spacing w:line="595" w:lineRule="exact"/>
        <w:rPr>
          <w:szCs w:val="32"/>
        </w:rPr>
      </w:pPr>
    </w:p>
    <w:p w14:paraId="6778E10F">
      <w:pPr>
        <w:spacing w:line="500" w:lineRule="exact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  <w:lang w:eastAsia="zh-CN"/>
        </w:rPr>
        <w:t>黔江区邻鄂镇人民政府</w:t>
      </w:r>
      <w:r>
        <w:rPr>
          <w:rFonts w:eastAsia="方正仿宋_GBK"/>
          <w:sz w:val="32"/>
          <w:szCs w:val="32"/>
        </w:rPr>
        <w:t>：</w:t>
      </w:r>
    </w:p>
    <w:p w14:paraId="26AB269D">
      <w:pPr>
        <w:pStyle w:val="3"/>
        <w:spacing w:line="500" w:lineRule="exact"/>
        <w:ind w:left="0" w:leftChars="0" w:firstLine="632" w:firstLineChars="200"/>
        <w:rPr>
          <w:rFonts w:hint="default" w:ascii="Times New Roman" w:hAnsi="Times New Roman" w:eastAsia="方正仿宋_GBK" w:cs="Times New Roman"/>
          <w:szCs w:val="32"/>
        </w:rPr>
      </w:pPr>
      <w:r>
        <w:rPr>
          <w:rFonts w:hint="eastAsia" w:ascii="方正仿宋_GBK" w:hAnsi="方正仿宋_GBK" w:eastAsia="方正仿宋_GBK" w:cs="方正仿宋_GBK"/>
          <w:szCs w:val="32"/>
          <w:lang w:eastAsia="zh-CN"/>
        </w:rPr>
        <w:t>你单位《关于</w:t>
      </w:r>
      <w:r>
        <w:rPr>
          <w:rFonts w:hint="default" w:ascii="Times New Roman" w:hAnsi="Times New Roman" w:eastAsia="方正仿宋_GBK" w:cs="Times New Roman"/>
          <w:szCs w:val="32"/>
          <w:lang w:eastAsia="zh-CN"/>
        </w:rPr>
        <w:t>报送</w:t>
      </w:r>
      <w:r>
        <w:rPr>
          <w:rFonts w:hint="default" w:ascii="Times New Roman" w:hAnsi="Times New Roman" w:eastAsia="方正仿宋_GBK" w:cs="Times New Roman"/>
          <w:szCs w:val="32"/>
          <w:lang w:val="zh-CN" w:eastAsia="zh-CN"/>
        </w:rPr>
        <w:t>黔江区2026</w:t>
      </w:r>
      <w:r>
        <w:rPr>
          <w:rFonts w:hint="eastAsia" w:ascii="方正仿宋_GBK" w:hAnsi="方正仿宋_GBK" w:eastAsia="方正仿宋_GBK" w:cs="方正仿宋_GBK"/>
          <w:szCs w:val="32"/>
          <w:lang w:val="zh-CN" w:eastAsia="zh-CN"/>
        </w:rPr>
        <w:t>年“四好农村路”建设项目邻鄂镇松林村</w:t>
      </w:r>
      <w:r>
        <w:rPr>
          <w:rFonts w:hint="default" w:ascii="Times New Roman" w:hAnsi="Times New Roman" w:eastAsia="方正仿宋_GBK" w:cs="Times New Roman"/>
          <w:szCs w:val="32"/>
          <w:lang w:val="zh-CN" w:eastAsia="zh-CN"/>
        </w:rPr>
        <w:t>6组黑林口至邻鄂村6组马头坡公路硬化工程</w:t>
      </w:r>
      <w:r>
        <w:rPr>
          <w:rFonts w:hint="default" w:ascii="Times New Roman" w:hAnsi="Times New Roman" w:eastAsia="方正仿宋_GBK" w:cs="Times New Roman"/>
          <w:szCs w:val="32"/>
          <w:lang w:eastAsia="zh-CN"/>
        </w:rPr>
        <w:t>可行性研究报告的函</w:t>
      </w:r>
      <w:r>
        <w:rPr>
          <w:rFonts w:hint="default" w:ascii="Times New Roman" w:hAnsi="Times New Roman" w:eastAsia="方正仿宋_GBK" w:cs="Times New Roman"/>
          <w:szCs w:val="32"/>
        </w:rPr>
        <w:t>》（</w:t>
      </w:r>
      <w:r>
        <w:rPr>
          <w:rFonts w:hint="default" w:ascii="Times New Roman" w:hAnsi="Times New Roman" w:eastAsia="方正仿宋_GBK" w:cs="Times New Roman"/>
          <w:szCs w:val="32"/>
          <w:lang w:eastAsia="zh-CN"/>
        </w:rPr>
        <w:t>邻鄂府函</w:t>
      </w:r>
      <w:r>
        <w:rPr>
          <w:rFonts w:hint="default" w:ascii="Times New Roman" w:hAnsi="Times New Roman" w:eastAsia="方正小标宋_GBK" w:cs="Times New Roman"/>
          <w:szCs w:val="32"/>
        </w:rPr>
        <w:t>〔</w:t>
      </w:r>
      <w:r>
        <w:rPr>
          <w:rFonts w:hint="default" w:ascii="Times New Roman" w:hAnsi="Times New Roman" w:eastAsia="方正仿宋_GBK" w:cs="Times New Roman"/>
          <w:szCs w:val="32"/>
        </w:rPr>
        <w:t>202</w:t>
      </w:r>
      <w:r>
        <w:rPr>
          <w:rFonts w:hint="default" w:ascii="Times New Roman" w:hAnsi="Times New Roman" w:eastAsia="方正仿宋_GBK" w:cs="Times New Roman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Cs w:val="32"/>
        </w:rPr>
        <w:t>〕</w:t>
      </w:r>
      <w:r>
        <w:rPr>
          <w:rFonts w:hint="default" w:ascii="Times New Roman" w:hAnsi="Times New Roman" w:eastAsia="方正仿宋_GBK" w:cs="Times New Roman"/>
          <w:szCs w:val="32"/>
          <w:lang w:val="en-US" w:eastAsia="zh-CN"/>
        </w:rPr>
        <w:t>51</w:t>
      </w:r>
      <w:r>
        <w:rPr>
          <w:rFonts w:hint="eastAsia" w:ascii="方正仿宋_GBK" w:hAnsi="方正仿宋_GBK" w:eastAsia="方正仿宋_GBK" w:cs="方正仿宋_GBK"/>
          <w:szCs w:val="32"/>
        </w:rPr>
        <w:t>号）收悉。结合黔江区政府投资</w:t>
      </w:r>
      <w:r>
        <w:rPr>
          <w:rFonts w:hint="eastAsia" w:ascii="方正仿宋_GBK" w:hAnsi="方正仿宋_GBK" w:eastAsia="方正仿宋_GBK" w:cs="方正仿宋_GBK"/>
          <w:szCs w:val="32"/>
          <w:lang w:eastAsia="zh-CN"/>
        </w:rPr>
        <w:t>项目前期工作服务</w:t>
      </w:r>
      <w:r>
        <w:rPr>
          <w:rFonts w:hint="eastAsia" w:ascii="方正仿宋_GBK" w:hAnsi="方正仿宋_GBK" w:eastAsia="方正仿宋_GBK" w:cs="方正仿宋_GBK"/>
          <w:szCs w:val="32"/>
        </w:rPr>
        <w:t>中心的评</w:t>
      </w:r>
      <w:r>
        <w:rPr>
          <w:rFonts w:hint="eastAsia" w:ascii="方正仿宋_GBK" w:hAnsi="方正仿宋_GBK" w:eastAsia="方正仿宋_GBK" w:cs="方正仿宋_GBK"/>
          <w:szCs w:val="32"/>
          <w:lang w:eastAsia="zh-CN"/>
        </w:rPr>
        <w:t>审</w:t>
      </w:r>
      <w:r>
        <w:rPr>
          <w:rFonts w:hint="eastAsia" w:ascii="方正仿宋_GBK" w:hAnsi="方正仿宋_GBK" w:eastAsia="方正仿宋_GBK" w:cs="方正仿宋_GBK"/>
          <w:szCs w:val="32"/>
        </w:rPr>
        <w:t>意见，经研究，同意实施</w:t>
      </w:r>
      <w:r>
        <w:rPr>
          <w:rFonts w:hint="eastAsia" w:ascii="方正仿宋_GBK" w:hAnsi="方正仿宋_GBK" w:eastAsia="方正仿宋_GBK" w:cs="方正仿宋_GBK"/>
          <w:szCs w:val="32"/>
          <w:lang w:val="zh-CN" w:eastAsia="zh-CN"/>
        </w:rPr>
        <w:t>黔</w:t>
      </w:r>
      <w:r>
        <w:rPr>
          <w:rFonts w:hint="default" w:ascii="Times New Roman" w:hAnsi="Times New Roman" w:eastAsia="方正仿宋_GBK" w:cs="Times New Roman"/>
          <w:szCs w:val="32"/>
          <w:lang w:val="zh-CN" w:eastAsia="zh-CN"/>
        </w:rPr>
        <w:t>江区2026年</w:t>
      </w:r>
      <w:r>
        <w:rPr>
          <w:rFonts w:hint="eastAsia" w:ascii="方正仿宋_GBK" w:hAnsi="方正仿宋_GBK" w:eastAsia="方正仿宋_GBK" w:cs="方正仿宋_GBK"/>
          <w:szCs w:val="32"/>
          <w:lang w:val="zh-CN" w:eastAsia="zh-CN"/>
        </w:rPr>
        <w:t>“四好农村路”建设项目邻鄂镇松林</w:t>
      </w:r>
      <w:r>
        <w:rPr>
          <w:rFonts w:hint="default" w:ascii="Times New Roman" w:hAnsi="Times New Roman" w:eastAsia="方正仿宋_GBK" w:cs="Times New Roman"/>
          <w:szCs w:val="32"/>
          <w:lang w:val="zh-CN" w:eastAsia="zh-CN"/>
        </w:rPr>
        <w:t>村6组</w:t>
      </w:r>
      <w:r>
        <w:rPr>
          <w:rFonts w:hint="eastAsia" w:ascii="方正仿宋_GBK" w:hAnsi="方正仿宋_GBK" w:eastAsia="方正仿宋_GBK" w:cs="方正仿宋_GBK"/>
          <w:szCs w:val="32"/>
          <w:lang w:val="zh-CN" w:eastAsia="zh-CN"/>
        </w:rPr>
        <w:t>黑林口至邻</w:t>
      </w:r>
      <w:r>
        <w:rPr>
          <w:rFonts w:hint="default" w:ascii="Times New Roman" w:hAnsi="Times New Roman" w:eastAsia="方正仿宋_GBK" w:cs="Times New Roman"/>
          <w:szCs w:val="32"/>
          <w:lang w:val="zh-CN" w:eastAsia="zh-CN"/>
        </w:rPr>
        <w:t>鄂村6组马头坡公路硬化工程</w:t>
      </w:r>
      <w:r>
        <w:rPr>
          <w:rFonts w:hint="default" w:ascii="Times New Roman" w:hAnsi="Times New Roman" w:eastAsia="方正仿宋_GBK" w:cs="Times New Roman"/>
          <w:szCs w:val="32"/>
        </w:rPr>
        <w:t>（项目代码：2</w:t>
      </w:r>
      <w:r>
        <w:rPr>
          <w:rFonts w:hint="default" w:ascii="Times New Roman" w:hAnsi="Times New Roman" w:eastAsia="方正仿宋_GBK" w:cs="Times New Roman"/>
          <w:szCs w:val="32"/>
          <w:lang w:val="en-US" w:eastAsia="zh-CN"/>
        </w:rPr>
        <w:t>604</w:t>
      </w:r>
      <w:r>
        <w:rPr>
          <w:rFonts w:hint="eastAsia" w:ascii="方正仿宋_GBK" w:hAnsi="方正仿宋_GBK" w:eastAsia="方正仿宋_GBK" w:cs="方正仿宋_GBK"/>
          <w:szCs w:val="32"/>
        </w:rPr>
        <w:t>-</w:t>
      </w:r>
      <w:r>
        <w:rPr>
          <w:rFonts w:hint="default" w:ascii="Times New Roman" w:hAnsi="Times New Roman" w:eastAsia="方正仿宋_GBK" w:cs="Times New Roman"/>
          <w:szCs w:val="32"/>
        </w:rPr>
        <w:t>500114</w:t>
      </w:r>
      <w:r>
        <w:rPr>
          <w:rFonts w:hint="eastAsia" w:ascii="方正仿宋_GBK" w:hAnsi="方正仿宋_GBK" w:eastAsia="方正仿宋_GBK" w:cs="方正仿宋_GBK"/>
          <w:szCs w:val="32"/>
        </w:rPr>
        <w:t>-</w:t>
      </w:r>
      <w:r>
        <w:rPr>
          <w:rFonts w:hint="default" w:ascii="Times New Roman" w:hAnsi="Times New Roman" w:eastAsia="方正仿宋_GBK" w:cs="Times New Roman"/>
          <w:szCs w:val="32"/>
        </w:rPr>
        <w:t>04</w:t>
      </w:r>
      <w:r>
        <w:rPr>
          <w:rFonts w:hint="eastAsia" w:ascii="方正仿宋_GBK" w:hAnsi="方正仿宋_GBK" w:eastAsia="方正仿宋_GBK" w:cs="方正仿宋_GBK"/>
          <w:szCs w:val="32"/>
        </w:rPr>
        <w:t>-</w:t>
      </w:r>
      <w:r>
        <w:rPr>
          <w:rFonts w:hint="default" w:ascii="Times New Roman" w:hAnsi="Times New Roman" w:eastAsia="方正仿宋_GBK" w:cs="Times New Roman"/>
          <w:szCs w:val="32"/>
        </w:rPr>
        <w:t>01</w:t>
      </w:r>
      <w:r>
        <w:rPr>
          <w:rFonts w:hint="eastAsia" w:ascii="方正仿宋_GBK" w:hAnsi="方正仿宋_GBK" w:eastAsia="方正仿宋_GBK" w:cs="方正仿宋_GBK"/>
          <w:szCs w:val="32"/>
        </w:rPr>
        <w:t>-</w:t>
      </w:r>
      <w:r>
        <w:rPr>
          <w:rFonts w:hint="default" w:ascii="Times New Roman" w:hAnsi="Times New Roman" w:eastAsia="方正仿宋_GBK" w:cs="Times New Roman"/>
          <w:szCs w:val="32"/>
          <w:lang w:val="en-US" w:eastAsia="zh-CN"/>
        </w:rPr>
        <w:t>845498</w:t>
      </w:r>
      <w:r>
        <w:rPr>
          <w:rFonts w:hint="default" w:ascii="Times New Roman" w:hAnsi="Times New Roman" w:eastAsia="方正仿宋_GBK" w:cs="Times New Roman"/>
          <w:szCs w:val="32"/>
        </w:rPr>
        <w:t>）。现将项目可行性研究报告批复如下：</w:t>
      </w:r>
    </w:p>
    <w:p w14:paraId="2DC88FD9">
      <w:pPr>
        <w:spacing w:line="595" w:lineRule="exact"/>
        <w:ind w:firstLine="632" w:firstLineChars="200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eastAsia="方正黑体_GBK"/>
          <w:sz w:val="32"/>
          <w:szCs w:val="32"/>
        </w:rPr>
        <w:t>一、项目法人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：黔江区邻鄂镇人民政府</w:t>
      </w:r>
    </w:p>
    <w:p w14:paraId="41979F61">
      <w:pPr>
        <w:spacing w:line="595" w:lineRule="exact"/>
        <w:ind w:firstLine="632" w:firstLineChars="200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zh-CN" w:eastAsia="zh-CN" w:bidi="ar-SA"/>
        </w:rPr>
      </w:pPr>
      <w:r>
        <w:rPr>
          <w:rFonts w:hint="eastAsia" w:eastAsia="方正黑体_GBK"/>
          <w:sz w:val="32"/>
          <w:szCs w:val="32"/>
        </w:rPr>
        <w:t>二、建设地点：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zh-CN" w:eastAsia="zh-CN" w:bidi="ar-SA"/>
        </w:rPr>
        <w:t>邻鄂镇</w:t>
      </w:r>
    </w:p>
    <w:p w14:paraId="395717D0">
      <w:pPr>
        <w:autoSpaceDE w:val="0"/>
        <w:autoSpaceDN w:val="0"/>
        <w:adjustRightInd w:val="0"/>
        <w:spacing w:line="595" w:lineRule="exact"/>
        <w:ind w:firstLine="632" w:firstLineChars="200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eastAsia="方正黑体_GBK"/>
          <w:sz w:val="32"/>
          <w:szCs w:val="32"/>
        </w:rPr>
        <w:t>三、主要建设内容及规模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：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项目路线全长4.620公里，共涉及5条路线，路线1起于黑林口，止于炉子坑，路线长1.925公里；路线2起于蚕棚，止于炉子坑，路线长0.300公里；路线3起于炉缸井，止于鹰嘴岩，路线长1.092公里；路线4起于鹰嘴岩，止于大坪上，路线长0.783公里；路线5起于大塘，止于大塘，路线长0.520公里。对该项目全线硬化，路基宽度4.5米，20厘米厚C25水泥混凝土路面。</w:t>
      </w:r>
    </w:p>
    <w:p w14:paraId="0C1BCC89">
      <w:pPr>
        <w:spacing w:line="500" w:lineRule="exact"/>
        <w:ind w:firstLine="632" w:firstLineChars="200"/>
        <w:rPr>
          <w:rFonts w:hint="eastAsia" w:eastAsia="方正仿宋_GBK"/>
          <w:sz w:val="32"/>
          <w:szCs w:val="32"/>
        </w:rPr>
      </w:pPr>
      <w:r>
        <w:rPr>
          <w:rFonts w:hint="eastAsia" w:eastAsia="方正黑体_GBK"/>
          <w:sz w:val="32"/>
          <w:szCs w:val="32"/>
        </w:rPr>
        <w:t>四、</w:t>
      </w:r>
      <w:r>
        <w:rPr>
          <w:rFonts w:eastAsia="方正黑体_GBK"/>
          <w:sz w:val="32"/>
          <w:szCs w:val="32"/>
        </w:rPr>
        <w:t>建设工期：</w:t>
      </w:r>
      <w:r>
        <w:rPr>
          <w:rFonts w:hint="eastAsia" w:eastAsia="方正黑体_GBK"/>
          <w:sz w:val="32"/>
          <w:szCs w:val="32"/>
          <w:lang w:val="en-US" w:eastAsia="zh-CN"/>
        </w:rPr>
        <w:t>6</w:t>
      </w:r>
      <w:r>
        <w:rPr>
          <w:rFonts w:eastAsia="方正仿宋_GBK"/>
          <w:sz w:val="32"/>
          <w:szCs w:val="32"/>
        </w:rPr>
        <w:t>个月。</w:t>
      </w:r>
    </w:p>
    <w:p w14:paraId="314B3F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95" w:lineRule="exact"/>
        <w:ind w:right="0" w:rightChars="0" w:firstLine="667" w:firstLineChars="211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kern w:val="2"/>
          <w:sz w:val="32"/>
          <w:szCs w:val="32"/>
          <w:lang w:val="zh-CN" w:eastAsia="zh-CN" w:bidi="ar-SA"/>
        </w:rPr>
      </w:pPr>
      <w:r>
        <w:rPr>
          <w:rFonts w:hint="eastAsia" w:eastAsia="方正黑体_GBK"/>
          <w:sz w:val="32"/>
          <w:szCs w:val="32"/>
          <w:lang w:val="en-US" w:eastAsia="zh-CN"/>
        </w:rPr>
        <w:t>五、项目总投资及资金来源：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项目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估算总投资261.38万元，其中：</w:t>
      </w:r>
      <w:bookmarkStart w:id="0" w:name="_Hlk133242824"/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工程费用244.79万元，</w:t>
      </w:r>
      <w:bookmarkEnd w:id="0"/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工程建设其他费8.98万元，基本预备费7.61万元。资金来源为中央专项补助资金，不足部分由业主自筹。</w:t>
      </w:r>
    </w:p>
    <w:p w14:paraId="6F8DC0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rightChars="0" w:firstLine="640"/>
        <w:jc w:val="both"/>
        <w:textAlignment w:val="auto"/>
        <w:outlineLvl w:val="9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六、招标核准：</w:t>
      </w:r>
      <w:r>
        <w:rPr>
          <w:rFonts w:ascii="方正仿宋_GBK" w:hAnsi="方正仿宋_GBK" w:eastAsia="方正仿宋_GBK" w:cs="方正仿宋_GBK"/>
          <w:color w:val="auto"/>
          <w:spacing w:val="0"/>
          <w:position w:val="0"/>
          <w:sz w:val="32"/>
          <w:shd w:val="clear" w:color="auto" w:fill="auto"/>
        </w:rPr>
        <w:t>招标范围、招标方式及招标组织形式严格按照《中华人民共和国招标投标法实施条例》及相关法律规定组织实施。</w:t>
      </w:r>
    </w:p>
    <w:p w14:paraId="5279C65A">
      <w:pPr>
        <w:pStyle w:val="4"/>
        <w:spacing w:line="520" w:lineRule="exact"/>
        <w:ind w:firstLine="632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七、有关事项：</w:t>
      </w:r>
      <w:r>
        <w:rPr>
          <w:rFonts w:hint="default" w:ascii="方正仿宋_GBK" w:hAnsi="方正仿宋_GBK" w:eastAsia="方正仿宋_GBK" w:cs="方正仿宋_GBK"/>
          <w:color w:val="auto"/>
          <w:spacing w:val="0"/>
          <w:kern w:val="2"/>
          <w:position w:val="0"/>
          <w:sz w:val="32"/>
          <w:szCs w:val="22"/>
          <w:shd w:val="clear" w:color="auto" w:fill="auto"/>
          <w:lang w:val="en-US" w:eastAsia="zh-CN" w:bidi="ar-SA"/>
        </w:rPr>
        <w:t>请你单位根据本批复，结合项目可行性研究报告评估意见，抓紧开展下步工作。要严格执行项目法人责任制、招标投标制、工程监理制、合同管理制，严格控制工程投资标准，防止工程超过审定投资。</w:t>
      </w:r>
    </w:p>
    <w:p w14:paraId="2BBB2338">
      <w:pPr>
        <w:pStyle w:val="4"/>
        <w:spacing w:line="520" w:lineRule="exact"/>
        <w:ind w:firstLine="632" w:firstLineChars="200"/>
        <w:rPr>
          <w:rFonts w:hint="eastAsia" w:ascii="Times New Roman" w:hAnsi="Times New Roman" w:eastAsia="方正仿宋_GBK"/>
          <w:sz w:val="32"/>
          <w:szCs w:val="32"/>
        </w:rPr>
      </w:pPr>
      <w:bookmarkStart w:id="1" w:name="_GoBack"/>
      <w:bookmarkEnd w:id="1"/>
    </w:p>
    <w:p w14:paraId="0DA11CB2">
      <w:pPr>
        <w:pStyle w:val="4"/>
        <w:spacing w:line="520" w:lineRule="exact"/>
        <w:ind w:firstLine="632" w:firstLineChars="200"/>
        <w:rPr>
          <w:rFonts w:hint="eastAsia" w:ascii="Times New Roman" w:hAnsi="Times New Roman" w:eastAsia="方正仿宋_GBK"/>
          <w:sz w:val="32"/>
          <w:szCs w:val="32"/>
          <w:lang w:val="zh-CN" w:eastAsia="zh-CN"/>
        </w:rPr>
      </w:pPr>
      <w:r>
        <w:rPr>
          <w:rFonts w:hint="eastAsia" w:ascii="Times New Roman" w:hAnsi="Times New Roman" w:eastAsia="方正仿宋_GBK"/>
          <w:sz w:val="32"/>
          <w:szCs w:val="32"/>
        </w:rPr>
        <w:t>附件：</w:t>
      </w:r>
      <w:r>
        <w:rPr>
          <w:rFonts w:hint="eastAsia" w:ascii="Times New Roman" w:hAnsi="Times New Roman" w:eastAsia="方正仿宋_GBK"/>
          <w:sz w:val="32"/>
          <w:szCs w:val="32"/>
          <w:lang w:val="zh-CN" w:eastAsia="zh-CN"/>
        </w:rPr>
        <w:t>黔江区2026年“四好农村路”建设项目邻鄂镇松林村</w:t>
      </w:r>
    </w:p>
    <w:p w14:paraId="45DB9675">
      <w:pPr>
        <w:pStyle w:val="4"/>
        <w:spacing w:line="520" w:lineRule="exact"/>
        <w:ind w:firstLine="1580" w:firstLineChars="500"/>
        <w:rPr>
          <w:rFonts w:hint="eastAsia" w:ascii="方正仿宋_GBK" w:hAnsi="方正仿宋_GBK" w:eastAsia="方正仿宋_GBK" w:cs="方正仿宋_GBK"/>
          <w:color w:val="auto"/>
          <w:spacing w:val="0"/>
          <w:kern w:val="2"/>
          <w:position w:val="0"/>
          <w:sz w:val="32"/>
          <w:szCs w:val="2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方正仿宋_GBK"/>
          <w:sz w:val="32"/>
          <w:szCs w:val="32"/>
          <w:lang w:val="zh-CN" w:eastAsia="zh-CN"/>
        </w:rPr>
        <w:t>6组黑林口至邻鄂村6组马头坡公路硬化工程</w:t>
      </w:r>
      <w:r>
        <w:rPr>
          <w:rFonts w:hint="eastAsia" w:ascii="方正仿宋_GBK" w:hAnsi="方正仿宋_GBK" w:eastAsia="方正仿宋_GBK" w:cs="方正仿宋_GBK"/>
          <w:color w:val="auto"/>
          <w:spacing w:val="0"/>
          <w:kern w:val="2"/>
          <w:position w:val="0"/>
          <w:sz w:val="32"/>
          <w:szCs w:val="22"/>
          <w:shd w:val="clear" w:color="auto" w:fill="auto"/>
          <w:lang w:val="en-US" w:eastAsia="zh-CN" w:bidi="ar-SA"/>
        </w:rPr>
        <w:t>投资估</w:t>
      </w:r>
    </w:p>
    <w:p w14:paraId="0B97540D">
      <w:pPr>
        <w:pStyle w:val="4"/>
        <w:spacing w:line="520" w:lineRule="exact"/>
        <w:ind w:firstLine="1580" w:firstLineChars="500"/>
        <w:rPr>
          <w:rFonts w:hint="eastAsia" w:ascii="方正仿宋_GBK" w:hAnsi="方正仿宋_GBK" w:eastAsia="方正仿宋_GBK" w:cs="方正仿宋_GBK"/>
          <w:color w:val="auto"/>
          <w:spacing w:val="0"/>
          <w:kern w:val="2"/>
          <w:position w:val="0"/>
          <w:sz w:val="32"/>
          <w:szCs w:val="22"/>
          <w:shd w:val="clear" w:color="auto" w:fill="auto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spacing w:val="0"/>
          <w:kern w:val="2"/>
          <w:position w:val="0"/>
          <w:sz w:val="32"/>
          <w:szCs w:val="22"/>
          <w:shd w:val="clear" w:color="auto" w:fill="auto"/>
          <w:lang w:val="en-US" w:eastAsia="zh-CN" w:bidi="ar-SA"/>
        </w:rPr>
        <w:t>算表</w:t>
      </w:r>
    </w:p>
    <w:p w14:paraId="26E3C1E4">
      <w:pPr>
        <w:pStyle w:val="4"/>
        <w:spacing w:line="520" w:lineRule="exact"/>
        <w:ind w:firstLine="1580" w:firstLineChars="500"/>
        <w:rPr>
          <w:rFonts w:hint="eastAsia" w:ascii="方正仿宋_GBK" w:hAnsi="方正仿宋_GBK" w:eastAsia="方正仿宋_GBK" w:cs="方正仿宋_GBK"/>
          <w:color w:val="auto"/>
          <w:spacing w:val="0"/>
          <w:kern w:val="2"/>
          <w:position w:val="0"/>
          <w:sz w:val="32"/>
          <w:szCs w:val="22"/>
          <w:shd w:val="clear" w:color="auto" w:fill="auto"/>
          <w:lang w:val="en-US" w:eastAsia="zh-CN" w:bidi="ar-SA"/>
        </w:rPr>
      </w:pPr>
    </w:p>
    <w:p w14:paraId="15426E0B">
      <w:pPr>
        <w:pStyle w:val="4"/>
        <w:spacing w:line="520" w:lineRule="exact"/>
        <w:ind w:left="1908" w:leftChars="304" w:hanging="948" w:hangingChars="300"/>
        <w:rPr>
          <w:rFonts w:hint="eastAsia" w:ascii="方正仿宋_GBK" w:hAnsi="方正仿宋_GBK" w:eastAsia="方正仿宋_GBK" w:cs="方正仿宋_GBK"/>
          <w:color w:val="auto"/>
          <w:spacing w:val="0"/>
          <w:kern w:val="2"/>
          <w:position w:val="0"/>
          <w:sz w:val="32"/>
          <w:szCs w:val="22"/>
          <w:shd w:val="clear" w:color="auto" w:fill="auto"/>
          <w:lang w:val="en-US" w:eastAsia="zh-CN" w:bidi="ar-SA"/>
        </w:rPr>
      </w:pPr>
    </w:p>
    <w:p w14:paraId="280ECD6E">
      <w:pPr>
        <w:spacing w:line="500" w:lineRule="exact"/>
        <w:ind w:firstLine="3476" w:firstLineChars="11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重庆市黔江区发展和改革委员会</w:t>
      </w:r>
    </w:p>
    <w:p w14:paraId="771DE57F">
      <w:pPr>
        <w:pStyle w:val="3"/>
        <w:spacing w:line="500" w:lineRule="exact"/>
        <w:ind w:firstLine="632" w:firstLineChars="200"/>
        <w:rPr>
          <w:rFonts w:ascii="Times New Roman" w:hAnsi="Times New Roman" w:eastAsia="方正仿宋_GBK"/>
          <w:sz w:val="28"/>
          <w:szCs w:val="28"/>
        </w:rPr>
      </w:pPr>
      <w:r>
        <w:rPr>
          <w:rFonts w:eastAsia="方正仿宋_GBK"/>
          <w:szCs w:val="32"/>
        </w:rPr>
        <w:t xml:space="preserve">                </w:t>
      </w:r>
      <w:r>
        <w:rPr>
          <w:rFonts w:hint="eastAsia" w:eastAsia="方正仿宋_GBK"/>
          <w:szCs w:val="32"/>
        </w:rPr>
        <w:t xml:space="preserve">        202</w:t>
      </w:r>
      <w:r>
        <w:rPr>
          <w:rFonts w:hint="eastAsia" w:eastAsia="方正仿宋_GBK"/>
          <w:szCs w:val="32"/>
          <w:lang w:val="en-US" w:eastAsia="zh-CN"/>
        </w:rPr>
        <w:t>5</w:t>
      </w:r>
      <w:r>
        <w:rPr>
          <w:rFonts w:eastAsia="方正仿宋_GBK"/>
        </w:rPr>
        <w:t>年</w:t>
      </w:r>
      <w:r>
        <w:rPr>
          <w:rFonts w:hint="eastAsia" w:eastAsia="方正仿宋_GBK"/>
          <w:lang w:val="en-US" w:eastAsia="zh-CN"/>
        </w:rPr>
        <w:t>4</w:t>
      </w:r>
      <w:r>
        <w:rPr>
          <w:rFonts w:eastAsia="方正仿宋_GBK"/>
        </w:rPr>
        <w:t>月</w:t>
      </w:r>
      <w:r>
        <w:rPr>
          <w:rFonts w:hint="eastAsia" w:eastAsia="方正仿宋_GBK"/>
          <w:lang w:val="en-US" w:eastAsia="zh-CN"/>
        </w:rPr>
        <w:t>23</w:t>
      </w:r>
      <w:r>
        <w:rPr>
          <w:rFonts w:eastAsia="方正仿宋_GBK"/>
        </w:rPr>
        <w:t>日</w:t>
      </w:r>
    </w:p>
    <w:p w14:paraId="6FF19324">
      <w:pPr>
        <w:pStyle w:val="4"/>
        <w:spacing w:line="500" w:lineRule="exact"/>
        <w:rPr>
          <w:rFonts w:ascii="Times New Roman" w:hAnsi="Times New Roman" w:eastAsia="方正仿宋_GBK"/>
          <w:sz w:val="28"/>
          <w:szCs w:val="28"/>
        </w:rPr>
      </w:pPr>
    </w:p>
    <w:p w14:paraId="33ECE78B">
      <w:pPr>
        <w:pStyle w:val="4"/>
        <w:spacing w:line="500" w:lineRule="exact"/>
        <w:rPr>
          <w:rFonts w:ascii="Times New Roman" w:hAnsi="Times New Roman" w:eastAsia="方正仿宋_GBK"/>
          <w:sz w:val="28"/>
          <w:szCs w:val="28"/>
        </w:rPr>
      </w:pPr>
    </w:p>
    <w:p w14:paraId="72E795FD">
      <w:pPr>
        <w:pStyle w:val="4"/>
        <w:spacing w:line="500" w:lineRule="exact"/>
        <w:rPr>
          <w:rFonts w:hint="eastAsia" w:ascii="Times New Roman" w:hAnsi="Times New Roman" w:eastAsia="方正仿宋_GBK"/>
          <w:sz w:val="28"/>
          <w:szCs w:val="28"/>
        </w:rPr>
      </w:pPr>
    </w:p>
    <w:p w14:paraId="6F44BEC0">
      <w:pPr>
        <w:pStyle w:val="4"/>
        <w:spacing w:line="500" w:lineRule="exact"/>
        <w:rPr>
          <w:rFonts w:hint="eastAsia" w:ascii="Times New Roman" w:hAnsi="Times New Roman" w:eastAsia="方正仿宋_GBK"/>
          <w:sz w:val="28"/>
          <w:szCs w:val="28"/>
        </w:rPr>
      </w:pPr>
    </w:p>
    <w:p w14:paraId="68028EF9">
      <w:pPr>
        <w:pStyle w:val="4"/>
        <w:spacing w:line="500" w:lineRule="exact"/>
        <w:rPr>
          <w:rFonts w:hint="eastAsia" w:ascii="Times New Roman" w:hAnsi="Times New Roman" w:eastAsia="方正仿宋_GBK"/>
          <w:sz w:val="28"/>
          <w:szCs w:val="28"/>
        </w:rPr>
      </w:pPr>
    </w:p>
    <w:p w14:paraId="5B2F7219">
      <w:pPr>
        <w:pStyle w:val="4"/>
        <w:spacing w:line="500" w:lineRule="exact"/>
        <w:rPr>
          <w:rFonts w:hint="eastAsia" w:ascii="Times New Roman" w:hAnsi="Times New Roman" w:eastAsia="方正仿宋_GBK"/>
          <w:sz w:val="28"/>
          <w:szCs w:val="28"/>
        </w:rPr>
      </w:pPr>
    </w:p>
    <w:p w14:paraId="7FFA17FD">
      <w:pPr>
        <w:pStyle w:val="4"/>
        <w:spacing w:line="500" w:lineRule="exact"/>
        <w:rPr>
          <w:rFonts w:hint="eastAsia" w:ascii="Times New Roman" w:hAnsi="Times New Roman" w:eastAsia="方正仿宋_GBK"/>
          <w:sz w:val="28"/>
          <w:szCs w:val="28"/>
        </w:rPr>
      </w:pPr>
    </w:p>
    <w:p w14:paraId="11DF154B">
      <w:pPr>
        <w:pStyle w:val="4"/>
        <w:spacing w:line="500" w:lineRule="exact"/>
        <w:rPr>
          <w:rFonts w:hint="eastAsia" w:ascii="Times New Roman" w:hAnsi="Times New Roman" w:eastAsia="方正仿宋_GBK"/>
          <w:sz w:val="28"/>
          <w:szCs w:val="28"/>
        </w:rPr>
      </w:pPr>
    </w:p>
    <w:p w14:paraId="1A2134FD">
      <w:pPr>
        <w:pStyle w:val="4"/>
        <w:spacing w:line="500" w:lineRule="exact"/>
        <w:rPr>
          <w:rFonts w:hint="eastAsia" w:ascii="Times New Roman" w:hAnsi="Times New Roman" w:eastAsia="方正仿宋_GBK"/>
          <w:sz w:val="28"/>
          <w:szCs w:val="28"/>
        </w:rPr>
      </w:pPr>
    </w:p>
    <w:p w14:paraId="64E718AB">
      <w:pPr>
        <w:pStyle w:val="4"/>
        <w:spacing w:line="500" w:lineRule="exact"/>
        <w:rPr>
          <w:rFonts w:hint="eastAsia" w:ascii="Times New Roman" w:hAnsi="Times New Roman" w:eastAsia="方正仿宋_GBK"/>
          <w:sz w:val="28"/>
          <w:szCs w:val="28"/>
        </w:rPr>
      </w:pPr>
    </w:p>
    <w:p w14:paraId="1EB85DB4">
      <w:pPr>
        <w:pStyle w:val="4"/>
        <w:spacing w:line="500" w:lineRule="exact"/>
        <w:rPr>
          <w:rFonts w:hint="eastAsia" w:ascii="Times New Roman" w:hAnsi="Times New Roman" w:eastAsia="方正仿宋_GBK"/>
          <w:sz w:val="28"/>
          <w:szCs w:val="28"/>
        </w:rPr>
      </w:pPr>
    </w:p>
    <w:p w14:paraId="53568DBC">
      <w:pPr>
        <w:pStyle w:val="4"/>
        <w:spacing w:line="500" w:lineRule="exact"/>
        <w:rPr>
          <w:rFonts w:hint="eastAsia" w:ascii="Times New Roman" w:hAnsi="Times New Roman" w:eastAsia="方正仿宋_GBK"/>
          <w:sz w:val="28"/>
          <w:szCs w:val="28"/>
        </w:rPr>
      </w:pPr>
    </w:p>
    <w:p w14:paraId="4BA5E301">
      <w:pPr>
        <w:pStyle w:val="4"/>
        <w:spacing w:line="500" w:lineRule="exact"/>
        <w:rPr>
          <w:rFonts w:hint="eastAsia" w:ascii="Times New Roman" w:hAnsi="Times New Roman" w:eastAsia="方正仿宋_GBK"/>
          <w:sz w:val="28"/>
          <w:szCs w:val="28"/>
        </w:rPr>
      </w:pPr>
    </w:p>
    <w:p w14:paraId="57DA3C55">
      <w:pPr>
        <w:pStyle w:val="4"/>
        <w:spacing w:line="500" w:lineRule="exact"/>
        <w:rPr>
          <w:rFonts w:hint="eastAsia" w:ascii="Times New Roman" w:hAnsi="Times New Roman" w:eastAsia="方正仿宋_GBK"/>
          <w:sz w:val="28"/>
          <w:szCs w:val="28"/>
        </w:rPr>
      </w:pPr>
    </w:p>
    <w:p w14:paraId="1F06AB28">
      <w:pPr>
        <w:pStyle w:val="4"/>
        <w:spacing w:line="500" w:lineRule="exact"/>
        <w:rPr>
          <w:rFonts w:hint="eastAsia" w:ascii="Times New Roman" w:hAnsi="Times New Roman" w:eastAsia="方正仿宋_GBK"/>
          <w:sz w:val="28"/>
          <w:szCs w:val="28"/>
        </w:rPr>
      </w:pPr>
    </w:p>
    <w:p w14:paraId="70E84AA2">
      <w:pPr>
        <w:pStyle w:val="4"/>
        <w:jc w:val="lef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</w:p>
    <w:p w14:paraId="4DC11052">
      <w:pPr>
        <w:pStyle w:val="4"/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zh-CN" w:eastAsia="zh-CN"/>
        </w:rPr>
        <w:t>黔江区2026年“四好农村路”建设项目邻鄂镇松林村6组黑林口至邻鄂村6组马头坡公路硬化工程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投资估算表</w:t>
      </w:r>
    </w:p>
    <w:p w14:paraId="5BA3740F">
      <w:pPr>
        <w:pStyle w:val="4"/>
        <w:jc w:val="center"/>
        <w:rPr>
          <w:rFonts w:hint="eastAsia" w:ascii="方正黑体_GBK" w:hAnsi="方正黑体_GBK" w:eastAsia="方正黑体_GBK" w:cs="方正黑体_GBK"/>
          <w:sz w:val="32"/>
          <w:szCs w:val="32"/>
        </w:rPr>
      </w:pPr>
    </w:p>
    <w:tbl>
      <w:tblPr>
        <w:tblStyle w:val="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60"/>
        <w:gridCol w:w="4940"/>
        <w:gridCol w:w="2715"/>
      </w:tblGrid>
      <w:tr w14:paraId="46D49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67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   号</w:t>
            </w:r>
          </w:p>
        </w:tc>
        <w:tc>
          <w:tcPr>
            <w:tcW w:w="4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34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工程或费用名称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29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金额（万元）</w:t>
            </w:r>
          </w:p>
        </w:tc>
      </w:tr>
      <w:tr w14:paraId="23422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5B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</w:t>
            </w:r>
          </w:p>
        </w:tc>
        <w:tc>
          <w:tcPr>
            <w:tcW w:w="4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8B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工程费用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FA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244.79 </w:t>
            </w:r>
          </w:p>
        </w:tc>
      </w:tr>
      <w:tr w14:paraId="5F2B9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38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A3C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B361C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黔江区2026年“四好农村路”建设项目邻鄂镇松林村6组黑林口至邻鄂村6组马头坡公路硬化工程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EE2C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244.79 </w:t>
            </w:r>
          </w:p>
        </w:tc>
      </w:tr>
      <w:tr w14:paraId="1543D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5C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</w:t>
            </w:r>
          </w:p>
        </w:tc>
        <w:tc>
          <w:tcPr>
            <w:tcW w:w="4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C6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工程建设其他费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2B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8.98 </w:t>
            </w:r>
          </w:p>
        </w:tc>
      </w:tr>
      <w:tr w14:paraId="6B215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84D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77BDD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工程建设监理费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28A8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5.55 </w:t>
            </w:r>
          </w:p>
        </w:tc>
      </w:tr>
      <w:tr w14:paraId="7524D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E14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48C0E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建设项目前期工作费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43D1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2.26 </w:t>
            </w:r>
          </w:p>
        </w:tc>
      </w:tr>
      <w:tr w14:paraId="433C7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A41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44DFA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设计文件审查费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7E2B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0.19 </w:t>
            </w:r>
          </w:p>
        </w:tc>
      </w:tr>
      <w:tr w14:paraId="7E9FD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447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4AA9A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工程保险费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D9FC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0.98 </w:t>
            </w:r>
          </w:p>
        </w:tc>
      </w:tr>
      <w:tr w14:paraId="4F018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0C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</w:t>
            </w:r>
          </w:p>
        </w:tc>
        <w:tc>
          <w:tcPr>
            <w:tcW w:w="4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CD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基本预备费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48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7.61 </w:t>
            </w:r>
          </w:p>
        </w:tc>
      </w:tr>
      <w:tr w14:paraId="13A8F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18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</w:t>
            </w:r>
          </w:p>
        </w:tc>
        <w:tc>
          <w:tcPr>
            <w:tcW w:w="4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81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建设项目总投资估算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01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261.38</w:t>
            </w:r>
          </w:p>
        </w:tc>
      </w:tr>
    </w:tbl>
    <w:p w14:paraId="5CFCB5C8">
      <w:pPr>
        <w:pStyle w:val="4"/>
        <w:spacing w:line="500" w:lineRule="exact"/>
        <w:rPr>
          <w:rFonts w:ascii="Times New Roman" w:hAnsi="Times New Roman" w:eastAsia="方正仿宋_GBK"/>
          <w:sz w:val="28"/>
          <w:szCs w:val="28"/>
        </w:rPr>
      </w:pPr>
    </w:p>
    <w:p w14:paraId="2D0BF443">
      <w:pPr>
        <w:pStyle w:val="4"/>
        <w:spacing w:line="500" w:lineRule="exact"/>
        <w:rPr>
          <w:rFonts w:ascii="Times New Roman" w:hAnsi="Times New Roman" w:eastAsia="方正仿宋_GBK"/>
          <w:sz w:val="28"/>
          <w:szCs w:val="28"/>
        </w:rPr>
      </w:pPr>
    </w:p>
    <w:p w14:paraId="2C62F0F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="0" w:leftChars="0" w:firstLine="0" w:firstLineChars="0"/>
        <w:jc w:val="both"/>
        <w:textAlignment w:val="baseline"/>
        <w:rPr>
          <w:rFonts w:hint="eastAsia"/>
          <w:kern w:val="2"/>
        </w:rPr>
      </w:pPr>
    </w:p>
    <w:p w14:paraId="6D4FBC6B">
      <w:pPr>
        <w:spacing w:line="440" w:lineRule="exact"/>
        <w:ind w:left="-319" w:leftChars="-101" w:right="-290" w:rightChars="-92"/>
        <w:rPr>
          <w:rFonts w:hint="eastAsia" w:ascii="Times New Roman" w:hAnsi="Times New Roman" w:eastAsia="方正仿宋_GBK" w:cs="Times New Roman"/>
          <w:sz w:val="28"/>
          <w:szCs w:val="28"/>
          <w:u w:val="single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u w:val="thick"/>
        </w:rPr>
        <w:t xml:space="preserve">                  </w:t>
      </w:r>
      <w:r>
        <w:rPr>
          <w:rFonts w:ascii="Times New Roman" w:hAnsi="Times New Roman" w:eastAsia="方正小标宋_GBK" w:cs="Times New Roman"/>
          <w:sz w:val="32"/>
          <w:szCs w:val="32"/>
          <w:u w:val="thick"/>
        </w:rPr>
        <w:t xml:space="preserve">                                           </w:t>
      </w:r>
    </w:p>
    <w:p w14:paraId="472B1091">
      <w:pPr>
        <w:spacing w:line="440" w:lineRule="exact"/>
        <w:ind w:left="-319" w:leftChars="-101" w:right="-290" w:rightChars="-92"/>
        <w:rPr>
          <w:rFonts w:ascii="Times New Roman" w:hAnsi="Times New Roman" w:eastAsia="方正仿宋_GBK" w:cs="Times New Roman"/>
          <w:sz w:val="28"/>
          <w:szCs w:val="28"/>
          <w:u w:val="single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u w:val="single"/>
        </w:rPr>
        <w:t xml:space="preserve">  抄送：区纪委监委、区财政局、区审计局。      </w:t>
      </w:r>
      <w:r>
        <w:rPr>
          <w:rFonts w:hint="eastAsia" w:cs="Times New Roman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Times New Roman" w:hAnsi="Times New Roman" w:eastAsia="方正仿宋_GBK" w:cs="Times New Roman"/>
          <w:sz w:val="28"/>
          <w:szCs w:val="28"/>
          <w:u w:val="single"/>
        </w:rPr>
        <w:t xml:space="preserve">         </w:t>
      </w:r>
      <w:r>
        <w:rPr>
          <w:rFonts w:hint="eastAsia" w:ascii="Times New Roman" w:hAnsi="Times New Roman" w:cs="Times New Roman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28"/>
          <w:szCs w:val="28"/>
          <w:u w:val="none"/>
        </w:rPr>
        <w:t xml:space="preserve">             </w:t>
      </w:r>
    </w:p>
    <w:p w14:paraId="13DE3B32">
      <w:pPr>
        <w:spacing w:line="440" w:lineRule="exact"/>
        <w:ind w:left="-319" w:leftChars="-101" w:right="-290" w:rightChars="-92"/>
        <w:rPr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  <w:u w:val="thick"/>
        </w:rPr>
        <w:t xml:space="preserve"> </w:t>
      </w:r>
      <w:r>
        <w:rPr>
          <w:rFonts w:hint="eastAsia" w:ascii="Times New Roman" w:hAnsi="Times New Roman" w:eastAsia="方正仿宋_GBK" w:cs="Times New Roman"/>
          <w:sz w:val="28"/>
          <w:szCs w:val="28"/>
          <w:u w:val="thick"/>
        </w:rPr>
        <w:t xml:space="preserve"> 重庆市</w:t>
      </w:r>
      <w:r>
        <w:rPr>
          <w:rFonts w:ascii="Times New Roman" w:hAnsi="Times New Roman" w:eastAsia="方正仿宋_GBK" w:cs="Times New Roman"/>
          <w:sz w:val="28"/>
          <w:szCs w:val="28"/>
          <w:u w:val="thick"/>
        </w:rPr>
        <w:t xml:space="preserve">黔江区发展和改革委员会办公室  </w:t>
      </w:r>
      <w:r>
        <w:rPr>
          <w:rFonts w:hint="eastAsia" w:ascii="Times New Roman" w:hAnsi="Times New Roman" w:eastAsia="方正仿宋_GBK" w:cs="Times New Roman"/>
          <w:sz w:val="28"/>
          <w:szCs w:val="28"/>
          <w:u w:val="thick"/>
        </w:rPr>
        <w:t xml:space="preserve"> </w:t>
      </w:r>
      <w:r>
        <w:rPr>
          <w:rFonts w:ascii="Times New Roman" w:hAnsi="Times New Roman" w:eastAsia="方正仿宋_GBK" w:cs="Times New Roman"/>
          <w:sz w:val="28"/>
          <w:szCs w:val="28"/>
          <w:u w:val="thick"/>
        </w:rPr>
        <w:t xml:space="preserve"> </w:t>
      </w:r>
      <w:r>
        <w:rPr>
          <w:rFonts w:hint="eastAsia" w:ascii="Times New Roman" w:hAnsi="Times New Roman" w:eastAsia="方正仿宋_GBK" w:cs="Times New Roman"/>
          <w:sz w:val="28"/>
          <w:szCs w:val="28"/>
          <w:u w:val="thick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8"/>
          <w:szCs w:val="28"/>
          <w:u w:val="thick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sz w:val="28"/>
          <w:szCs w:val="28"/>
          <w:u w:val="thick"/>
          <w:lang w:val="en-US" w:eastAsia="zh-CN"/>
        </w:rPr>
        <w:t xml:space="preserve">  </w:t>
      </w:r>
      <w:r>
        <w:rPr>
          <w:rFonts w:ascii="Times New Roman" w:hAnsi="Times New Roman" w:eastAsia="方正仿宋_GBK" w:cs="Times New Roman"/>
          <w:sz w:val="28"/>
          <w:szCs w:val="28"/>
          <w:u w:val="thick"/>
        </w:rPr>
        <w:t xml:space="preserve">  </w:t>
      </w:r>
      <w:r>
        <w:rPr>
          <w:rFonts w:hint="eastAsia" w:ascii="Times New Roman" w:hAnsi="Times New Roman" w:eastAsia="方正仿宋_GBK" w:cs="Times New Roman"/>
          <w:sz w:val="28"/>
          <w:szCs w:val="28"/>
          <w:u w:val="thick"/>
        </w:rPr>
        <w:t xml:space="preserve"> </w:t>
      </w:r>
      <w:r>
        <w:rPr>
          <w:rFonts w:ascii="Times New Roman" w:hAnsi="Times New Roman" w:eastAsia="方正仿宋_GBK" w:cs="Times New Roman"/>
          <w:sz w:val="28"/>
          <w:szCs w:val="28"/>
          <w:u w:val="thick"/>
        </w:rPr>
        <w:t>20</w:t>
      </w:r>
      <w:r>
        <w:rPr>
          <w:rFonts w:hint="eastAsia" w:ascii="Times New Roman" w:hAnsi="Times New Roman" w:eastAsia="方正仿宋_GBK" w:cs="Times New Roman"/>
          <w:sz w:val="28"/>
          <w:szCs w:val="28"/>
          <w:u w:val="thick"/>
        </w:rPr>
        <w:t>2</w:t>
      </w:r>
      <w:r>
        <w:rPr>
          <w:rFonts w:hint="eastAsia" w:ascii="Times New Roman" w:hAnsi="Times New Roman" w:eastAsia="方正仿宋_GBK" w:cs="Times New Roman"/>
          <w:sz w:val="28"/>
          <w:szCs w:val="28"/>
          <w:u w:val="thick"/>
          <w:lang w:val="en-US" w:eastAsia="zh-CN"/>
        </w:rPr>
        <w:t>6</w:t>
      </w:r>
      <w:r>
        <w:rPr>
          <w:rFonts w:ascii="Times New Roman" w:hAnsi="Times New Roman" w:eastAsia="方正仿宋_GBK" w:cs="Times New Roman"/>
          <w:sz w:val="28"/>
          <w:szCs w:val="28"/>
          <w:u w:val="thick"/>
        </w:rPr>
        <w:t>年</w:t>
      </w:r>
      <w:r>
        <w:rPr>
          <w:rFonts w:hint="eastAsia" w:cs="Times New Roman"/>
          <w:sz w:val="28"/>
          <w:szCs w:val="28"/>
          <w:u w:val="thick"/>
          <w:lang w:val="en-US" w:eastAsia="zh-CN"/>
        </w:rPr>
        <w:t>4</w:t>
      </w:r>
      <w:r>
        <w:rPr>
          <w:rFonts w:ascii="Times New Roman" w:hAnsi="Times New Roman" w:eastAsia="方正仿宋_GBK" w:cs="Times New Roman"/>
          <w:sz w:val="28"/>
          <w:szCs w:val="28"/>
          <w:u w:val="thick"/>
        </w:rPr>
        <w:t>月</w:t>
      </w:r>
      <w:r>
        <w:rPr>
          <w:rFonts w:hint="eastAsia" w:cs="Times New Roman"/>
          <w:sz w:val="28"/>
          <w:szCs w:val="28"/>
          <w:u w:val="thick"/>
          <w:lang w:val="en-US" w:eastAsia="zh-CN"/>
        </w:rPr>
        <w:t>23</w:t>
      </w:r>
      <w:r>
        <w:rPr>
          <w:rFonts w:ascii="Times New Roman" w:hAnsi="Times New Roman" w:eastAsia="方正仿宋_GBK" w:cs="Times New Roman"/>
          <w:sz w:val="28"/>
          <w:szCs w:val="28"/>
          <w:u w:val="thick"/>
        </w:rPr>
        <w:t>日印发</w:t>
      </w:r>
      <w:r>
        <w:rPr>
          <w:rFonts w:hint="eastAsia" w:ascii="Times New Roman" w:hAnsi="Times New Roman" w:eastAsia="方正仿宋_GBK" w:cs="Times New Roman"/>
          <w:sz w:val="28"/>
          <w:szCs w:val="28"/>
          <w:u w:val="thick"/>
        </w:rPr>
        <w:t xml:space="preserve"> </w:t>
      </w:r>
      <w:r>
        <w:rPr>
          <w:rFonts w:ascii="Times New Roman" w:hAnsi="Times New Roman" w:eastAsia="方正仿宋_GBK" w:cs="Times New Roman"/>
          <w:sz w:val="28"/>
          <w:szCs w:val="28"/>
          <w:u w:val="thick"/>
        </w:rPr>
        <w:t xml:space="preserve"> </w:t>
      </w:r>
    </w:p>
    <w:sectPr>
      <w:footerReference r:id="rId5" w:type="default"/>
      <w:footerReference r:id="rId6" w:type="even"/>
      <w:pgSz w:w="11906" w:h="16838"/>
      <w:pgMar w:top="2098" w:right="1474" w:bottom="1984" w:left="1587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88F78F">
    <w:pPr>
      <w:jc w:val="right"/>
      <w:rPr>
        <w:rFonts w:eastAsia="Times New Roman"/>
        <w:sz w:val="18"/>
      </w:rPr>
    </w:pPr>
    <w:r>
      <w:rPr>
        <w:sz w:val="18"/>
      </w:rPr>
      <w:pict>
        <v:shape id="文本框 2" o:spid="_x0000_s204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4C811FE9">
                <w:pPr>
                  <w:snapToGrid w:val="0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— </w:t>
                </w: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1</w:t>
                </w:r>
                <w:r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912553">
    <w:pPr>
      <w:jc w:val="right"/>
      <w:rPr>
        <w:rFonts w:eastAsia="Times New Roman"/>
        <w:sz w:val="18"/>
      </w:rPr>
    </w:pPr>
    <w:r>
      <w:rPr>
        <w:rFonts w:eastAsia="Times New Roman"/>
        <w:sz w:val="18"/>
      </w:rPr>
      <w:fldChar w:fldCharType="begin"/>
    </w:r>
    <w:r>
      <w:rPr>
        <w:rFonts w:eastAsia="Times New Roman"/>
        <w:sz w:val="18"/>
      </w:rPr>
      <w:instrText xml:space="preserve"> PAGE </w:instrText>
    </w:r>
    <w:r>
      <w:rPr>
        <w:rFonts w:eastAsia="Times New Roman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5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doNotSuppressParagraphBorders/>
    <w:footnoteLayoutLikeWW8/>
    <w:forgetLastTabAlignment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01FB"/>
    <w:rsid w:val="000466D6"/>
    <w:rsid w:val="000833DF"/>
    <w:rsid w:val="000836D0"/>
    <w:rsid w:val="000A01FB"/>
    <w:rsid w:val="000B24F9"/>
    <w:rsid w:val="000B4A22"/>
    <w:rsid w:val="000C0BF7"/>
    <w:rsid w:val="000C2FB2"/>
    <w:rsid w:val="000C6B28"/>
    <w:rsid w:val="000D6856"/>
    <w:rsid w:val="000F25BF"/>
    <w:rsid w:val="001005AC"/>
    <w:rsid w:val="001024AA"/>
    <w:rsid w:val="001056AD"/>
    <w:rsid w:val="00182501"/>
    <w:rsid w:val="00185691"/>
    <w:rsid w:val="001B294E"/>
    <w:rsid w:val="001B58F6"/>
    <w:rsid w:val="001C2A04"/>
    <w:rsid w:val="001D3042"/>
    <w:rsid w:val="001E64D7"/>
    <w:rsid w:val="001F7BBB"/>
    <w:rsid w:val="00232D37"/>
    <w:rsid w:val="002466FA"/>
    <w:rsid w:val="00250A8A"/>
    <w:rsid w:val="0026530B"/>
    <w:rsid w:val="00266A87"/>
    <w:rsid w:val="00296D93"/>
    <w:rsid w:val="002B04C6"/>
    <w:rsid w:val="002D3B50"/>
    <w:rsid w:val="002F63F7"/>
    <w:rsid w:val="00301B6D"/>
    <w:rsid w:val="003111F1"/>
    <w:rsid w:val="00392240"/>
    <w:rsid w:val="00396CAE"/>
    <w:rsid w:val="003B3891"/>
    <w:rsid w:val="003D5F25"/>
    <w:rsid w:val="003E4FE8"/>
    <w:rsid w:val="003E5084"/>
    <w:rsid w:val="003F450B"/>
    <w:rsid w:val="00413264"/>
    <w:rsid w:val="004217CD"/>
    <w:rsid w:val="00432433"/>
    <w:rsid w:val="00434D79"/>
    <w:rsid w:val="00474C3A"/>
    <w:rsid w:val="00496D2E"/>
    <w:rsid w:val="00497F00"/>
    <w:rsid w:val="004A1ECE"/>
    <w:rsid w:val="004A2FB3"/>
    <w:rsid w:val="004B7416"/>
    <w:rsid w:val="004C2354"/>
    <w:rsid w:val="004E0474"/>
    <w:rsid w:val="0050535E"/>
    <w:rsid w:val="00572212"/>
    <w:rsid w:val="005777F4"/>
    <w:rsid w:val="005C7EAE"/>
    <w:rsid w:val="005F3C4D"/>
    <w:rsid w:val="006042BD"/>
    <w:rsid w:val="006068C6"/>
    <w:rsid w:val="00615E22"/>
    <w:rsid w:val="00660284"/>
    <w:rsid w:val="006A30D0"/>
    <w:rsid w:val="006C0DE2"/>
    <w:rsid w:val="00720514"/>
    <w:rsid w:val="00720554"/>
    <w:rsid w:val="0072131F"/>
    <w:rsid w:val="00722A13"/>
    <w:rsid w:val="00731C1B"/>
    <w:rsid w:val="00737083"/>
    <w:rsid w:val="00765BC9"/>
    <w:rsid w:val="007770A5"/>
    <w:rsid w:val="00794916"/>
    <w:rsid w:val="007D10A4"/>
    <w:rsid w:val="007F46CB"/>
    <w:rsid w:val="00800B8F"/>
    <w:rsid w:val="00815223"/>
    <w:rsid w:val="00831787"/>
    <w:rsid w:val="00850D3F"/>
    <w:rsid w:val="00853F77"/>
    <w:rsid w:val="00860A47"/>
    <w:rsid w:val="008807F7"/>
    <w:rsid w:val="00891C35"/>
    <w:rsid w:val="008935D1"/>
    <w:rsid w:val="008B74C0"/>
    <w:rsid w:val="008D006A"/>
    <w:rsid w:val="008E5D76"/>
    <w:rsid w:val="008F6151"/>
    <w:rsid w:val="009048D5"/>
    <w:rsid w:val="00904AFE"/>
    <w:rsid w:val="0092122C"/>
    <w:rsid w:val="009220DF"/>
    <w:rsid w:val="009631E1"/>
    <w:rsid w:val="00963243"/>
    <w:rsid w:val="00965CCB"/>
    <w:rsid w:val="00972E17"/>
    <w:rsid w:val="00974193"/>
    <w:rsid w:val="009A5EB0"/>
    <w:rsid w:val="009D4565"/>
    <w:rsid w:val="00A40C10"/>
    <w:rsid w:val="00A443C1"/>
    <w:rsid w:val="00A85F38"/>
    <w:rsid w:val="00A955CD"/>
    <w:rsid w:val="00AA3D4F"/>
    <w:rsid w:val="00AD3EFF"/>
    <w:rsid w:val="00AF7CD3"/>
    <w:rsid w:val="00B1777D"/>
    <w:rsid w:val="00B51CD6"/>
    <w:rsid w:val="00B73014"/>
    <w:rsid w:val="00B741C1"/>
    <w:rsid w:val="00B833D8"/>
    <w:rsid w:val="00BD421E"/>
    <w:rsid w:val="00BF0A53"/>
    <w:rsid w:val="00C363AA"/>
    <w:rsid w:val="00C464A8"/>
    <w:rsid w:val="00C6762A"/>
    <w:rsid w:val="00CD4D55"/>
    <w:rsid w:val="00D01740"/>
    <w:rsid w:val="00D7295A"/>
    <w:rsid w:val="00D878F1"/>
    <w:rsid w:val="00D902A8"/>
    <w:rsid w:val="00D97CFB"/>
    <w:rsid w:val="00DB38C2"/>
    <w:rsid w:val="00DD2B37"/>
    <w:rsid w:val="00DD4877"/>
    <w:rsid w:val="00E03841"/>
    <w:rsid w:val="00E7080E"/>
    <w:rsid w:val="00E73AC1"/>
    <w:rsid w:val="00E770E1"/>
    <w:rsid w:val="00E93235"/>
    <w:rsid w:val="00ED5B9D"/>
    <w:rsid w:val="00EF1554"/>
    <w:rsid w:val="00F14A44"/>
    <w:rsid w:val="00F63B69"/>
    <w:rsid w:val="00F63FF8"/>
    <w:rsid w:val="00FA4D84"/>
    <w:rsid w:val="00FA4DBD"/>
    <w:rsid w:val="00FF1FF7"/>
    <w:rsid w:val="01A06D82"/>
    <w:rsid w:val="01B25A4D"/>
    <w:rsid w:val="03505C66"/>
    <w:rsid w:val="038C50E0"/>
    <w:rsid w:val="039C5442"/>
    <w:rsid w:val="03E25AD3"/>
    <w:rsid w:val="05CD672F"/>
    <w:rsid w:val="07DE0AAA"/>
    <w:rsid w:val="0BCD6AE0"/>
    <w:rsid w:val="0C4A6383"/>
    <w:rsid w:val="0CF02DEE"/>
    <w:rsid w:val="0F8141E3"/>
    <w:rsid w:val="0FBE0C03"/>
    <w:rsid w:val="0FEB39D9"/>
    <w:rsid w:val="10F843A7"/>
    <w:rsid w:val="119229CC"/>
    <w:rsid w:val="11F01372"/>
    <w:rsid w:val="12080E07"/>
    <w:rsid w:val="12C81AA5"/>
    <w:rsid w:val="138E3D1F"/>
    <w:rsid w:val="13C06F2A"/>
    <w:rsid w:val="15384912"/>
    <w:rsid w:val="1578613D"/>
    <w:rsid w:val="174C7453"/>
    <w:rsid w:val="17935082"/>
    <w:rsid w:val="193D01E0"/>
    <w:rsid w:val="1A6E579F"/>
    <w:rsid w:val="1AF51BB0"/>
    <w:rsid w:val="1D2027D0"/>
    <w:rsid w:val="1D4E12BA"/>
    <w:rsid w:val="1E3E4C49"/>
    <w:rsid w:val="1E477CFE"/>
    <w:rsid w:val="1F4C00ED"/>
    <w:rsid w:val="21400CDB"/>
    <w:rsid w:val="226117B6"/>
    <w:rsid w:val="23445D57"/>
    <w:rsid w:val="23570372"/>
    <w:rsid w:val="256B156C"/>
    <w:rsid w:val="25B27047"/>
    <w:rsid w:val="26D83835"/>
    <w:rsid w:val="27F5397D"/>
    <w:rsid w:val="2A3762C8"/>
    <w:rsid w:val="2A467612"/>
    <w:rsid w:val="2AFF29AF"/>
    <w:rsid w:val="2B49432C"/>
    <w:rsid w:val="2B6540BB"/>
    <w:rsid w:val="2B6F62D5"/>
    <w:rsid w:val="2B8704A8"/>
    <w:rsid w:val="2C583D4C"/>
    <w:rsid w:val="2DB96A6D"/>
    <w:rsid w:val="2DD45655"/>
    <w:rsid w:val="2EC622A9"/>
    <w:rsid w:val="2F144C11"/>
    <w:rsid w:val="2F1819BF"/>
    <w:rsid w:val="2FB120F1"/>
    <w:rsid w:val="30C82935"/>
    <w:rsid w:val="32EC51EE"/>
    <w:rsid w:val="331524B7"/>
    <w:rsid w:val="34F125D9"/>
    <w:rsid w:val="358D4A67"/>
    <w:rsid w:val="359D56FF"/>
    <w:rsid w:val="35EF5E14"/>
    <w:rsid w:val="37083883"/>
    <w:rsid w:val="37BF5232"/>
    <w:rsid w:val="37EB016A"/>
    <w:rsid w:val="38146403"/>
    <w:rsid w:val="38B97D28"/>
    <w:rsid w:val="39DF3CFF"/>
    <w:rsid w:val="3A1F5203"/>
    <w:rsid w:val="3BC046A9"/>
    <w:rsid w:val="3D0038A0"/>
    <w:rsid w:val="3D584BA2"/>
    <w:rsid w:val="3E590054"/>
    <w:rsid w:val="3F455D0A"/>
    <w:rsid w:val="401B2DD2"/>
    <w:rsid w:val="402E288B"/>
    <w:rsid w:val="4072332D"/>
    <w:rsid w:val="417E794A"/>
    <w:rsid w:val="44083C3F"/>
    <w:rsid w:val="4577128F"/>
    <w:rsid w:val="45E47B16"/>
    <w:rsid w:val="47651902"/>
    <w:rsid w:val="477B47A9"/>
    <w:rsid w:val="48F84664"/>
    <w:rsid w:val="49BE3F41"/>
    <w:rsid w:val="4A30398A"/>
    <w:rsid w:val="4A9F4CF0"/>
    <w:rsid w:val="4AAE4239"/>
    <w:rsid w:val="4AC07792"/>
    <w:rsid w:val="4B83672E"/>
    <w:rsid w:val="4CE7092E"/>
    <w:rsid w:val="4D393458"/>
    <w:rsid w:val="4E252DB9"/>
    <w:rsid w:val="4E311E0D"/>
    <w:rsid w:val="5073301F"/>
    <w:rsid w:val="50AD3FF8"/>
    <w:rsid w:val="50F9397D"/>
    <w:rsid w:val="513169D7"/>
    <w:rsid w:val="51F223CA"/>
    <w:rsid w:val="52383B54"/>
    <w:rsid w:val="53845485"/>
    <w:rsid w:val="545424E6"/>
    <w:rsid w:val="54BF230B"/>
    <w:rsid w:val="54E47F11"/>
    <w:rsid w:val="55434A67"/>
    <w:rsid w:val="556D1D67"/>
    <w:rsid w:val="55835057"/>
    <w:rsid w:val="55E67F7B"/>
    <w:rsid w:val="56A812A9"/>
    <w:rsid w:val="579A67E6"/>
    <w:rsid w:val="57DB6B64"/>
    <w:rsid w:val="57E72F44"/>
    <w:rsid w:val="584516FE"/>
    <w:rsid w:val="5ADF1011"/>
    <w:rsid w:val="5BB1598F"/>
    <w:rsid w:val="5BC50A62"/>
    <w:rsid w:val="5D413B33"/>
    <w:rsid w:val="5D465377"/>
    <w:rsid w:val="60050F24"/>
    <w:rsid w:val="60DB54F6"/>
    <w:rsid w:val="61263F4D"/>
    <w:rsid w:val="61523763"/>
    <w:rsid w:val="61561366"/>
    <w:rsid w:val="62CA6A4B"/>
    <w:rsid w:val="6383212C"/>
    <w:rsid w:val="65E0558A"/>
    <w:rsid w:val="65E21D1F"/>
    <w:rsid w:val="676254A4"/>
    <w:rsid w:val="67D31EFE"/>
    <w:rsid w:val="68E8683A"/>
    <w:rsid w:val="694D661D"/>
    <w:rsid w:val="696E3491"/>
    <w:rsid w:val="6AFF5937"/>
    <w:rsid w:val="6B0723DE"/>
    <w:rsid w:val="6B225BFF"/>
    <w:rsid w:val="6C3D2854"/>
    <w:rsid w:val="6C4D6279"/>
    <w:rsid w:val="6E163EDE"/>
    <w:rsid w:val="6E246442"/>
    <w:rsid w:val="70672B65"/>
    <w:rsid w:val="726C3FD1"/>
    <w:rsid w:val="735A34D3"/>
    <w:rsid w:val="73815F40"/>
    <w:rsid w:val="74965E13"/>
    <w:rsid w:val="74CD5083"/>
    <w:rsid w:val="76B77724"/>
    <w:rsid w:val="77C6382D"/>
    <w:rsid w:val="7A7973A8"/>
    <w:rsid w:val="7AF43C80"/>
    <w:rsid w:val="7B0C0998"/>
    <w:rsid w:val="7BAA0A78"/>
    <w:rsid w:val="7C5031A0"/>
    <w:rsid w:val="7D6D5C04"/>
    <w:rsid w:val="7E707F48"/>
    <w:rsid w:val="7EFE1DAF"/>
    <w:rsid w:val="7FBF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nhideWhenUsed="0" w:uiPriority="0" w:semiHidden="0" w:name="Table Subtle 2"/>
    <w:lsdException w:uiPriority="0" w:name="Table Web 1"/>
    <w:lsdException w:uiPriority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方正仿宋_GBK" w:cs="Times New Roman"/>
      <w:sz w:val="32"/>
      <w:szCs w:val="3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Body Text Indent"/>
    <w:basedOn w:val="1"/>
    <w:unhideWhenUsed/>
    <w:qFormat/>
    <w:uiPriority w:val="99"/>
    <w:pPr>
      <w:spacing w:line="580" w:lineRule="exact"/>
      <w:ind w:firstLine="630"/>
    </w:pPr>
    <w:rPr>
      <w:rFonts w:eastAsia="仿宋_GB2312"/>
      <w:sz w:val="32"/>
    </w:rPr>
  </w:style>
  <w:style w:type="paragraph" w:styleId="4">
    <w:name w:val="Plain Text"/>
    <w:basedOn w:val="1"/>
    <w:unhideWhenUsed/>
    <w:qFormat/>
    <w:uiPriority w:val="99"/>
    <w:rPr>
      <w:rFonts w:ascii="宋体" w:hAnsi="Courier New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10">
    <w:name w:val="page number"/>
    <w:basedOn w:val="9"/>
    <w:qFormat/>
    <w:uiPriority w:val="0"/>
  </w:style>
  <w:style w:type="character" w:customStyle="1" w:styleId="11">
    <w:name w:val="页脚 字符"/>
    <w:link w:val="6"/>
    <w:qFormat/>
    <w:uiPriority w:val="99"/>
    <w:rPr>
      <w:rFonts w:eastAsia="方正仿宋_GBK"/>
      <w:sz w:val="18"/>
      <w:szCs w:val="18"/>
    </w:rPr>
  </w:style>
  <w:style w:type="character" w:customStyle="1" w:styleId="12">
    <w:name w:val="页眉 字符"/>
    <w:link w:val="7"/>
    <w:qFormat/>
    <w:uiPriority w:val="0"/>
    <w:rPr>
      <w:rFonts w:eastAsia="方正仿宋_GBK"/>
      <w:sz w:val="18"/>
      <w:szCs w:val="18"/>
    </w:rPr>
  </w:style>
  <w:style w:type="paragraph" w:customStyle="1" w:styleId="13">
    <w:name w:val="4.正文"/>
    <w:basedOn w:val="1"/>
    <w:qFormat/>
    <w:uiPriority w:val="0"/>
    <w:pPr>
      <w:ind w:firstLine="200"/>
    </w:pPr>
    <w:rPr>
      <w:color w:val="000000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1038"/>
    <customShpInfo spid="_x0000_s102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6F8B2DB-A60F-4ED5-B950-1C2A063032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jw</Company>
  <Pages>4</Pages>
  <Words>963</Words>
  <Characters>1078</Characters>
  <Lines>4</Lines>
  <Paragraphs>1</Paragraphs>
  <TotalTime>3</TotalTime>
  <ScaleCrop>false</ScaleCrop>
  <LinksUpToDate>false</LinksUpToDate>
  <CharactersWithSpaces>1237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2025-08-06T09:31:00Z</dcterms:created>
  <dc:creator>jw</dc:creator>
  <cp:lastModifiedBy>董丽莉</cp:lastModifiedBy>
  <cp:lastPrinted>2026-04-23T03:47:00Z</cp:lastPrinted>
  <dcterms:modified xsi:type="dcterms:W3CDTF">2026-04-23T03:53:22Z</dcterms:modified>
  <dc:title>批复文件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1D79BF4E7AA445DB84BBD6FF859A0D54</vt:lpwstr>
  </property>
  <property fmtid="{D5CDD505-2E9C-101B-9397-08002B2CF9AE}" pid="3" name="KSOProductBuildVer">
    <vt:lpwstr>2052-12.1.0.25865</vt:lpwstr>
  </property>
  <property fmtid="{D5CDD505-2E9C-101B-9397-08002B2CF9AE}" pid="4" name="KSOTemplateDocerSaveRecord">
    <vt:lpwstr>eyJoZGlkIjoiMTY2Y2ZlYTNkNWI5MzlkYjFiNjgwMzcyNGYwMjIxODUiLCJ1c2VySWQiOiIxOTA1NDczOTIifQ==</vt:lpwstr>
  </property>
</Properties>
</file>