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136</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5804DB3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关于太极镇太极社区一组美丽宜居示范乡镇</w:t>
      </w:r>
    </w:p>
    <w:p w14:paraId="4C73AC44">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建设项目可行性研究报告的批复</w:t>
      </w:r>
    </w:p>
    <w:p w14:paraId="18A892B7">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仿宋_GB2312" w:eastAsia="仿宋_GB2312"/>
          <w:sz w:val="32"/>
        </w:rPr>
      </w:pPr>
    </w:p>
    <w:p w14:paraId="423E06A0">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太极镇人民政府</w:t>
      </w:r>
      <w:r>
        <w:rPr>
          <w:rFonts w:hint="default" w:ascii="Times New Roman" w:hAnsi="Times New Roman" w:eastAsia="方正仿宋_GBK" w:cs="Times New Roman"/>
          <w:b w:val="0"/>
          <w:bCs w:val="0"/>
          <w:sz w:val="32"/>
          <w:szCs w:val="32"/>
        </w:rPr>
        <w:t>：</w:t>
      </w:r>
    </w:p>
    <w:p w14:paraId="7A116D0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你</w:t>
      </w:r>
      <w:r>
        <w:rPr>
          <w:rFonts w:hint="default" w:ascii="Times New Roman" w:hAnsi="Times New Roman" w:eastAsia="方正仿宋_GBK" w:cs="Times New Roman"/>
          <w:b w:val="0"/>
          <w:bCs w:val="0"/>
          <w:sz w:val="32"/>
          <w:szCs w:val="32"/>
          <w:lang w:eastAsia="zh-CN"/>
        </w:rPr>
        <w:t>府</w:t>
      </w:r>
      <w:r>
        <w:rPr>
          <w:rFonts w:hint="default" w:ascii="Times New Roman" w:hAnsi="Times New Roman" w:eastAsia="方正仿宋_GBK" w:cs="Times New Roman"/>
          <w:b w:val="0"/>
          <w:bCs w:val="0"/>
          <w:sz w:val="32"/>
          <w:szCs w:val="32"/>
        </w:rPr>
        <w:t>《关于</w:t>
      </w:r>
      <w:r>
        <w:rPr>
          <w:rFonts w:hint="default" w:ascii="Times New Roman" w:hAnsi="Times New Roman" w:eastAsia="方正仿宋_GBK" w:cs="Times New Roman"/>
          <w:b w:val="0"/>
          <w:bCs w:val="0"/>
          <w:sz w:val="32"/>
          <w:szCs w:val="32"/>
          <w:lang w:eastAsia="zh-CN"/>
        </w:rPr>
        <w:t>审批太极镇太极社区一组美丽宜居示范乡镇建设项目可行性研究报告</w:t>
      </w:r>
      <w:r>
        <w:rPr>
          <w:rFonts w:hint="default" w:ascii="Times New Roman" w:hAnsi="Times New Roman" w:eastAsia="方正仿宋_GBK" w:cs="Times New Roman"/>
          <w:b w:val="0"/>
          <w:bCs w:val="0"/>
          <w:sz w:val="32"/>
          <w:szCs w:val="32"/>
        </w:rPr>
        <w:t>的</w:t>
      </w:r>
      <w:r>
        <w:rPr>
          <w:rFonts w:hint="default" w:ascii="Times New Roman" w:hAnsi="Times New Roman" w:eastAsia="方正仿宋_GBK" w:cs="Times New Roman"/>
          <w:b w:val="0"/>
          <w:bCs w:val="0"/>
          <w:sz w:val="32"/>
          <w:szCs w:val="32"/>
          <w:lang w:eastAsia="zh-CN"/>
        </w:rPr>
        <w:t>函</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太极府函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b w:val="0"/>
          <w:bCs w:val="0"/>
          <w:sz w:val="32"/>
          <w:szCs w:val="32"/>
          <w:lang w:val="en-US" w:eastAsia="zh-CN"/>
        </w:rPr>
        <w:t>32</w:t>
      </w:r>
      <w:r>
        <w:rPr>
          <w:rFonts w:hint="default" w:ascii="Times New Roman" w:hAnsi="Times New Roman" w:eastAsia="方正仿宋_GBK" w:cs="Times New Roman"/>
          <w:b w:val="0"/>
          <w:bCs w:val="0"/>
          <w:sz w:val="32"/>
          <w:szCs w:val="32"/>
        </w:rPr>
        <w:t>号）收悉。</w:t>
      </w:r>
      <w:r>
        <w:rPr>
          <w:rFonts w:hint="default" w:ascii="Times New Roman" w:hAnsi="Times New Roman" w:eastAsia="方正仿宋_GBK" w:cs="Times New Roman"/>
          <w:b w:val="0"/>
          <w:bCs w:val="0"/>
          <w:sz w:val="32"/>
          <w:szCs w:val="32"/>
          <w:lang w:eastAsia="zh-CN"/>
        </w:rPr>
        <w:t>经区政府投资项目前期工作服务中心审核，原则同意该项目可行性研究报告。现批复如下：</w:t>
      </w:r>
    </w:p>
    <w:p w14:paraId="4D3BB1DF">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w:t>
      </w:r>
      <w:r>
        <w:rPr>
          <w:rFonts w:hint="default" w:ascii="Times New Roman" w:hAnsi="Times New Roman" w:eastAsia="方正仿宋_GBK" w:cs="Times New Roman"/>
          <w:b w:val="0"/>
          <w:bCs w:val="0"/>
          <w:sz w:val="32"/>
          <w:szCs w:val="32"/>
          <w:lang w:eastAsia="zh-CN"/>
        </w:rPr>
        <w:t>建设太极镇美丽宜居示范乡镇</w:t>
      </w:r>
      <w:r>
        <w:rPr>
          <w:rFonts w:hint="default" w:ascii="Times New Roman" w:hAnsi="Times New Roman" w:eastAsia="方正仿宋_GBK" w:cs="Times New Roman"/>
          <w:b w:val="0"/>
          <w:bCs w:val="0"/>
          <w:sz w:val="32"/>
          <w:szCs w:val="32"/>
        </w:rPr>
        <w:t>，同意实施该项目。</w:t>
      </w:r>
    </w:p>
    <w:p w14:paraId="57CC9E64">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w:t>
      </w:r>
      <w:r>
        <w:rPr>
          <w:rFonts w:hint="default" w:ascii="Times New Roman" w:hAnsi="Times New Roman" w:eastAsia="方正仿宋_GBK" w:cs="Times New Roman"/>
          <w:b w:val="0"/>
          <w:bCs w:val="0"/>
          <w:sz w:val="32"/>
          <w:szCs w:val="32"/>
          <w:lang w:val="en-US" w:eastAsia="zh-CN"/>
        </w:rPr>
        <w:t>603</w:t>
      </w:r>
      <w:r>
        <w:rPr>
          <w:rFonts w:hint="default" w:ascii="Times New Roman" w:hAnsi="Times New Roman" w:eastAsia="方正仿宋_GBK" w:cs="Times New Roman"/>
          <w:b w:val="0"/>
          <w:bCs w:val="0"/>
          <w:sz w:val="32"/>
          <w:szCs w:val="32"/>
        </w:rPr>
        <w:t>-500114-04-0</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314251</w:t>
      </w:r>
      <w:r>
        <w:rPr>
          <w:rFonts w:hint="default" w:ascii="Times New Roman" w:hAnsi="Times New Roman" w:eastAsia="方正仿宋_GBK" w:cs="Times New Roman"/>
          <w:b w:val="0"/>
          <w:bCs w:val="0"/>
          <w:sz w:val="32"/>
          <w:szCs w:val="32"/>
        </w:rPr>
        <w:t>。</w:t>
      </w:r>
    </w:p>
    <w:p w14:paraId="5CD75042">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三、项目</w:t>
      </w:r>
      <w:r>
        <w:rPr>
          <w:rFonts w:hint="default" w:ascii="Times New Roman" w:hAnsi="Times New Roman" w:eastAsia="方正仿宋_GBK" w:cs="Times New Roman"/>
          <w:b w:val="0"/>
          <w:bCs w:val="0"/>
          <w:sz w:val="32"/>
          <w:szCs w:val="32"/>
          <w:lang w:eastAsia="zh-CN"/>
        </w:rPr>
        <w:t>业主</w:t>
      </w:r>
      <w:r>
        <w:rPr>
          <w:rFonts w:hint="default" w:ascii="Times New Roman" w:hAnsi="Times New Roman" w:eastAsia="方正仿宋_GBK" w:cs="Times New Roman"/>
          <w:b w:val="0"/>
          <w:bCs w:val="0"/>
          <w:sz w:val="32"/>
          <w:szCs w:val="32"/>
        </w:rPr>
        <w:t>：黔江区</w:t>
      </w:r>
      <w:r>
        <w:rPr>
          <w:rFonts w:hint="default" w:ascii="Times New Roman" w:hAnsi="Times New Roman" w:eastAsia="方正仿宋_GBK" w:cs="Times New Roman"/>
          <w:b w:val="0"/>
          <w:bCs w:val="0"/>
          <w:sz w:val="32"/>
          <w:szCs w:val="32"/>
          <w:lang w:eastAsia="zh-CN"/>
        </w:rPr>
        <w:t>太极镇人民政府</w:t>
      </w:r>
    </w:p>
    <w:p w14:paraId="3B7E1DE5">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w:t>
      </w:r>
      <w:r>
        <w:rPr>
          <w:rFonts w:hint="default" w:ascii="Times New Roman" w:hAnsi="Times New Roman" w:eastAsia="方正仿宋_GBK" w:cs="Times New Roman"/>
          <w:b w:val="0"/>
          <w:bCs w:val="0"/>
          <w:sz w:val="32"/>
          <w:szCs w:val="32"/>
          <w:lang w:eastAsia="zh-CN"/>
        </w:rPr>
        <w:t>黔江区太极镇太极社区</w:t>
      </w:r>
      <w:r>
        <w:rPr>
          <w:rFonts w:hint="default" w:ascii="Times New Roman" w:hAnsi="Times New Roman" w:eastAsia="方正仿宋_GBK" w:cs="Times New Roman"/>
          <w:b w:val="0"/>
          <w:bCs w:val="0"/>
          <w:sz w:val="32"/>
          <w:szCs w:val="32"/>
        </w:rPr>
        <w:t>。</w:t>
      </w:r>
    </w:p>
    <w:p w14:paraId="0493BAA3">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五、建设规模、标准及主要建设内容：对场镇内老旧建筑70栋进行外立面整修，整治立面面积14911平方米，其中：青砖墙裙 607平方米，外墙乳胶漆（原砂浆墙面）12351平方米，外墙乳胶漆（原涂料墙面）331平方米，外墙乳胶漆（原瓷砖墙面）238平方米，外墙乳胶漆（原砖墙墙面）240平方米，天棚乳胶漆1144平方米等。</w:t>
      </w:r>
    </w:p>
    <w:p w14:paraId="4BFAAB21">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六、投资估算及资金来源：项目估算总投资257.83万元，其中：工程费用222.10万元，工程建设其他费23.45万元，预备费12.28万元。资金来源为2024年太极镇美丽宜居示范乡镇建设项目绩效补助资金。</w:t>
      </w:r>
    </w:p>
    <w:p w14:paraId="3DFB6209">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个月。</w:t>
      </w:r>
    </w:p>
    <w:p w14:paraId="04FF2618">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八、招标核准：本项目招标范围、招标方式及招标组织形式严格按照《中华人民共和国招标投标法实施条例》</w:t>
      </w:r>
      <w:r>
        <w:rPr>
          <w:rFonts w:hint="default" w:ascii="Times New Roman" w:hAnsi="Times New Roman" w:eastAsia="方正仿宋_GBK" w:cs="Times New Roman"/>
          <w:b w:val="0"/>
          <w:bCs w:val="0"/>
          <w:sz w:val="32"/>
          <w:szCs w:val="32"/>
          <w:lang w:eastAsia="zh-CN"/>
        </w:rPr>
        <w:t>和</w:t>
      </w:r>
      <w:r>
        <w:rPr>
          <w:rFonts w:hint="default" w:ascii="Times New Roman" w:hAnsi="Times New Roman" w:eastAsia="方正仿宋_GBK" w:cs="Times New Roman"/>
          <w:b w:val="0"/>
          <w:bCs w:val="0"/>
          <w:sz w:val="32"/>
          <w:szCs w:val="32"/>
        </w:rPr>
        <w:t>《重庆市黔江区政府投资管理实施办法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有关规定组织实施。</w:t>
      </w:r>
    </w:p>
    <w:p w14:paraId="01684565">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九、有关要求</w:t>
      </w:r>
      <w:r>
        <w:rPr>
          <w:rFonts w:hint="eastAsia" w:eastAsia="方正仿宋_GBK" w:cs="Times New Roman"/>
          <w:b w:val="0"/>
          <w:bCs w:val="0"/>
          <w:sz w:val="32"/>
          <w:szCs w:val="32"/>
          <w:lang w:eastAsia="zh-CN"/>
        </w:rPr>
        <w:t>：</w:t>
      </w:r>
    </w:p>
    <w:p w14:paraId="3EBF6238">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eastAsia="zh-CN"/>
        </w:rPr>
        <w:t>一</w:t>
      </w:r>
      <w:r>
        <w:rPr>
          <w:rFonts w:hint="default" w:ascii="Times New Roman" w:hAnsi="Times New Roman" w:eastAsia="方正仿宋_GBK" w:cs="Times New Roman"/>
          <w:b w:val="0"/>
          <w:bCs w:val="0"/>
          <w:sz w:val="32"/>
          <w:szCs w:val="32"/>
        </w:rPr>
        <w:t>）根据《关于印发村庄建设项目简易审批方案的通知》（黔江发改委发〔2022〕64号文）要求，本项目适用村庄建设项目简易审批程序。本批复中明确的项目投资估算为项目控制性投资，不再审批项目投资概算。</w:t>
      </w:r>
    </w:p>
    <w:p w14:paraId="53F2D185">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bookmarkStart w:id="0" w:name="_Toc174865624"/>
      <w:bookmarkStart w:id="1" w:name="_Toc185755155"/>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eastAsia="zh-CN"/>
        </w:rPr>
        <w:t>二</w:t>
      </w:r>
      <w:r>
        <w:rPr>
          <w:rFonts w:hint="default" w:ascii="Times New Roman" w:hAnsi="Times New Roman" w:eastAsia="方正仿宋_GBK" w:cs="Times New Roman"/>
          <w:b w:val="0"/>
          <w:bCs w:val="0"/>
          <w:sz w:val="32"/>
          <w:szCs w:val="32"/>
        </w:rPr>
        <w:t>）认真落实安全生产责任制,强化项目资金管理，切实控制投资，严控工程质量，加快推进项目实施，确保工程早日建成投用。</w:t>
      </w:r>
    </w:p>
    <w:p w14:paraId="0B62FEA8">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p>
    <w:p w14:paraId="335F6F43">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附件：太极镇太极社区一组美丽宜居示范乡镇建设项目投资</w:t>
      </w:r>
    </w:p>
    <w:p w14:paraId="324C192D">
      <w:pPr>
        <w:keepNext w:val="0"/>
        <w:keepLines w:val="0"/>
        <w:pageBreakBefore w:val="0"/>
        <w:widowControl w:val="0"/>
        <w:kinsoku/>
        <w:wordWrap/>
        <w:overflowPunct/>
        <w:topLinePunct w:val="0"/>
        <w:autoSpaceDE/>
        <w:autoSpaceDN/>
        <w:bidi w:val="0"/>
        <w:adjustRightInd/>
        <w:snapToGrid/>
        <w:spacing w:line="575" w:lineRule="exact"/>
        <w:ind w:left="0" w:leftChars="0" w:firstLine="1478" w:firstLineChars="462"/>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估算表</w:t>
      </w:r>
      <w:bookmarkEnd w:id="0"/>
      <w:bookmarkEnd w:id="1"/>
    </w:p>
    <w:p w14:paraId="4D84B528">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64DB8AA8">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45386926">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79C9893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28</w:t>
      </w:r>
      <w:r>
        <w:rPr>
          <w:rFonts w:hint="default" w:ascii="Times New Roman" w:hAnsi="Times New Roman" w:eastAsia="方正仿宋_GBK" w:cs="Times New Roman"/>
          <w:sz w:val="32"/>
          <w:szCs w:val="32"/>
        </w:rPr>
        <w:t>日</w:t>
      </w:r>
    </w:p>
    <w:p w14:paraId="472ECB0F">
      <w:pPr>
        <w:pStyle w:val="5"/>
        <w:spacing w:line="500" w:lineRule="exact"/>
        <w:rPr>
          <w:rFonts w:hint="eastAsia" w:ascii="方正黑体_GBK" w:hAnsi="方正黑体_GBK" w:eastAsia="方正黑体_GBK" w:cs="方正黑体_GBK"/>
          <w:sz w:val="32"/>
          <w:szCs w:val="32"/>
        </w:rPr>
      </w:pPr>
    </w:p>
    <w:p w14:paraId="5B4B1A74">
      <w:pPr>
        <w:pStyle w:val="5"/>
        <w:spacing w:line="500" w:lineRule="exact"/>
        <w:rPr>
          <w:rFonts w:hint="eastAsia" w:ascii="方正黑体_GBK" w:hAnsi="方正黑体_GBK" w:eastAsia="方正黑体_GBK" w:cs="方正黑体_GBK"/>
          <w:sz w:val="32"/>
          <w:szCs w:val="32"/>
        </w:rPr>
      </w:pPr>
    </w:p>
    <w:p w14:paraId="62271CD9">
      <w:pPr>
        <w:pStyle w:val="5"/>
        <w:spacing w:line="500" w:lineRule="exact"/>
        <w:rPr>
          <w:rFonts w:hint="eastAsia" w:ascii="方正黑体_GBK" w:hAnsi="方正黑体_GBK" w:eastAsia="方正黑体_GBK" w:cs="方正黑体_GBK"/>
          <w:sz w:val="32"/>
          <w:szCs w:val="32"/>
        </w:rPr>
      </w:pPr>
    </w:p>
    <w:p w14:paraId="0AF956CC">
      <w:pPr>
        <w:pStyle w:val="5"/>
        <w:spacing w:line="500" w:lineRule="exact"/>
        <w:rPr>
          <w:rFonts w:hint="eastAsia" w:ascii="方正黑体_GBK" w:hAnsi="方正黑体_GBK" w:eastAsia="方正黑体_GBK" w:cs="方正黑体_GBK"/>
          <w:sz w:val="32"/>
          <w:szCs w:val="32"/>
        </w:rPr>
      </w:pPr>
    </w:p>
    <w:p w14:paraId="45A4D6A6">
      <w:pPr>
        <w:pStyle w:val="5"/>
        <w:spacing w:line="500" w:lineRule="exact"/>
        <w:rPr>
          <w:rFonts w:hint="eastAsia" w:ascii="方正黑体_GBK" w:hAnsi="方正黑体_GBK" w:eastAsia="方正黑体_GBK" w:cs="方正黑体_GBK"/>
          <w:sz w:val="32"/>
          <w:szCs w:val="32"/>
        </w:rPr>
      </w:pPr>
    </w:p>
    <w:p w14:paraId="53EBA6E1">
      <w:pPr>
        <w:pStyle w:val="5"/>
        <w:spacing w:line="500" w:lineRule="exact"/>
        <w:rPr>
          <w:rFonts w:hint="eastAsia" w:ascii="方正黑体_GBK" w:hAnsi="方正黑体_GBK" w:eastAsia="方正黑体_GBK" w:cs="方正黑体_GBK"/>
          <w:sz w:val="32"/>
          <w:szCs w:val="32"/>
        </w:rPr>
      </w:pPr>
    </w:p>
    <w:p w14:paraId="247890E5">
      <w:pPr>
        <w:pStyle w:val="5"/>
        <w:spacing w:line="500" w:lineRule="exact"/>
        <w:rPr>
          <w:rFonts w:hint="eastAsia" w:ascii="方正黑体_GBK" w:hAnsi="方正黑体_GBK" w:eastAsia="方正黑体_GBK" w:cs="方正黑体_GBK"/>
          <w:sz w:val="32"/>
          <w:szCs w:val="32"/>
        </w:rPr>
      </w:pPr>
    </w:p>
    <w:p w14:paraId="79BB79BC">
      <w:pPr>
        <w:pStyle w:val="5"/>
        <w:spacing w:line="500" w:lineRule="exact"/>
        <w:rPr>
          <w:rFonts w:hint="eastAsia" w:ascii="方正黑体_GBK" w:hAnsi="方正黑体_GBK" w:eastAsia="方正黑体_GBK" w:cs="方正黑体_GBK"/>
          <w:sz w:val="32"/>
          <w:szCs w:val="32"/>
        </w:rPr>
      </w:pPr>
    </w:p>
    <w:p w14:paraId="32E8275A">
      <w:pPr>
        <w:pStyle w:val="5"/>
        <w:spacing w:line="500" w:lineRule="exact"/>
        <w:rPr>
          <w:rFonts w:hint="eastAsia" w:ascii="方正黑体_GBK" w:hAnsi="方正黑体_GBK" w:eastAsia="方正黑体_GBK" w:cs="方正黑体_GBK"/>
          <w:sz w:val="32"/>
          <w:szCs w:val="32"/>
        </w:rPr>
      </w:pPr>
    </w:p>
    <w:p w14:paraId="4A51FCF3">
      <w:pPr>
        <w:pStyle w:val="5"/>
        <w:spacing w:line="500" w:lineRule="exact"/>
        <w:rPr>
          <w:rFonts w:hint="eastAsia" w:ascii="方正黑体_GBK" w:hAnsi="方正黑体_GBK" w:eastAsia="方正黑体_GBK" w:cs="方正黑体_GBK"/>
          <w:sz w:val="32"/>
          <w:szCs w:val="32"/>
        </w:rPr>
      </w:pPr>
    </w:p>
    <w:p w14:paraId="2A42F0B3">
      <w:pPr>
        <w:pStyle w:val="5"/>
        <w:spacing w:line="500" w:lineRule="exact"/>
        <w:rPr>
          <w:rFonts w:hint="eastAsia" w:ascii="方正黑体_GBK" w:hAnsi="方正黑体_GBK" w:eastAsia="方正黑体_GBK" w:cs="方正黑体_GBK"/>
          <w:sz w:val="32"/>
          <w:szCs w:val="32"/>
        </w:rPr>
      </w:pPr>
    </w:p>
    <w:p w14:paraId="04F87D68">
      <w:pPr>
        <w:pStyle w:val="5"/>
        <w:spacing w:line="500" w:lineRule="exact"/>
        <w:rPr>
          <w:rFonts w:hint="eastAsia" w:ascii="方正黑体_GBK" w:hAnsi="方正黑体_GBK" w:eastAsia="方正黑体_GBK" w:cs="方正黑体_GBK"/>
          <w:sz w:val="32"/>
          <w:szCs w:val="32"/>
        </w:rPr>
      </w:pPr>
    </w:p>
    <w:p w14:paraId="0E71B4C3">
      <w:pPr>
        <w:pStyle w:val="5"/>
        <w:spacing w:line="500" w:lineRule="exact"/>
        <w:rPr>
          <w:rFonts w:hint="eastAsia" w:ascii="方正黑体_GBK" w:hAnsi="方正黑体_GBK" w:eastAsia="方正黑体_GBK" w:cs="方正黑体_GBK"/>
          <w:sz w:val="32"/>
          <w:szCs w:val="32"/>
        </w:rPr>
      </w:pPr>
    </w:p>
    <w:p w14:paraId="0D4DEE11">
      <w:pPr>
        <w:pStyle w:val="5"/>
        <w:spacing w:line="500" w:lineRule="exact"/>
        <w:rPr>
          <w:rFonts w:hint="eastAsia" w:ascii="方正黑体_GBK" w:hAnsi="方正黑体_GBK" w:eastAsia="方正黑体_GBK" w:cs="方正黑体_GBK"/>
          <w:sz w:val="32"/>
          <w:szCs w:val="32"/>
        </w:rPr>
      </w:pPr>
    </w:p>
    <w:p w14:paraId="50D78F57">
      <w:pPr>
        <w:pStyle w:val="5"/>
        <w:spacing w:line="500" w:lineRule="exact"/>
        <w:rPr>
          <w:rFonts w:hint="eastAsia" w:ascii="方正黑体_GBK" w:hAnsi="方正黑体_GBK" w:eastAsia="方正黑体_GBK" w:cs="方正黑体_GBK"/>
          <w:sz w:val="32"/>
          <w:szCs w:val="32"/>
        </w:rPr>
      </w:pPr>
    </w:p>
    <w:p w14:paraId="075D6348">
      <w:pPr>
        <w:pStyle w:val="5"/>
        <w:spacing w:line="500" w:lineRule="exact"/>
        <w:rPr>
          <w:rFonts w:hint="eastAsia" w:ascii="方正黑体_GBK" w:hAnsi="方正黑体_GBK" w:eastAsia="方正黑体_GBK" w:cs="方正黑体_GBK"/>
          <w:sz w:val="32"/>
          <w:szCs w:val="32"/>
        </w:rPr>
      </w:pPr>
    </w:p>
    <w:p w14:paraId="5BA30390">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D635E83">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sz w:val="32"/>
          <w:szCs w:val="32"/>
        </w:rPr>
      </w:pPr>
    </w:p>
    <w:p w14:paraId="66416A7A">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太极镇太极社区一组美丽宜居示范乡镇建设项目</w:t>
      </w:r>
    </w:p>
    <w:p w14:paraId="09511937">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投资估算表</w:t>
      </w:r>
    </w:p>
    <w:tbl>
      <w:tblPr>
        <w:tblW w:w="84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65"/>
        <w:gridCol w:w="5160"/>
        <w:gridCol w:w="2250"/>
      </w:tblGrid>
      <w:tr w14:paraId="3237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3DD319F">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ascii="方正黑体_GBK" w:hAnsi="方正黑体_GBK" w:eastAsia="方正黑体_GBK" w:cs="方正黑体_GBK"/>
                <w:i w:val="0"/>
                <w:iCs w:val="0"/>
                <w:color w:val="000000"/>
                <w:kern w:val="0"/>
                <w:sz w:val="32"/>
                <w:szCs w:val="32"/>
                <w:u w:val="none"/>
                <w:bdr w:val="none" w:color="auto" w:sz="0" w:space="0"/>
                <w:lang w:val="en-US" w:eastAsia="zh-CN" w:bidi="ar"/>
              </w:rPr>
              <w:t>序号</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59D68206">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ascii="方正黑体_GBK" w:hAnsi="方正黑体_GBK" w:eastAsia="方正黑体_GBK" w:cs="方正黑体_GBK"/>
                <w:i w:val="0"/>
                <w:iCs w:val="0"/>
                <w:color w:val="000000"/>
                <w:kern w:val="0"/>
                <w:sz w:val="32"/>
                <w:szCs w:val="32"/>
                <w:u w:val="none"/>
                <w:bdr w:val="none" w:color="auto" w:sz="0" w:space="0"/>
                <w:lang w:val="en-US" w:eastAsia="zh-CN" w:bidi="ar"/>
              </w:rPr>
              <w:t>工程或费用名称</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CCCCF2A">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ascii="方正黑体_GBK" w:hAnsi="方正黑体_GBK" w:eastAsia="方正黑体_GBK" w:cs="方正黑体_GBK"/>
                <w:i w:val="0"/>
                <w:iCs w:val="0"/>
                <w:color w:val="000000"/>
                <w:kern w:val="0"/>
                <w:sz w:val="32"/>
                <w:szCs w:val="32"/>
                <w:u w:val="none"/>
                <w:bdr w:val="none" w:color="auto" w:sz="0" w:space="0"/>
                <w:lang w:val="en-US" w:eastAsia="zh-CN" w:bidi="ar"/>
              </w:rPr>
              <w:t>金额（万元）</w:t>
            </w:r>
          </w:p>
        </w:tc>
      </w:tr>
      <w:tr w14:paraId="049C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F4290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bdr w:val="none" w:color="auto" w:sz="0" w:space="0"/>
                <w:lang w:val="en-US" w:eastAsia="zh-CN" w:bidi="ar"/>
              </w:rPr>
              <w:t>一</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1E595B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bdr w:val="none" w:color="auto" w:sz="0" w:space="0"/>
                <w:lang w:val="en-US" w:eastAsia="zh-CN" w:bidi="ar"/>
              </w:rPr>
              <w:t>工程费用</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6D163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222.10 </w:t>
            </w:r>
          </w:p>
        </w:tc>
      </w:tr>
      <w:tr w14:paraId="7455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BA44F2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C7B01">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太极镇太极社区一组美丽宜居示范乡镇建设项目</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E4D1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222.10 </w:t>
            </w:r>
          </w:p>
        </w:tc>
      </w:tr>
      <w:tr w14:paraId="7D0C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45F01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bdr w:val="none" w:color="auto" w:sz="0" w:space="0"/>
                <w:lang w:val="en-US" w:eastAsia="zh-CN" w:bidi="ar"/>
              </w:rPr>
              <w:t>二</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0F7E52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工程建设其他费</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E9259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23.45 </w:t>
            </w:r>
          </w:p>
        </w:tc>
      </w:tr>
      <w:tr w14:paraId="4FA5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D91710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81FF6">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场地准备及临时设施费</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5723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1.11 </w:t>
            </w:r>
          </w:p>
        </w:tc>
      </w:tr>
      <w:tr w14:paraId="0ED2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E10756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FE373">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项目建设管理费</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F94EF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5.16 </w:t>
            </w:r>
          </w:p>
        </w:tc>
      </w:tr>
      <w:tr w14:paraId="2F69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ABB081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73C2A">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工程建设监理费</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FC8F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4.54 </w:t>
            </w:r>
          </w:p>
        </w:tc>
      </w:tr>
      <w:tr w14:paraId="0EB8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5B0E96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0DCE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可行性研究费</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F71CB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0.91 </w:t>
            </w:r>
          </w:p>
        </w:tc>
      </w:tr>
      <w:tr w14:paraId="4F6D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733802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FBDB0">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工程勘察设计费</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B4FA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7.33 </w:t>
            </w:r>
          </w:p>
        </w:tc>
      </w:tr>
      <w:tr w14:paraId="7B0C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6D133C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5BF86E">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工程造价咨询费</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7661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2.00 </w:t>
            </w:r>
          </w:p>
        </w:tc>
      </w:tr>
      <w:tr w14:paraId="57A7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754A65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AD05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设计文件审查费</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C8DC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0.62 </w:t>
            </w:r>
          </w:p>
        </w:tc>
      </w:tr>
      <w:tr w14:paraId="575C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B9726D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8</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17D40">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安全生产保障费</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86F7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1.11 </w:t>
            </w:r>
          </w:p>
        </w:tc>
      </w:tr>
      <w:tr w14:paraId="2D0D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E487C6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9</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3B28A">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bdr w:val="none" w:color="auto" w:sz="0" w:space="0"/>
                <w:lang w:val="en-US" w:eastAsia="zh-CN" w:bidi="ar"/>
              </w:rPr>
              <w:t>工程保险费</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66D6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0.67 </w:t>
            </w:r>
          </w:p>
        </w:tc>
      </w:tr>
      <w:tr w14:paraId="6A9D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70138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bdr w:val="none" w:color="auto" w:sz="0" w:space="0"/>
                <w:lang w:val="en-US" w:eastAsia="zh-CN" w:bidi="ar"/>
              </w:rPr>
              <w:t>三</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336580F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基本预备费</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400CA7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12.28 </w:t>
            </w:r>
          </w:p>
        </w:tc>
      </w:tr>
      <w:tr w14:paraId="5B80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619B12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bdr w:val="none" w:color="auto" w:sz="0" w:space="0"/>
                <w:lang w:val="en-US" w:eastAsia="zh-CN" w:bidi="ar"/>
              </w:rPr>
              <w:t>四</w:t>
            </w:r>
          </w:p>
        </w:tc>
        <w:tc>
          <w:tcPr>
            <w:tcW w:w="5160" w:type="dxa"/>
            <w:tcBorders>
              <w:top w:val="single" w:color="000000" w:sz="4" w:space="0"/>
              <w:left w:val="single" w:color="000000" w:sz="4" w:space="0"/>
              <w:bottom w:val="single" w:color="000000" w:sz="4" w:space="0"/>
              <w:right w:val="single" w:color="000000" w:sz="4" w:space="0"/>
            </w:tcBorders>
            <w:shd w:val="clear"/>
            <w:vAlign w:val="center"/>
          </w:tcPr>
          <w:p w14:paraId="12E6B7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bdr w:val="none" w:color="auto" w:sz="0" w:space="0"/>
                <w:lang w:val="en-US" w:eastAsia="zh-CN" w:bidi="ar"/>
              </w:rPr>
              <w:t>建设项目总投资估算</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39834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257.83</w:t>
            </w:r>
          </w:p>
        </w:tc>
      </w:tr>
    </w:tbl>
    <w:p w14:paraId="5C39E2BA"/>
    <w:p w14:paraId="69A78C30">
      <w:bookmarkStart w:id="2" w:name="_GoBack"/>
      <w:bookmarkEnd w:id="2"/>
    </w:p>
    <w:p w14:paraId="69E557B8"/>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w:t>
      </w:r>
      <w:r>
        <w:rPr>
          <w:rFonts w:hint="eastAsia" w:eastAsia="方正仿宋_GBK"/>
          <w:sz w:val="28"/>
          <w:szCs w:val="28"/>
          <w:u w:val="single"/>
          <w:lang w:eastAsia="zh-CN"/>
        </w:rPr>
        <w:t>、区城乡建委</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4</w:t>
      </w:r>
      <w:r>
        <w:rPr>
          <w:rFonts w:eastAsia="方正仿宋_GBK"/>
          <w:sz w:val="28"/>
          <w:szCs w:val="28"/>
          <w:u w:val="thick"/>
        </w:rPr>
        <w:t>月</w:t>
      </w:r>
      <w:r>
        <w:rPr>
          <w:rFonts w:hint="eastAsia" w:eastAsia="方正仿宋_GBK"/>
          <w:sz w:val="28"/>
          <w:szCs w:val="28"/>
          <w:u w:val="thick"/>
          <w:lang w:val="en-US" w:eastAsia="zh-CN"/>
        </w:rPr>
        <w:t>28</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88AF2A18-53F6-42C5-B00B-B22A60EFFE5E}"/>
  </w:font>
  <w:font w:name="方正仿宋_GBK">
    <w:panose1 w:val="03000509000000000000"/>
    <w:charset w:val="86"/>
    <w:family w:val="script"/>
    <w:pitch w:val="default"/>
    <w:sig w:usb0="00000001" w:usb1="080E0000" w:usb2="00000000" w:usb3="00000000" w:csb0="00040000" w:csb1="00000000"/>
    <w:embedRegular r:id="rId2" w:fontKey="{E9056E7E-D924-474B-9F4B-09C914A792EB}"/>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3" w:fontKey="{6CF0FCA5-9AEA-4F00-AF94-566B36C35F24}"/>
  </w:font>
  <w:font w:name="方正楷体_GBK">
    <w:panose1 w:val="03000509000000000000"/>
    <w:charset w:val="86"/>
    <w:family w:val="auto"/>
    <w:pitch w:val="default"/>
    <w:sig w:usb0="00000001" w:usb1="080E0000" w:usb2="00000000" w:usb3="00000000" w:csb0="00040000" w:csb1="00000000"/>
    <w:embedRegular r:id="rId4" w:fontKey="{A93F27A2-E37B-4B06-8D48-74F2AD17159B}"/>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5" w:fontKey="{ADD58137-DECB-4812-9923-675D143677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B7A378A"/>
    <w:rsid w:val="0C443D5D"/>
    <w:rsid w:val="0C4A4FFD"/>
    <w:rsid w:val="0CFC0645"/>
    <w:rsid w:val="0D37421D"/>
    <w:rsid w:val="0E090617"/>
    <w:rsid w:val="119A3908"/>
    <w:rsid w:val="14CA633F"/>
    <w:rsid w:val="15636F5B"/>
    <w:rsid w:val="175C5702"/>
    <w:rsid w:val="181B2628"/>
    <w:rsid w:val="193E59D1"/>
    <w:rsid w:val="1A261065"/>
    <w:rsid w:val="1F013809"/>
    <w:rsid w:val="1F950368"/>
    <w:rsid w:val="208F215E"/>
    <w:rsid w:val="250D18ED"/>
    <w:rsid w:val="254A0970"/>
    <w:rsid w:val="27F93F48"/>
    <w:rsid w:val="28D139F4"/>
    <w:rsid w:val="2AD46A97"/>
    <w:rsid w:val="2F7B047E"/>
    <w:rsid w:val="31A87524"/>
    <w:rsid w:val="39705D78"/>
    <w:rsid w:val="397671E0"/>
    <w:rsid w:val="3E011B99"/>
    <w:rsid w:val="3EF47EDA"/>
    <w:rsid w:val="40A351EE"/>
    <w:rsid w:val="47DB5B06"/>
    <w:rsid w:val="487D33E1"/>
    <w:rsid w:val="4F735634"/>
    <w:rsid w:val="4FFB4CF6"/>
    <w:rsid w:val="5130612A"/>
    <w:rsid w:val="534E1E00"/>
    <w:rsid w:val="5726180C"/>
    <w:rsid w:val="57A8352A"/>
    <w:rsid w:val="5A6A3D0A"/>
    <w:rsid w:val="5F75634D"/>
    <w:rsid w:val="5FFE1A79"/>
    <w:rsid w:val="616F605C"/>
    <w:rsid w:val="653B0AE4"/>
    <w:rsid w:val="66560D21"/>
    <w:rsid w:val="678D70A8"/>
    <w:rsid w:val="6A6C1DE8"/>
    <w:rsid w:val="6AF30A16"/>
    <w:rsid w:val="6BAE6A0F"/>
    <w:rsid w:val="6C68355C"/>
    <w:rsid w:val="6CE440E0"/>
    <w:rsid w:val="6DAE50AD"/>
    <w:rsid w:val="6EF61234"/>
    <w:rsid w:val="6F321C00"/>
    <w:rsid w:val="72141C90"/>
    <w:rsid w:val="74BA4923"/>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903</Words>
  <Characters>1015</Characters>
  <Lines>11</Lines>
  <Paragraphs>3</Paragraphs>
  <TotalTime>2</TotalTime>
  <ScaleCrop>false</ScaleCrop>
  <LinksUpToDate>false</LinksUpToDate>
  <CharactersWithSpaces>1161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2026-04-17T07:24:00Z</cp:lastPrinted>
  <dcterms:modified xsi:type="dcterms:W3CDTF">2026-04-28T06:40:46Z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