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123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11B804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</w:t>
      </w:r>
    </w:p>
    <w:p w14:paraId="64C099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hint="eastAsia" w:eastAsia="方正小标宋_GBK"/>
          <w:sz w:val="44"/>
          <w:szCs w:val="44"/>
          <w:lang w:val="zh-CN"/>
        </w:rPr>
        <w:t>黄溪镇共林村新民垭口至共林活动室道路</w:t>
      </w:r>
    </w:p>
    <w:p w14:paraId="293BA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拓宽工程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514605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2FFB8C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1AA33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</w:t>
      </w:r>
    </w:p>
    <w:p w14:paraId="78F60E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黄溪镇共林村新民垭口至共林活动室道路拓宽工程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47</w:t>
      </w:r>
      <w:r>
        <w:rPr>
          <w:rFonts w:hint="eastAsia" w:ascii="方正仿宋_GBK" w:hAnsi="方正仿宋_GBK" w:eastAsia="方正仿宋_GBK" w:cs="方正仿宋_GBK"/>
          <w:szCs w:val="32"/>
        </w:rPr>
        <w:t>号）收悉。结合黔江区政府投资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年“四好农村路”建设项目黄溪镇共林村新民垭口至共林活动室道路拓宽工程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779055</w:t>
      </w:r>
      <w:r>
        <w:rPr>
          <w:rFonts w:hint="default" w:ascii="Times New Roman" w:hAnsi="Times New Roman" w:eastAsia="方正仿宋_GBK" w:cs="Times New Roman"/>
          <w:szCs w:val="32"/>
        </w:rPr>
        <w:t>）。</w:t>
      </w:r>
      <w:r>
        <w:rPr>
          <w:rFonts w:hint="eastAsia" w:ascii="方正仿宋_GBK" w:hAnsi="方正仿宋_GBK" w:eastAsia="方正仿宋_GBK" w:cs="方正仿宋_GBK"/>
          <w:szCs w:val="32"/>
        </w:rPr>
        <w:t>现将项目可行性研究报告批复如下：</w:t>
      </w:r>
    </w:p>
    <w:p w14:paraId="4F0DA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66BBF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5F8C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线全长9.645公里，共涉及2条路段，主线起于茶山村党群服务中心，止于新阳村活动室，全长3.460公里；支线1起于岔路口，止于杨家屋基，全长6.185公里。根据现场地质情况及调查时土地协调情况进行拓宽改造，增设错车道，并对加宽路段铺设20厘米厚C25水泥混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土路面。</w:t>
      </w:r>
    </w:p>
    <w:p w14:paraId="146DCE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个月。</w:t>
      </w:r>
    </w:p>
    <w:p w14:paraId="0A34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总投资251.47万元，其中：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工程费用231.42万元，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工程建设其他费12.73万元，基本预备费7.32万元。资金来源为中央专项补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助资金，不足部分由业主自筹。</w:t>
      </w:r>
    </w:p>
    <w:p w14:paraId="0AC09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5A91A1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450C0B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38D2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黔江区2026年“四好农村路”建设项目黄溪镇共林村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</w:p>
    <w:p w14:paraId="17A117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158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新民垭口至共林活动室道路拓宽工程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3388BA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6B0AB4D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2B0806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410FCC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5F67CF6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7C216E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363A342B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2AA9236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334AEB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CAF11C9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6B27D62F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17EE710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ECEFB4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2465BA91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A6DF24E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827731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81B0F42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49CCAD22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3C6E99DF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CD4F78A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02093D84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73439C55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18CBBF9B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FB22566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43F62E60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</w:t>
      </w:r>
    </w:p>
    <w:p w14:paraId="5603C671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黄溪镇共林村新民垭口至共林活动室道路拓宽工程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00A35EF9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5090"/>
        <w:gridCol w:w="2400"/>
      </w:tblGrid>
      <w:tr w14:paraId="4C18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650F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231.42 </w:t>
            </w:r>
          </w:p>
        </w:tc>
      </w:tr>
      <w:tr w14:paraId="0A3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6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黔江区2026年“四好农村路”建设项目黄溪镇共林村新民垭口至共林活动室道路拓宽工程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231.42 </w:t>
            </w:r>
          </w:p>
        </w:tc>
      </w:tr>
      <w:tr w14:paraId="6C86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12.73 </w:t>
            </w:r>
          </w:p>
        </w:tc>
      </w:tr>
      <w:tr w14:paraId="3818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A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9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4.68 </w:t>
            </w:r>
          </w:p>
        </w:tc>
      </w:tr>
      <w:tr w14:paraId="7FF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E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5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6.94 </w:t>
            </w:r>
          </w:p>
        </w:tc>
      </w:tr>
      <w:tr w14:paraId="6711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43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0.18 </w:t>
            </w:r>
          </w:p>
        </w:tc>
      </w:tr>
      <w:tr w14:paraId="2A51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42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2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0.93 </w:t>
            </w:r>
          </w:p>
        </w:tc>
      </w:tr>
      <w:tr w14:paraId="33E2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7.32 </w:t>
            </w:r>
          </w:p>
        </w:tc>
      </w:tr>
      <w:tr w14:paraId="6FE2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251.47</w:t>
            </w:r>
          </w:p>
        </w:tc>
      </w:tr>
    </w:tbl>
    <w:p w14:paraId="2C62F0F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7787B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43242A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0FF1B4C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C20257C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6911BA5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300FE7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932</Words>
  <Characters>1054</Characters>
  <Lines>4</Lines>
  <Paragraphs>1</Paragraphs>
  <TotalTime>2</TotalTime>
  <ScaleCrop>false</ScaleCrop>
  <LinksUpToDate>false</LinksUpToDate>
  <CharactersWithSpaces>1213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2026-04-17T08:04:00Z</cp:lastPrinted>
  <dcterms:modified xsi:type="dcterms:W3CDTF">2026-05-08T02:04:03Z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