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F4746">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6433F6AC">
      <w:pPr>
        <w:tabs>
          <w:tab w:val="left" w:pos="8181"/>
          <w:tab w:val="left" w:pos="8733"/>
        </w:tabs>
        <w:spacing w:line="580" w:lineRule="exact"/>
        <w:ind w:right="-193" w:rightChars="-92" w:firstLine="160" w:firstLineChars="50"/>
        <w:rPr>
          <w:rFonts w:hint="eastAsia" w:eastAsia="方正仿宋_GBK"/>
          <w:sz w:val="32"/>
          <w:szCs w:val="32"/>
        </w:rPr>
      </w:pPr>
    </w:p>
    <w:p w14:paraId="2BA6BBF9">
      <w:pPr>
        <w:tabs>
          <w:tab w:val="left" w:pos="8181"/>
          <w:tab w:val="left" w:pos="8733"/>
        </w:tabs>
        <w:spacing w:line="580" w:lineRule="exact"/>
        <w:ind w:right="-193" w:rightChars="-92" w:firstLine="160" w:firstLineChars="50"/>
        <w:rPr>
          <w:rFonts w:hint="eastAsia" w:eastAsia="方正仿宋_GBK"/>
          <w:sz w:val="32"/>
          <w:szCs w:val="32"/>
        </w:rPr>
      </w:pPr>
    </w:p>
    <w:p w14:paraId="55916680">
      <w:pPr>
        <w:tabs>
          <w:tab w:val="left" w:pos="8181"/>
          <w:tab w:val="left" w:pos="8733"/>
        </w:tabs>
        <w:spacing w:line="580" w:lineRule="exact"/>
        <w:ind w:right="-193" w:rightChars="-92" w:firstLine="160" w:firstLineChars="50"/>
        <w:rPr>
          <w:rFonts w:hint="eastAsia" w:eastAsia="方正仿宋_GBK"/>
          <w:sz w:val="32"/>
          <w:szCs w:val="32"/>
        </w:rPr>
      </w:pPr>
    </w:p>
    <w:p w14:paraId="6F1C145D">
      <w:pPr>
        <w:tabs>
          <w:tab w:val="left" w:pos="8181"/>
          <w:tab w:val="left" w:pos="8733"/>
        </w:tabs>
        <w:spacing w:line="580" w:lineRule="exact"/>
        <w:ind w:right="-193" w:rightChars="-92" w:firstLine="160" w:firstLineChars="50"/>
        <w:rPr>
          <w:rFonts w:hint="eastAsia" w:eastAsia="方正仿宋_GBK"/>
          <w:sz w:val="32"/>
          <w:szCs w:val="32"/>
        </w:rPr>
      </w:pPr>
    </w:p>
    <w:p w14:paraId="20F2A9AC">
      <w:pPr>
        <w:keepNext w:val="0"/>
        <w:keepLines w:val="0"/>
        <w:pageBreakBefore w:val="0"/>
        <w:widowControl w:val="0"/>
        <w:tabs>
          <w:tab w:val="left" w:pos="8181"/>
          <w:tab w:val="left" w:pos="8733"/>
        </w:tabs>
        <w:kinsoku/>
        <w:wordWrap/>
        <w:overflowPunct/>
        <w:topLinePunct w:val="0"/>
        <w:autoSpaceDE/>
        <w:autoSpaceDN/>
        <w:bidi w:val="0"/>
        <w:adjustRightInd/>
        <w:snapToGrid/>
        <w:spacing w:line="400" w:lineRule="exact"/>
        <w:ind w:right="-193" w:rightChars="-92" w:firstLine="160" w:firstLineChars="50"/>
        <w:textAlignment w:val="auto"/>
        <w:rPr>
          <w:rFonts w:hint="eastAsia" w:eastAsia="方正仿宋_GBK"/>
          <w:sz w:val="32"/>
          <w:szCs w:val="32"/>
        </w:rPr>
      </w:pPr>
      <w:r>
        <w:rPr>
          <w:rFonts w:hint="eastAsia" w:eastAsia="方正仿宋_GBK"/>
          <w:sz w:val="32"/>
          <w:szCs w:val="32"/>
        </w:rPr>
        <w:t xml:space="preserve"> </w:t>
      </w:r>
    </w:p>
    <w:p w14:paraId="2390BC2F">
      <w:pPr>
        <w:tabs>
          <w:tab w:val="left" w:pos="8181"/>
          <w:tab w:val="left" w:pos="8733"/>
        </w:tabs>
        <w:spacing w:line="580" w:lineRule="exact"/>
        <w:ind w:right="-193" w:rightChars="-92" w:firstLine="160" w:firstLineChars="50"/>
        <w:rPr>
          <w:rFonts w:hint="eastAsia" w:eastAsia="方正仿宋_GBK"/>
          <w:sz w:val="32"/>
          <w:szCs w:val="32"/>
        </w:rPr>
      </w:pPr>
    </w:p>
    <w:p w14:paraId="7F06AB31">
      <w:pPr>
        <w:tabs>
          <w:tab w:val="left" w:pos="8181"/>
          <w:tab w:val="left" w:pos="8733"/>
        </w:tabs>
        <w:spacing w:line="200" w:lineRule="exact"/>
        <w:ind w:right="-193" w:rightChars="-92" w:firstLine="160" w:firstLineChars="50"/>
        <w:rPr>
          <w:rFonts w:hint="eastAsia" w:eastAsia="方正仿宋_GBK"/>
          <w:sz w:val="32"/>
          <w:szCs w:val="32"/>
        </w:rPr>
      </w:pPr>
    </w:p>
    <w:p w14:paraId="13D2010D">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147</w:t>
      </w:r>
      <w:r>
        <w:rPr>
          <w:rFonts w:eastAsia="方正仿宋_GBK"/>
          <w:sz w:val="32"/>
          <w:szCs w:val="32"/>
        </w:rPr>
        <w:t>号</w:t>
      </w:r>
    </w:p>
    <w:p w14:paraId="7CF4385E">
      <w:pPr>
        <w:spacing w:line="520" w:lineRule="exact"/>
        <w:rPr>
          <w:rFonts w:hint="eastAsia" w:eastAsia="方正仿宋_GBK"/>
          <w:sz w:val="32"/>
          <w:szCs w:val="32"/>
        </w:rPr>
      </w:pPr>
      <w:r>
        <w:rPr>
          <w:rFonts w:hint="eastAsia" w:eastAsia="方正仿宋_GBK"/>
          <w:sz w:val="32"/>
          <w:szCs w:val="32"/>
        </w:rPr>
        <w:t xml:space="preserve"> </w:t>
      </w:r>
    </w:p>
    <w:p w14:paraId="41DC9EB3">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eastAsia="方正仿宋_GBK"/>
          <w:sz w:val="32"/>
          <w:szCs w:val="32"/>
        </w:rPr>
      </w:pPr>
    </w:p>
    <w:p w14:paraId="7061C34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重庆市黔江区发展和改革委员会</w:t>
      </w:r>
    </w:p>
    <w:p w14:paraId="0131B10B">
      <w:pPr>
        <w:snapToGrid w:val="0"/>
        <w:spacing w:line="595" w:lineRule="exact"/>
        <w:ind w:firstLine="200"/>
        <w:jc w:val="center"/>
        <w:rPr>
          <w:rFonts w:hint="eastAsia" w:eastAsia="方正小标宋_GBK"/>
          <w:sz w:val="44"/>
          <w:szCs w:val="44"/>
          <w:lang w:val="zh-CN"/>
        </w:rPr>
      </w:pPr>
      <w:r>
        <w:rPr>
          <w:rFonts w:eastAsia="方正小标宋_GBK"/>
          <w:sz w:val="44"/>
          <w:szCs w:val="44"/>
        </w:rPr>
        <w:t>关于</w:t>
      </w:r>
      <w:r>
        <w:rPr>
          <w:rFonts w:hint="eastAsia" w:eastAsia="方正小标宋_GBK"/>
          <w:sz w:val="44"/>
          <w:szCs w:val="44"/>
          <w:lang w:val="zh-CN"/>
        </w:rPr>
        <w:t>黔江区2026年“四好农村路”建设项目水市镇茂溪村村委活动室至鹅池镇学堂社区</w:t>
      </w:r>
    </w:p>
    <w:p w14:paraId="66103083">
      <w:pPr>
        <w:snapToGrid w:val="0"/>
        <w:spacing w:line="595" w:lineRule="exact"/>
        <w:ind w:firstLine="200"/>
        <w:jc w:val="center"/>
        <w:rPr>
          <w:rFonts w:eastAsia="方正小标宋_GBK"/>
          <w:sz w:val="44"/>
          <w:szCs w:val="44"/>
        </w:rPr>
      </w:pPr>
      <w:r>
        <w:rPr>
          <w:rFonts w:hint="eastAsia" w:eastAsia="方正小标宋_GBK"/>
          <w:sz w:val="44"/>
          <w:szCs w:val="44"/>
          <w:lang w:val="zh-CN"/>
        </w:rPr>
        <w:t>茶山边界道路拓宽工程</w:t>
      </w:r>
      <w:r>
        <w:rPr>
          <w:rFonts w:hint="eastAsia" w:eastAsia="方正小标宋_GBK"/>
          <w:sz w:val="44"/>
          <w:szCs w:val="44"/>
        </w:rPr>
        <w:t>可行性研究报告</w:t>
      </w:r>
      <w:r>
        <w:rPr>
          <w:rFonts w:eastAsia="方正小标宋_GBK"/>
          <w:sz w:val="44"/>
          <w:szCs w:val="44"/>
        </w:rPr>
        <w:t>的</w:t>
      </w:r>
    </w:p>
    <w:p w14:paraId="435D8BFE">
      <w:pPr>
        <w:snapToGrid w:val="0"/>
        <w:spacing w:line="595" w:lineRule="exact"/>
        <w:ind w:firstLine="200"/>
        <w:jc w:val="center"/>
        <w:rPr>
          <w:rFonts w:eastAsia="方正小标宋_GBK"/>
          <w:sz w:val="44"/>
          <w:szCs w:val="44"/>
        </w:rPr>
      </w:pPr>
      <w:r>
        <w:rPr>
          <w:rFonts w:eastAsia="方正小标宋_GBK"/>
          <w:sz w:val="44"/>
          <w:szCs w:val="44"/>
        </w:rPr>
        <w:t>批</w:t>
      </w:r>
      <w:r>
        <w:rPr>
          <w:rFonts w:hint="eastAsia" w:eastAsia="方正小标宋_GBK"/>
          <w:sz w:val="44"/>
          <w:szCs w:val="44"/>
          <w:lang w:val="en-US" w:eastAsia="zh-CN"/>
        </w:rPr>
        <w:t xml:space="preserve">  </w:t>
      </w:r>
      <w:r>
        <w:rPr>
          <w:rFonts w:eastAsia="方正小标宋_GBK"/>
          <w:sz w:val="44"/>
          <w:szCs w:val="44"/>
        </w:rPr>
        <w:t>复</w:t>
      </w:r>
    </w:p>
    <w:p w14:paraId="1640D19A">
      <w:pPr>
        <w:spacing w:line="595" w:lineRule="exact"/>
        <w:rPr>
          <w:szCs w:val="32"/>
        </w:rPr>
      </w:pPr>
    </w:p>
    <w:p w14:paraId="3B0F6B3F">
      <w:pPr>
        <w:spacing w:line="500" w:lineRule="exact"/>
        <w:rPr>
          <w:rFonts w:eastAsia="方正仿宋_GBK"/>
          <w:sz w:val="32"/>
          <w:szCs w:val="32"/>
        </w:rPr>
      </w:pPr>
      <w:r>
        <w:rPr>
          <w:rFonts w:hint="eastAsia" w:eastAsia="方正仿宋_GBK"/>
          <w:sz w:val="32"/>
          <w:szCs w:val="32"/>
          <w:lang w:eastAsia="zh-CN"/>
        </w:rPr>
        <w:t>黔江区水市镇人民政府</w:t>
      </w:r>
      <w:r>
        <w:rPr>
          <w:rFonts w:eastAsia="方正仿宋_GBK"/>
          <w:sz w:val="32"/>
          <w:szCs w:val="32"/>
        </w:rPr>
        <w:t>：</w:t>
      </w:r>
    </w:p>
    <w:p w14:paraId="4E36ED0E">
      <w:pPr>
        <w:pStyle w:val="3"/>
        <w:spacing w:line="500" w:lineRule="exact"/>
        <w:ind w:left="0" w:leftChars="0"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lang w:eastAsia="zh-CN"/>
        </w:rPr>
        <w:t>你单位《关于报送</w:t>
      </w:r>
      <w:r>
        <w:rPr>
          <w:rFonts w:hint="default" w:ascii="Times New Roman" w:hAnsi="Times New Roman" w:eastAsia="方正仿宋_GBK" w:cs="Times New Roman"/>
          <w:szCs w:val="32"/>
          <w:lang w:val="zh-CN" w:eastAsia="zh-CN"/>
        </w:rPr>
        <w:t>黔江区2026</w:t>
      </w:r>
      <w:r>
        <w:rPr>
          <w:rFonts w:hint="eastAsia" w:ascii="方正仿宋_GBK" w:hAnsi="方正仿宋_GBK" w:eastAsia="方正仿宋_GBK" w:cs="方正仿宋_GBK"/>
          <w:szCs w:val="32"/>
          <w:lang w:val="zh-CN" w:eastAsia="zh-CN"/>
        </w:rPr>
        <w:t>年“四好农村路”建设项目水市镇茂溪村村委活动室至鹅池镇学堂社区茶山边界道路拓宽工程</w:t>
      </w:r>
      <w:r>
        <w:rPr>
          <w:rFonts w:hint="eastAsia" w:ascii="方正仿宋_GBK" w:hAnsi="方正仿宋_GBK" w:eastAsia="方正仿宋_GBK" w:cs="方正仿宋_GBK"/>
          <w:szCs w:val="32"/>
          <w:lang w:eastAsia="zh-CN"/>
        </w:rPr>
        <w:t>可行性研究报告的函</w:t>
      </w:r>
      <w:r>
        <w:rPr>
          <w:rFonts w:hint="eastAsia" w:ascii="方正仿宋_GBK" w:hAnsi="方正仿宋_GBK" w:eastAsia="方正仿宋_GBK" w:cs="方正仿宋_GBK"/>
          <w:szCs w:val="32"/>
        </w:rPr>
        <w:t>》（</w:t>
      </w:r>
      <w:r>
        <w:rPr>
          <w:rFonts w:hint="eastAsia" w:ascii="方正仿宋_GBK" w:hAnsi="方正仿宋_GBK" w:eastAsia="方正仿宋_GBK" w:cs="方正仿宋_GBK"/>
          <w:szCs w:val="32"/>
          <w:lang w:eastAsia="zh-CN"/>
        </w:rPr>
        <w:t>水市府</w:t>
      </w:r>
      <w:r>
        <w:rPr>
          <w:rFonts w:hint="default" w:ascii="Times New Roman" w:hAnsi="Times New Roman" w:eastAsia="方正仿宋_GBK" w:cs="Times New Roman"/>
          <w:szCs w:val="32"/>
          <w:lang w:eastAsia="zh-CN"/>
        </w:rPr>
        <w:t>函</w:t>
      </w:r>
      <w:r>
        <w:rPr>
          <w:rFonts w:hint="default" w:ascii="Times New Roman" w:hAnsi="Times New Roman" w:eastAsia="方正小标宋_GBK" w:cs="Times New Roman"/>
          <w:szCs w:val="32"/>
        </w:rPr>
        <w:t>〔</w:t>
      </w:r>
      <w:r>
        <w:rPr>
          <w:rFonts w:hint="default" w:ascii="Times New Roman" w:hAnsi="Times New Roman" w:eastAsia="方正仿宋_GBK" w:cs="Times New Roman"/>
          <w:szCs w:val="32"/>
        </w:rPr>
        <w:t>202</w:t>
      </w:r>
      <w:r>
        <w:rPr>
          <w:rFonts w:hint="default" w:ascii="Times New Roman" w:hAnsi="Times New Roman" w:eastAsia="方正仿宋_GBK" w:cs="Times New Roman"/>
          <w:szCs w:val="32"/>
          <w:lang w:val="en-US" w:eastAsia="zh-CN"/>
        </w:rPr>
        <w:t>6</w:t>
      </w:r>
      <w:r>
        <w:rPr>
          <w:rFonts w:hint="default" w:ascii="Times New Roman" w:hAnsi="Times New Roman" w:eastAsia="方正仿宋_GBK" w:cs="Times New Roman"/>
          <w:szCs w:val="32"/>
        </w:rPr>
        <w:t>〕</w:t>
      </w:r>
      <w:r>
        <w:rPr>
          <w:rFonts w:hint="default" w:ascii="Times New Roman" w:hAnsi="Times New Roman" w:eastAsia="方正仿宋_GBK" w:cs="Times New Roman"/>
          <w:szCs w:val="32"/>
          <w:lang w:val="en-US" w:eastAsia="zh-CN"/>
        </w:rPr>
        <w:t>21</w:t>
      </w:r>
      <w:r>
        <w:rPr>
          <w:rFonts w:hint="default" w:ascii="Times New Roman" w:hAnsi="Times New Roman" w:eastAsia="方正仿宋_GBK" w:cs="Times New Roman"/>
          <w:szCs w:val="32"/>
        </w:rPr>
        <w:t>号</w:t>
      </w:r>
      <w:r>
        <w:rPr>
          <w:rFonts w:hint="eastAsia" w:ascii="方正仿宋_GBK" w:hAnsi="方正仿宋_GBK" w:eastAsia="方正仿宋_GBK" w:cs="方正仿宋_GBK"/>
          <w:szCs w:val="32"/>
        </w:rPr>
        <w:t>）收悉。结合黔江区政府投资</w:t>
      </w:r>
      <w:r>
        <w:rPr>
          <w:rFonts w:hint="eastAsia" w:ascii="方正仿宋_GBK" w:hAnsi="方正仿宋_GBK" w:eastAsia="方正仿宋_GBK" w:cs="方正仿宋_GBK"/>
          <w:szCs w:val="32"/>
          <w:lang w:eastAsia="zh-CN"/>
        </w:rPr>
        <w:t>项目前期工作服务</w:t>
      </w:r>
      <w:r>
        <w:rPr>
          <w:rFonts w:hint="eastAsia" w:ascii="方正仿宋_GBK" w:hAnsi="方正仿宋_GBK" w:eastAsia="方正仿宋_GBK" w:cs="方正仿宋_GBK"/>
          <w:szCs w:val="32"/>
        </w:rPr>
        <w:t>中心的评</w:t>
      </w:r>
      <w:r>
        <w:rPr>
          <w:rFonts w:hint="eastAsia" w:ascii="方正仿宋_GBK" w:hAnsi="方正仿宋_GBK" w:eastAsia="方正仿宋_GBK" w:cs="方正仿宋_GBK"/>
          <w:szCs w:val="32"/>
          <w:lang w:eastAsia="zh-CN"/>
        </w:rPr>
        <w:t>审</w:t>
      </w:r>
      <w:r>
        <w:rPr>
          <w:rFonts w:hint="eastAsia" w:ascii="方正仿宋_GBK" w:hAnsi="方正仿宋_GBK" w:eastAsia="方正仿宋_GBK" w:cs="方正仿宋_GBK"/>
          <w:szCs w:val="32"/>
        </w:rPr>
        <w:t>意见，经研究，同意实施</w:t>
      </w:r>
      <w:r>
        <w:rPr>
          <w:rFonts w:hint="eastAsia" w:ascii="方正仿宋_GBK" w:hAnsi="方正仿宋_GBK" w:eastAsia="方正仿宋_GBK" w:cs="方正仿宋_GBK"/>
          <w:szCs w:val="32"/>
          <w:lang w:val="zh-CN" w:eastAsia="zh-CN"/>
        </w:rPr>
        <w:t>黔江</w:t>
      </w:r>
      <w:r>
        <w:rPr>
          <w:rFonts w:hint="default" w:ascii="Times New Roman" w:hAnsi="Times New Roman" w:eastAsia="方正仿宋_GBK" w:cs="Times New Roman"/>
          <w:szCs w:val="32"/>
          <w:lang w:val="zh-CN" w:eastAsia="zh-CN"/>
        </w:rPr>
        <w:t>区2026</w:t>
      </w:r>
      <w:r>
        <w:rPr>
          <w:rFonts w:hint="eastAsia" w:ascii="方正仿宋_GBK" w:hAnsi="方正仿宋_GBK" w:eastAsia="方正仿宋_GBK" w:cs="方正仿宋_GBK"/>
          <w:szCs w:val="32"/>
          <w:lang w:val="zh-CN" w:eastAsia="zh-CN"/>
        </w:rPr>
        <w:t>年“四好农村路”建设项目水市镇茂溪村村委活动室至鹅池镇学堂社区茶山边界道路拓宽工程</w:t>
      </w:r>
      <w:r>
        <w:rPr>
          <w:rFonts w:hint="eastAsia" w:ascii="方正仿宋_GBK" w:hAnsi="方正仿宋_GBK" w:eastAsia="方正仿宋_GBK" w:cs="方正仿宋_GBK"/>
          <w:szCs w:val="32"/>
        </w:rPr>
        <w:t>（项目代码：</w:t>
      </w:r>
      <w:r>
        <w:rPr>
          <w:rFonts w:hint="default" w:ascii="Times New Roman" w:hAnsi="Times New Roman" w:eastAsia="方正仿宋_GBK" w:cs="Times New Roman"/>
          <w:szCs w:val="32"/>
        </w:rPr>
        <w:t>2</w:t>
      </w:r>
      <w:r>
        <w:rPr>
          <w:rFonts w:hint="default" w:ascii="Times New Roman" w:hAnsi="Times New Roman" w:eastAsia="方正仿宋_GBK" w:cs="Times New Roman"/>
          <w:szCs w:val="32"/>
          <w:lang w:val="en-US" w:eastAsia="zh-CN"/>
        </w:rPr>
        <w:t>604</w:t>
      </w:r>
      <w:r>
        <w:rPr>
          <w:rFonts w:hint="eastAsia" w:ascii="方正仿宋_GBK" w:hAnsi="方正仿宋_GBK" w:eastAsia="方正仿宋_GBK" w:cs="方正仿宋_GBK"/>
          <w:szCs w:val="32"/>
        </w:rPr>
        <w:t>-</w:t>
      </w:r>
      <w:r>
        <w:rPr>
          <w:rFonts w:hint="default" w:ascii="Times New Roman" w:hAnsi="Times New Roman" w:eastAsia="方正仿宋_GBK" w:cs="Times New Roman"/>
          <w:szCs w:val="32"/>
        </w:rPr>
        <w:t>500114</w:t>
      </w:r>
      <w:r>
        <w:rPr>
          <w:rFonts w:hint="eastAsia" w:ascii="方正仿宋_GBK" w:hAnsi="方正仿宋_GBK" w:eastAsia="方正仿宋_GBK" w:cs="方正仿宋_GBK"/>
          <w:szCs w:val="32"/>
        </w:rPr>
        <w:t>-</w:t>
      </w:r>
      <w:r>
        <w:rPr>
          <w:rFonts w:hint="default" w:ascii="Times New Roman" w:hAnsi="Times New Roman" w:eastAsia="方正仿宋_GBK" w:cs="Times New Roman"/>
          <w:szCs w:val="32"/>
        </w:rPr>
        <w:t>04</w:t>
      </w:r>
      <w:r>
        <w:rPr>
          <w:rFonts w:hint="eastAsia" w:ascii="方正仿宋_GBK" w:hAnsi="方正仿宋_GBK" w:eastAsia="方正仿宋_GBK" w:cs="方正仿宋_GBK"/>
          <w:szCs w:val="32"/>
        </w:rPr>
        <w:t>-</w:t>
      </w:r>
      <w:r>
        <w:rPr>
          <w:rFonts w:hint="default" w:ascii="Times New Roman" w:hAnsi="Times New Roman" w:eastAsia="方正仿宋_GBK" w:cs="Times New Roman"/>
          <w:szCs w:val="32"/>
        </w:rPr>
        <w:t>01</w:t>
      </w:r>
      <w:r>
        <w:rPr>
          <w:rFonts w:hint="eastAsia" w:ascii="方正仿宋_GBK" w:hAnsi="方正仿宋_GBK" w:eastAsia="方正仿宋_GBK" w:cs="方正仿宋_GBK"/>
          <w:szCs w:val="32"/>
        </w:rPr>
        <w:t>-</w:t>
      </w:r>
      <w:r>
        <w:rPr>
          <w:rFonts w:hint="default" w:ascii="Times New Roman" w:hAnsi="Times New Roman" w:eastAsia="方正仿宋_GBK" w:cs="Times New Roman"/>
          <w:szCs w:val="32"/>
          <w:lang w:val="en-US" w:eastAsia="zh-CN"/>
        </w:rPr>
        <w:t>662539</w:t>
      </w:r>
      <w:r>
        <w:rPr>
          <w:rFonts w:hint="default" w:ascii="Times New Roman" w:hAnsi="Times New Roman" w:eastAsia="方正仿宋_GBK" w:cs="Times New Roman"/>
          <w:szCs w:val="32"/>
        </w:rPr>
        <w:t>）</w:t>
      </w:r>
      <w:r>
        <w:rPr>
          <w:rFonts w:hint="eastAsia" w:ascii="方正仿宋_GBK" w:hAnsi="方正仿宋_GBK" w:eastAsia="方正仿宋_GBK" w:cs="方正仿宋_GBK"/>
          <w:szCs w:val="32"/>
        </w:rPr>
        <w:t>。现将项目可行性研究报告批复如下：</w:t>
      </w:r>
    </w:p>
    <w:p w14:paraId="237BF3DC">
      <w:pPr>
        <w:spacing w:line="595"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eastAsia="方正黑体_GBK"/>
          <w:sz w:val="32"/>
          <w:szCs w:val="32"/>
        </w:rPr>
        <w:t>一、项目法人</w:t>
      </w:r>
      <w:r>
        <w:rPr>
          <w:rFonts w:hint="eastAsia" w:ascii="方正仿宋_GBK" w:hAnsi="方正仿宋_GBK" w:eastAsia="方正仿宋_GBK" w:cs="方正仿宋_GBK"/>
          <w:kern w:val="2"/>
          <w:sz w:val="32"/>
          <w:szCs w:val="32"/>
          <w:lang w:val="en-US" w:eastAsia="zh-CN" w:bidi="ar-SA"/>
        </w:rPr>
        <w:t>：黔江区水市镇人民政府</w:t>
      </w:r>
    </w:p>
    <w:p w14:paraId="62F184C0">
      <w:pPr>
        <w:spacing w:line="595" w:lineRule="exact"/>
        <w:ind w:firstLine="640" w:firstLineChars="200"/>
        <w:rPr>
          <w:rFonts w:hint="eastAsia" w:ascii="方正仿宋_GBK" w:hAnsi="方正仿宋_GBK" w:eastAsia="方正仿宋_GBK" w:cs="方正仿宋_GBK"/>
          <w:kern w:val="2"/>
          <w:sz w:val="32"/>
          <w:szCs w:val="32"/>
          <w:lang w:val="zh-CN" w:eastAsia="zh-CN" w:bidi="ar-SA"/>
        </w:rPr>
      </w:pPr>
      <w:r>
        <w:rPr>
          <w:rFonts w:hint="eastAsia" w:eastAsia="方正黑体_GBK"/>
          <w:sz w:val="32"/>
          <w:szCs w:val="32"/>
        </w:rPr>
        <w:t>二、建设地点：</w:t>
      </w:r>
      <w:r>
        <w:rPr>
          <w:rFonts w:hint="eastAsia" w:ascii="方正仿宋_GBK" w:hAnsi="方正仿宋_GBK" w:eastAsia="方正仿宋_GBK" w:cs="方正仿宋_GBK"/>
          <w:kern w:val="2"/>
          <w:sz w:val="32"/>
          <w:szCs w:val="32"/>
          <w:lang w:val="zh-CN" w:eastAsia="zh-CN" w:bidi="ar-SA"/>
        </w:rPr>
        <w:t>水市镇</w:t>
      </w:r>
    </w:p>
    <w:p w14:paraId="33FAC5D6">
      <w:pPr>
        <w:autoSpaceDE w:val="0"/>
        <w:autoSpaceDN w:val="0"/>
        <w:adjustRightInd w:val="0"/>
        <w:spacing w:line="595"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eastAsia="方正黑体_GBK"/>
          <w:sz w:val="32"/>
          <w:szCs w:val="32"/>
        </w:rPr>
        <w:t>三、主要建设内容及规模</w:t>
      </w:r>
      <w:r>
        <w:rPr>
          <w:rFonts w:hint="eastAsia" w:ascii="方正仿宋_GBK" w:hAnsi="方正仿宋_GBK" w:eastAsia="方正仿宋_GBK" w:cs="方正仿宋_GBK"/>
          <w:kern w:val="2"/>
          <w:sz w:val="32"/>
          <w:szCs w:val="32"/>
          <w:lang w:val="en-US" w:eastAsia="zh-CN" w:bidi="ar-SA"/>
        </w:rPr>
        <w:t>：项目</w:t>
      </w:r>
      <w:r>
        <w:rPr>
          <w:rFonts w:hint="default" w:ascii="Times New Roman" w:hAnsi="Times New Roman" w:eastAsia="方正仿宋_GBK" w:cs="Times New Roman"/>
          <w:kern w:val="2"/>
          <w:sz w:val="32"/>
          <w:szCs w:val="32"/>
          <w:lang w:val="en-US" w:eastAsia="zh-CN" w:bidi="ar-SA"/>
        </w:rPr>
        <w:t>路线全长6.78公里，共涉及1条路段，路线起点位于水市镇茂溪村村委活动室，途径断山、锣鼓坝、简家垭口，止于鹅池镇学堂社区茶山边界。根据现场地质情况及调查时土地协调情况进行拓宽改造，增设错车道，并对加宽路段铺设20厘米厚C25水泥混凝土路面</w:t>
      </w:r>
      <w:r>
        <w:rPr>
          <w:rFonts w:hint="eastAsia" w:ascii="方正仿宋_GBK" w:hAnsi="方正仿宋_GBK" w:eastAsia="方正仿宋_GBK" w:cs="方正仿宋_GBK"/>
          <w:kern w:val="2"/>
          <w:sz w:val="32"/>
          <w:szCs w:val="32"/>
          <w:lang w:val="en-US" w:eastAsia="zh-CN" w:bidi="ar-SA"/>
        </w:rPr>
        <w:t>。</w:t>
      </w:r>
    </w:p>
    <w:p w14:paraId="2A8C04F7">
      <w:pPr>
        <w:spacing w:line="500" w:lineRule="exact"/>
        <w:ind w:firstLine="640" w:firstLineChars="200"/>
        <w:rPr>
          <w:rFonts w:hint="eastAsia" w:eastAsia="方正仿宋_GBK"/>
          <w:sz w:val="32"/>
          <w:szCs w:val="32"/>
        </w:rPr>
      </w:pPr>
      <w:r>
        <w:rPr>
          <w:rFonts w:hint="eastAsia" w:eastAsia="方正黑体_GBK"/>
          <w:sz w:val="32"/>
          <w:szCs w:val="32"/>
        </w:rPr>
        <w:t>四、</w:t>
      </w:r>
      <w:r>
        <w:rPr>
          <w:rFonts w:eastAsia="方正黑体_GBK"/>
          <w:sz w:val="32"/>
          <w:szCs w:val="32"/>
        </w:rPr>
        <w:t>建设工期：</w:t>
      </w:r>
      <w:r>
        <w:rPr>
          <w:rFonts w:hint="eastAsia" w:eastAsia="方正黑体_GBK"/>
          <w:sz w:val="32"/>
          <w:szCs w:val="32"/>
          <w:lang w:val="en-US" w:eastAsia="zh-CN"/>
        </w:rPr>
        <w:t>6</w:t>
      </w:r>
      <w:r>
        <w:rPr>
          <w:rFonts w:eastAsia="方正仿宋_GBK"/>
          <w:sz w:val="32"/>
          <w:szCs w:val="32"/>
        </w:rPr>
        <w:t>个月。</w:t>
      </w:r>
    </w:p>
    <w:p w14:paraId="27885FD2">
      <w:pPr>
        <w:keepNext w:val="0"/>
        <w:keepLines w:val="0"/>
        <w:pageBreakBefore w:val="0"/>
        <w:widowControl w:val="0"/>
        <w:kinsoku/>
        <w:wordWrap/>
        <w:overflowPunct/>
        <w:topLinePunct w:val="0"/>
        <w:autoSpaceDE w:val="0"/>
        <w:autoSpaceDN w:val="0"/>
        <w:bidi w:val="0"/>
        <w:adjustRightInd w:val="0"/>
        <w:spacing w:line="595" w:lineRule="exact"/>
        <w:ind w:right="0" w:rightChars="0" w:firstLine="675" w:firstLineChars="211"/>
        <w:jc w:val="both"/>
        <w:textAlignment w:val="auto"/>
        <w:outlineLvl w:val="9"/>
        <w:rPr>
          <w:rFonts w:hint="eastAsia" w:ascii="方正仿宋_GBK" w:hAnsi="方正仿宋_GBK" w:eastAsia="方正仿宋_GBK" w:cs="方正仿宋_GBK"/>
          <w:kern w:val="2"/>
          <w:sz w:val="32"/>
          <w:szCs w:val="32"/>
          <w:lang w:val="zh-CN" w:eastAsia="zh-CN" w:bidi="ar-SA"/>
        </w:rPr>
      </w:pPr>
      <w:r>
        <w:rPr>
          <w:rFonts w:hint="eastAsia" w:eastAsia="方正黑体_GBK"/>
          <w:sz w:val="32"/>
          <w:szCs w:val="32"/>
          <w:lang w:val="en-US" w:eastAsia="zh-CN"/>
        </w:rPr>
        <w:t>五、项目总投资及资金来源：</w:t>
      </w:r>
      <w:r>
        <w:rPr>
          <w:rFonts w:hint="default" w:ascii="Times New Roman" w:hAnsi="Times New Roman" w:eastAsia="方正仿宋_GBK" w:cs="Times New Roman"/>
          <w:kern w:val="2"/>
          <w:sz w:val="32"/>
          <w:szCs w:val="32"/>
          <w:lang w:val="en-US" w:eastAsia="zh-CN" w:bidi="ar-SA"/>
        </w:rPr>
        <w:t>项目估算总投资179.98万元，其中：</w:t>
      </w:r>
      <w:bookmarkStart w:id="0" w:name="_Hlk133242824"/>
      <w:r>
        <w:rPr>
          <w:rFonts w:hint="default" w:ascii="Times New Roman" w:hAnsi="Times New Roman" w:eastAsia="方正仿宋_GBK" w:cs="Times New Roman"/>
          <w:kern w:val="2"/>
          <w:sz w:val="32"/>
          <w:szCs w:val="32"/>
          <w:lang w:val="en-US" w:eastAsia="zh-CN" w:bidi="ar-SA"/>
        </w:rPr>
        <w:t>工程费用167.32万元，</w:t>
      </w:r>
      <w:bookmarkEnd w:id="0"/>
      <w:r>
        <w:rPr>
          <w:rFonts w:hint="default" w:ascii="Times New Roman" w:hAnsi="Times New Roman" w:eastAsia="方正仿宋_GBK" w:cs="Times New Roman"/>
          <w:kern w:val="2"/>
          <w:sz w:val="32"/>
          <w:szCs w:val="32"/>
          <w:lang w:val="en-US" w:eastAsia="zh-CN" w:bidi="ar-SA"/>
        </w:rPr>
        <w:t>工程建设其他费7.42万元，基本预备费5.24万元。资金来源为中央专</w:t>
      </w:r>
      <w:r>
        <w:rPr>
          <w:rFonts w:hint="eastAsia" w:ascii="方正仿宋_GBK" w:hAnsi="方正仿宋_GBK" w:eastAsia="方正仿宋_GBK" w:cs="方正仿宋_GBK"/>
          <w:kern w:val="2"/>
          <w:sz w:val="32"/>
          <w:szCs w:val="32"/>
          <w:lang w:val="en-US" w:eastAsia="zh-CN" w:bidi="ar-SA"/>
        </w:rPr>
        <w:t>项补助资金，不足部分由业主自筹。</w:t>
      </w:r>
    </w:p>
    <w:p w14:paraId="5753B7A5">
      <w:pPr>
        <w:keepNext w:val="0"/>
        <w:keepLines w:val="0"/>
        <w:pageBreakBefore w:val="0"/>
        <w:widowControl w:val="0"/>
        <w:kinsoku/>
        <w:wordWrap/>
        <w:overflowPunct/>
        <w:topLinePunct w:val="0"/>
        <w:autoSpaceDE/>
        <w:autoSpaceDN/>
        <w:bidi w:val="0"/>
        <w:adjustRightInd/>
        <w:snapToGrid/>
        <w:spacing w:line="600" w:lineRule="exact"/>
        <w:ind w:left="0" w:right="0" w:rightChars="0" w:firstLine="640"/>
        <w:jc w:val="both"/>
        <w:textAlignment w:val="auto"/>
        <w:outlineLvl w:val="9"/>
        <w:rPr>
          <w:rFonts w:hint="eastAsia" w:ascii="Times New Roman" w:hAnsi="Times New Roman" w:eastAsia="方正仿宋_GBK"/>
          <w:sz w:val="32"/>
          <w:szCs w:val="32"/>
        </w:rPr>
      </w:pPr>
      <w:r>
        <w:rPr>
          <w:rFonts w:hint="eastAsia" w:ascii="方正黑体_GBK" w:hAnsi="方正黑体_GBK" w:eastAsia="方正黑体_GBK" w:cs="方正黑体_GBK"/>
          <w:sz w:val="32"/>
          <w:szCs w:val="32"/>
        </w:rPr>
        <w:t>六、招标核准：</w:t>
      </w:r>
      <w:r>
        <w:rPr>
          <w:rFonts w:ascii="方正仿宋_GBK" w:hAnsi="方正仿宋_GBK" w:eastAsia="方正仿宋_GBK" w:cs="方正仿宋_GBK"/>
          <w:color w:val="auto"/>
          <w:spacing w:val="0"/>
          <w:position w:val="0"/>
          <w:sz w:val="32"/>
          <w:shd w:val="clear" w:color="auto" w:fill="auto"/>
        </w:rPr>
        <w:t>招标范围、招标方式及招标组织形式严格按照《中华人民共和国招标投标法实施条例》</w:t>
      </w:r>
      <w:r>
        <w:rPr>
          <w:rFonts w:hint="eastAsia" w:ascii="方正仿宋_GBK" w:hAnsi="方正仿宋_GBK" w:eastAsia="方正仿宋_GBK" w:cs="方正仿宋_GBK"/>
          <w:color w:val="auto"/>
          <w:spacing w:val="0"/>
          <w:position w:val="0"/>
          <w:sz w:val="32"/>
          <w:shd w:val="clear" w:color="auto" w:fill="auto"/>
          <w:lang w:eastAsia="zh-CN"/>
        </w:rPr>
        <w:t>《重庆市招标投标条例》《重庆市黔江区限额以下工程建设项目发包管理暂行办法》</w:t>
      </w:r>
      <w:r>
        <w:rPr>
          <w:rFonts w:ascii="方正仿宋_GBK" w:hAnsi="方正仿宋_GBK" w:eastAsia="方正仿宋_GBK" w:cs="方正仿宋_GBK"/>
          <w:color w:val="auto"/>
          <w:spacing w:val="0"/>
          <w:position w:val="0"/>
          <w:sz w:val="32"/>
          <w:shd w:val="clear" w:color="auto" w:fill="auto"/>
        </w:rPr>
        <w:t>及相关法律规定组织实施。</w:t>
      </w:r>
    </w:p>
    <w:p w14:paraId="60CD857E">
      <w:pPr>
        <w:pStyle w:val="5"/>
        <w:spacing w:line="520" w:lineRule="exact"/>
        <w:ind w:firstLine="640" w:firstLineChars="200"/>
        <w:rPr>
          <w:rFonts w:hint="eastAsia" w:ascii="Times New Roman" w:hAnsi="Times New Roman" w:eastAsia="方正仿宋_GBK"/>
          <w:sz w:val="32"/>
          <w:szCs w:val="32"/>
        </w:rPr>
      </w:pPr>
      <w:r>
        <w:rPr>
          <w:rFonts w:hint="eastAsia" w:ascii="方正黑体_GBK" w:hAnsi="方正黑体_GBK" w:eastAsia="方正黑体_GBK" w:cs="方正黑体_GBK"/>
          <w:sz w:val="32"/>
          <w:szCs w:val="32"/>
        </w:rPr>
        <w:t>七、有关事项：</w:t>
      </w:r>
      <w:r>
        <w:rPr>
          <w:rFonts w:hint="default" w:ascii="方正仿宋_GBK" w:hAnsi="方正仿宋_GBK" w:eastAsia="方正仿宋_GBK" w:cs="方正仿宋_GBK"/>
          <w:color w:val="auto"/>
          <w:spacing w:val="0"/>
          <w:kern w:val="2"/>
          <w:position w:val="0"/>
          <w:sz w:val="32"/>
          <w:szCs w:val="22"/>
          <w:shd w:val="clear" w:color="auto" w:fill="auto"/>
          <w:lang w:val="en-US" w:eastAsia="zh-CN" w:bidi="ar-SA"/>
        </w:rPr>
        <w:t>请你单位根据本批复，结合项目可行性研究报告评估意见，抓紧开展下步工作。要严格执行项目法人责任制、招标投标制、工程监理制、合同管理制，严格控制工程投资标准，防止工程超过审定投资。</w:t>
      </w:r>
    </w:p>
    <w:p w14:paraId="71A0699E">
      <w:pPr>
        <w:pStyle w:val="5"/>
        <w:spacing w:line="500" w:lineRule="exact"/>
        <w:rPr>
          <w:rFonts w:hint="eastAsia" w:ascii="Times New Roman" w:hAnsi="Times New Roman" w:eastAsia="方正仿宋_GBK"/>
          <w:sz w:val="32"/>
          <w:szCs w:val="32"/>
        </w:rPr>
      </w:pPr>
    </w:p>
    <w:p w14:paraId="2F944A74">
      <w:pPr>
        <w:pStyle w:val="5"/>
        <w:spacing w:line="520" w:lineRule="exact"/>
        <w:ind w:left="1598" w:leftChars="304" w:hanging="960" w:hangingChars="300"/>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pPr>
      <w:r>
        <w:rPr>
          <w:rFonts w:hint="eastAsia" w:ascii="Times New Roman" w:hAnsi="Times New Roman" w:eastAsia="方正仿宋_GBK"/>
          <w:sz w:val="32"/>
          <w:szCs w:val="32"/>
        </w:rPr>
        <w:t>附件：</w:t>
      </w:r>
      <w:r>
        <w:rPr>
          <w:rFonts w:hint="eastAsia" w:ascii="Times New Roman" w:hAnsi="Times New Roman" w:eastAsia="方正仿宋_GBK"/>
          <w:sz w:val="32"/>
          <w:szCs w:val="32"/>
          <w:lang w:val="zh-CN" w:eastAsia="zh-CN"/>
        </w:rPr>
        <w:t>黔江区2026年“四好农村路”建设项目水市镇茂溪村村委活动室至鹅池镇学堂社区茶山边界道路拓宽工程</w:t>
      </w:r>
      <w:r>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t>投资估算表</w:t>
      </w:r>
    </w:p>
    <w:p w14:paraId="2F8C8D9C">
      <w:pPr>
        <w:pStyle w:val="30"/>
      </w:pPr>
    </w:p>
    <w:p w14:paraId="2AD9071A">
      <w:pPr>
        <w:pStyle w:val="30"/>
      </w:pPr>
    </w:p>
    <w:p w14:paraId="3ABFDFC5">
      <w:pPr>
        <w:spacing w:line="500" w:lineRule="exact"/>
        <w:ind w:firstLine="3520" w:firstLineChars="1100"/>
        <w:rPr>
          <w:rFonts w:eastAsia="方正仿宋_GBK"/>
          <w:sz w:val="32"/>
          <w:szCs w:val="32"/>
        </w:rPr>
      </w:pPr>
      <w:r>
        <w:rPr>
          <w:rFonts w:eastAsia="方正仿宋_GBK"/>
          <w:sz w:val="32"/>
          <w:szCs w:val="32"/>
        </w:rPr>
        <w:t>重庆市黔江区发展和改革委员会</w:t>
      </w:r>
    </w:p>
    <w:p w14:paraId="2C9E1B40">
      <w:pPr>
        <w:pStyle w:val="3"/>
        <w:spacing w:line="500" w:lineRule="exact"/>
        <w:ind w:firstLine="640" w:firstLineChars="200"/>
        <w:rPr>
          <w:rFonts w:ascii="Times New Roman" w:hAnsi="Times New Roman" w:eastAsia="方正仿宋_GBK"/>
          <w:sz w:val="28"/>
          <w:szCs w:val="28"/>
        </w:rPr>
      </w:pPr>
      <w:r>
        <w:rPr>
          <w:rFonts w:eastAsia="方正仿宋_GBK"/>
          <w:szCs w:val="32"/>
        </w:rPr>
        <w:t xml:space="preserve">                </w:t>
      </w:r>
      <w:r>
        <w:rPr>
          <w:rFonts w:hint="eastAsia" w:eastAsia="方正仿宋_GBK"/>
          <w:szCs w:val="32"/>
        </w:rPr>
        <w:t xml:space="preserve">        202</w:t>
      </w:r>
      <w:r>
        <w:rPr>
          <w:rFonts w:hint="eastAsia" w:eastAsia="方正仿宋_GBK"/>
          <w:szCs w:val="32"/>
          <w:lang w:val="en-US" w:eastAsia="zh-CN"/>
        </w:rPr>
        <w:t>6</w:t>
      </w:r>
      <w:bookmarkStart w:id="1" w:name="_GoBack"/>
      <w:bookmarkEnd w:id="1"/>
      <w:r>
        <w:rPr>
          <w:rFonts w:eastAsia="方正仿宋_GBK"/>
        </w:rPr>
        <w:t>年</w:t>
      </w:r>
      <w:r>
        <w:rPr>
          <w:rFonts w:hint="eastAsia" w:eastAsia="方正仿宋_GBK"/>
          <w:lang w:val="en-US" w:eastAsia="zh-CN"/>
        </w:rPr>
        <w:t>5</w:t>
      </w:r>
      <w:r>
        <w:rPr>
          <w:rFonts w:eastAsia="方正仿宋_GBK"/>
        </w:rPr>
        <w:t>月</w:t>
      </w:r>
      <w:r>
        <w:rPr>
          <w:rFonts w:hint="eastAsia" w:eastAsia="方正仿宋_GBK"/>
          <w:lang w:val="en-US" w:eastAsia="zh-CN"/>
        </w:rPr>
        <w:t>8</w:t>
      </w:r>
      <w:r>
        <w:rPr>
          <w:rFonts w:eastAsia="方正仿宋_GBK"/>
        </w:rPr>
        <w:t>日</w:t>
      </w:r>
    </w:p>
    <w:p w14:paraId="7C5BB2F4">
      <w:pPr>
        <w:pStyle w:val="5"/>
        <w:spacing w:line="500" w:lineRule="exact"/>
        <w:rPr>
          <w:rFonts w:ascii="Times New Roman" w:hAnsi="Times New Roman" w:eastAsia="方正仿宋_GBK"/>
          <w:sz w:val="28"/>
          <w:szCs w:val="28"/>
        </w:rPr>
      </w:pPr>
    </w:p>
    <w:p w14:paraId="3260671D">
      <w:pPr>
        <w:pStyle w:val="5"/>
        <w:spacing w:line="500" w:lineRule="exact"/>
        <w:rPr>
          <w:rFonts w:hint="eastAsia" w:ascii="Times New Roman" w:hAnsi="Times New Roman" w:eastAsia="方正仿宋_GBK"/>
          <w:sz w:val="28"/>
          <w:szCs w:val="28"/>
        </w:rPr>
      </w:pPr>
    </w:p>
    <w:p w14:paraId="29BE31A4">
      <w:pPr>
        <w:pStyle w:val="5"/>
        <w:spacing w:line="500" w:lineRule="exact"/>
        <w:rPr>
          <w:rFonts w:hint="eastAsia" w:ascii="Times New Roman" w:hAnsi="Times New Roman" w:eastAsia="方正仿宋_GBK"/>
          <w:sz w:val="28"/>
          <w:szCs w:val="28"/>
        </w:rPr>
      </w:pPr>
    </w:p>
    <w:p w14:paraId="36A97B3B">
      <w:pPr>
        <w:pStyle w:val="5"/>
        <w:spacing w:line="500" w:lineRule="exact"/>
        <w:rPr>
          <w:rFonts w:hint="eastAsia" w:ascii="Times New Roman" w:hAnsi="Times New Roman" w:eastAsia="方正仿宋_GBK"/>
          <w:sz w:val="28"/>
          <w:szCs w:val="28"/>
        </w:rPr>
      </w:pPr>
    </w:p>
    <w:p w14:paraId="3CBB443E">
      <w:pPr>
        <w:pStyle w:val="5"/>
        <w:spacing w:line="500" w:lineRule="exact"/>
        <w:rPr>
          <w:rFonts w:hint="eastAsia" w:ascii="Times New Roman" w:hAnsi="Times New Roman" w:eastAsia="方正仿宋_GBK"/>
          <w:sz w:val="28"/>
          <w:szCs w:val="28"/>
        </w:rPr>
      </w:pPr>
    </w:p>
    <w:p w14:paraId="2C7C79A5">
      <w:pPr>
        <w:pStyle w:val="5"/>
        <w:spacing w:line="500" w:lineRule="exact"/>
        <w:rPr>
          <w:rFonts w:hint="eastAsia" w:ascii="Times New Roman" w:hAnsi="Times New Roman" w:eastAsia="方正仿宋_GBK"/>
          <w:sz w:val="28"/>
          <w:szCs w:val="28"/>
        </w:rPr>
      </w:pPr>
    </w:p>
    <w:p w14:paraId="39AEE671">
      <w:pPr>
        <w:pStyle w:val="5"/>
        <w:spacing w:line="500" w:lineRule="exact"/>
        <w:rPr>
          <w:rFonts w:hint="eastAsia" w:ascii="Times New Roman" w:hAnsi="Times New Roman" w:eastAsia="方正仿宋_GBK"/>
          <w:sz w:val="28"/>
          <w:szCs w:val="28"/>
        </w:rPr>
      </w:pPr>
    </w:p>
    <w:p w14:paraId="307F294A">
      <w:pPr>
        <w:pStyle w:val="5"/>
        <w:spacing w:line="500" w:lineRule="exact"/>
        <w:rPr>
          <w:rFonts w:hint="eastAsia" w:ascii="Times New Roman" w:hAnsi="Times New Roman" w:eastAsia="方正仿宋_GBK"/>
          <w:sz w:val="28"/>
          <w:szCs w:val="28"/>
        </w:rPr>
      </w:pPr>
    </w:p>
    <w:p w14:paraId="43D8E229">
      <w:pPr>
        <w:pStyle w:val="5"/>
        <w:spacing w:line="500" w:lineRule="exact"/>
        <w:rPr>
          <w:rFonts w:hint="eastAsia" w:ascii="Times New Roman" w:hAnsi="Times New Roman" w:eastAsia="方正仿宋_GBK"/>
          <w:sz w:val="28"/>
          <w:szCs w:val="28"/>
        </w:rPr>
      </w:pPr>
    </w:p>
    <w:p w14:paraId="3FAAF36C">
      <w:pPr>
        <w:pStyle w:val="5"/>
        <w:spacing w:line="500" w:lineRule="exact"/>
        <w:rPr>
          <w:rFonts w:hint="eastAsia" w:ascii="Times New Roman" w:hAnsi="Times New Roman" w:eastAsia="方正仿宋_GBK"/>
          <w:sz w:val="28"/>
          <w:szCs w:val="28"/>
        </w:rPr>
      </w:pPr>
    </w:p>
    <w:p w14:paraId="568E0E2C">
      <w:pPr>
        <w:pStyle w:val="5"/>
        <w:spacing w:line="500" w:lineRule="exact"/>
        <w:rPr>
          <w:rFonts w:hint="eastAsia" w:ascii="Times New Roman" w:hAnsi="Times New Roman" w:eastAsia="方正仿宋_GBK"/>
          <w:sz w:val="28"/>
          <w:szCs w:val="28"/>
        </w:rPr>
      </w:pPr>
    </w:p>
    <w:p w14:paraId="3DFC39C8">
      <w:pPr>
        <w:pStyle w:val="5"/>
        <w:spacing w:line="500" w:lineRule="exact"/>
        <w:rPr>
          <w:rFonts w:hint="eastAsia" w:ascii="Times New Roman" w:hAnsi="Times New Roman" w:eastAsia="方正仿宋_GBK"/>
          <w:sz w:val="28"/>
          <w:szCs w:val="28"/>
        </w:rPr>
      </w:pPr>
    </w:p>
    <w:p w14:paraId="52B4C8A4">
      <w:pPr>
        <w:pStyle w:val="5"/>
        <w:spacing w:line="500" w:lineRule="exact"/>
        <w:rPr>
          <w:rFonts w:hint="eastAsia" w:ascii="Times New Roman" w:hAnsi="Times New Roman" w:eastAsia="方正仿宋_GBK"/>
          <w:sz w:val="28"/>
          <w:szCs w:val="28"/>
        </w:rPr>
      </w:pPr>
    </w:p>
    <w:p w14:paraId="178558F4">
      <w:pPr>
        <w:pStyle w:val="5"/>
        <w:spacing w:line="500" w:lineRule="exact"/>
        <w:rPr>
          <w:rFonts w:hint="eastAsia" w:ascii="Times New Roman" w:hAnsi="Times New Roman" w:eastAsia="方正仿宋_GBK"/>
          <w:sz w:val="28"/>
          <w:szCs w:val="28"/>
        </w:rPr>
      </w:pPr>
    </w:p>
    <w:p w14:paraId="1B791E11">
      <w:pPr>
        <w:pStyle w:val="5"/>
        <w:spacing w:line="500" w:lineRule="exact"/>
        <w:rPr>
          <w:rFonts w:hint="eastAsia" w:ascii="Times New Roman" w:hAnsi="Times New Roman" w:eastAsia="方正仿宋_GBK"/>
          <w:sz w:val="28"/>
          <w:szCs w:val="28"/>
        </w:rPr>
      </w:pPr>
    </w:p>
    <w:p w14:paraId="3BD78A8D">
      <w:pPr>
        <w:pStyle w:val="5"/>
        <w:spacing w:line="500" w:lineRule="exact"/>
        <w:rPr>
          <w:rFonts w:hint="eastAsia" w:ascii="Times New Roman" w:hAnsi="Times New Roman" w:eastAsia="方正仿宋_GBK"/>
          <w:sz w:val="28"/>
          <w:szCs w:val="28"/>
        </w:rPr>
      </w:pPr>
    </w:p>
    <w:p w14:paraId="1149B0F0">
      <w:pPr>
        <w:pStyle w:val="5"/>
        <w:spacing w:line="500" w:lineRule="exact"/>
        <w:rPr>
          <w:rFonts w:hint="eastAsia" w:ascii="Times New Roman" w:hAnsi="Times New Roman" w:eastAsia="方正仿宋_GBK"/>
          <w:sz w:val="28"/>
          <w:szCs w:val="28"/>
        </w:rPr>
      </w:pPr>
    </w:p>
    <w:p w14:paraId="0196F91E">
      <w:pPr>
        <w:pStyle w:val="5"/>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01FFE8AD">
      <w:pPr>
        <w:pStyle w:val="5"/>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黑体_GBK" w:hAnsi="方正黑体_GBK" w:eastAsia="方正黑体_GBK" w:cs="方正黑体_GBK"/>
          <w:sz w:val="32"/>
          <w:szCs w:val="32"/>
        </w:rPr>
      </w:pPr>
    </w:p>
    <w:p w14:paraId="73143983">
      <w:pPr>
        <w:pStyle w:val="5"/>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zh-CN" w:eastAsia="zh-CN"/>
        </w:rPr>
        <w:t>黔江区2026年“四好农村路”建设项目水市镇茂溪村村委活动室至鹅池镇学堂社区茶山边界道路拓宽工程</w:t>
      </w:r>
      <w:r>
        <w:rPr>
          <w:rFonts w:hint="eastAsia" w:ascii="方正小标宋_GBK" w:hAnsi="方正小标宋_GBK" w:eastAsia="方正小标宋_GBK" w:cs="方正小标宋_GBK"/>
          <w:sz w:val="32"/>
          <w:szCs w:val="32"/>
        </w:rPr>
        <w:t>投资估算表</w:t>
      </w:r>
    </w:p>
    <w:p w14:paraId="2D8EE924">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sz w:val="32"/>
          <w:szCs w:val="32"/>
        </w:rPr>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15"/>
        <w:gridCol w:w="5670"/>
        <w:gridCol w:w="1905"/>
      </w:tblGrid>
      <w:tr w14:paraId="2143C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115" w:type="dxa"/>
            <w:tcBorders>
              <w:top w:val="single" w:color="000000" w:sz="4" w:space="0"/>
              <w:left w:val="single" w:color="000000" w:sz="4" w:space="0"/>
              <w:bottom w:val="single" w:color="000000" w:sz="4" w:space="0"/>
              <w:right w:val="single" w:color="000000" w:sz="4" w:space="0"/>
            </w:tcBorders>
            <w:noWrap w:val="0"/>
            <w:vAlign w:val="center"/>
          </w:tcPr>
          <w:p w14:paraId="147676B7">
            <w:pPr>
              <w:keepNext w:val="0"/>
              <w:keepLines w:val="0"/>
              <w:widowControl/>
              <w:suppressLineNumbers w:val="0"/>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序 号</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14:paraId="41F4D91D">
            <w:pPr>
              <w:keepNext w:val="0"/>
              <w:keepLines w:val="0"/>
              <w:widowControl/>
              <w:suppressLineNumbers w:val="0"/>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工程或费用名称</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C524186">
            <w:pPr>
              <w:keepNext w:val="0"/>
              <w:keepLines w:val="0"/>
              <w:widowControl/>
              <w:suppressLineNumbers w:val="0"/>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金额（万元）</w:t>
            </w:r>
          </w:p>
        </w:tc>
      </w:tr>
      <w:tr w14:paraId="08A1E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5" w:hRule="atLeast"/>
        </w:trPr>
        <w:tc>
          <w:tcPr>
            <w:tcW w:w="1115" w:type="dxa"/>
            <w:tcBorders>
              <w:top w:val="single" w:color="000000" w:sz="4" w:space="0"/>
              <w:left w:val="single" w:color="000000" w:sz="4" w:space="0"/>
              <w:bottom w:val="single" w:color="000000" w:sz="4" w:space="0"/>
              <w:right w:val="single" w:color="000000" w:sz="4" w:space="0"/>
            </w:tcBorders>
            <w:noWrap w:val="0"/>
            <w:vAlign w:val="center"/>
          </w:tcPr>
          <w:p w14:paraId="2605BF97">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一</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14:paraId="71F4F230">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工程费用</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2E26C65D">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 xml:space="preserve">167.32 </w:t>
            </w:r>
          </w:p>
        </w:tc>
      </w:tr>
      <w:tr w14:paraId="6EF10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trPr>
        <w:tc>
          <w:tcPr>
            <w:tcW w:w="11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FE756">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w:t>
            </w:r>
          </w:p>
        </w:tc>
        <w:tc>
          <w:tcPr>
            <w:tcW w:w="56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7485699">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黔江区2026年“四好农村路”建设项目水市镇茂溪村村委活动室至鹅池镇学堂社区茶山边界道路拓宽工程</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A20AD19">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167.32 </w:t>
            </w:r>
          </w:p>
        </w:tc>
      </w:tr>
      <w:tr w14:paraId="0CB77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trPr>
        <w:tc>
          <w:tcPr>
            <w:tcW w:w="1115" w:type="dxa"/>
            <w:tcBorders>
              <w:top w:val="single" w:color="000000" w:sz="4" w:space="0"/>
              <w:left w:val="single" w:color="000000" w:sz="4" w:space="0"/>
              <w:bottom w:val="single" w:color="000000" w:sz="4" w:space="0"/>
              <w:right w:val="single" w:color="000000" w:sz="4" w:space="0"/>
            </w:tcBorders>
            <w:noWrap w:val="0"/>
            <w:vAlign w:val="center"/>
          </w:tcPr>
          <w:p w14:paraId="014BBA86">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二</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14:paraId="36DB8076">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工程建设其他费</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9BDBBED">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 xml:space="preserve">7.42 </w:t>
            </w:r>
          </w:p>
        </w:tc>
      </w:tr>
      <w:tr w14:paraId="6A78A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trPr>
        <w:tc>
          <w:tcPr>
            <w:tcW w:w="11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39507A">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w:t>
            </w:r>
          </w:p>
        </w:tc>
        <w:tc>
          <w:tcPr>
            <w:tcW w:w="56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944BBB8">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工程建设监理费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5A345BD">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3.76 </w:t>
            </w:r>
          </w:p>
        </w:tc>
      </w:tr>
      <w:tr w14:paraId="3504A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trPr>
        <w:tc>
          <w:tcPr>
            <w:tcW w:w="11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BDC4D2">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2</w:t>
            </w:r>
          </w:p>
        </w:tc>
        <w:tc>
          <w:tcPr>
            <w:tcW w:w="56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54E90B0">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建设项目前期工作费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E2043A4">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2.86 </w:t>
            </w:r>
          </w:p>
        </w:tc>
      </w:tr>
      <w:tr w14:paraId="5FD2B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trPr>
        <w:tc>
          <w:tcPr>
            <w:tcW w:w="11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04166C">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3</w:t>
            </w:r>
          </w:p>
        </w:tc>
        <w:tc>
          <w:tcPr>
            <w:tcW w:w="56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2F8C470">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设计文件审查费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62499D9">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0.13 </w:t>
            </w:r>
          </w:p>
        </w:tc>
      </w:tr>
      <w:tr w14:paraId="6F5AD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trPr>
        <w:tc>
          <w:tcPr>
            <w:tcW w:w="11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6549AE">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4</w:t>
            </w:r>
          </w:p>
        </w:tc>
        <w:tc>
          <w:tcPr>
            <w:tcW w:w="56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5363289">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工程保险费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A3F7E23">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0.67 </w:t>
            </w:r>
          </w:p>
        </w:tc>
      </w:tr>
      <w:tr w14:paraId="64A65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trPr>
        <w:tc>
          <w:tcPr>
            <w:tcW w:w="1115" w:type="dxa"/>
            <w:tcBorders>
              <w:top w:val="single" w:color="000000" w:sz="4" w:space="0"/>
              <w:left w:val="single" w:color="000000" w:sz="4" w:space="0"/>
              <w:bottom w:val="single" w:color="000000" w:sz="4" w:space="0"/>
              <w:right w:val="single" w:color="000000" w:sz="4" w:space="0"/>
            </w:tcBorders>
            <w:noWrap w:val="0"/>
            <w:vAlign w:val="center"/>
          </w:tcPr>
          <w:p w14:paraId="229BCFF9">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三</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14:paraId="0CD44E9F">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基本预备费</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2BBAB469">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 xml:space="preserve">5.24 </w:t>
            </w:r>
          </w:p>
        </w:tc>
      </w:tr>
      <w:tr w14:paraId="0A399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trPr>
        <w:tc>
          <w:tcPr>
            <w:tcW w:w="1115" w:type="dxa"/>
            <w:tcBorders>
              <w:top w:val="single" w:color="000000" w:sz="4" w:space="0"/>
              <w:left w:val="single" w:color="000000" w:sz="4" w:space="0"/>
              <w:bottom w:val="single" w:color="000000" w:sz="4" w:space="0"/>
              <w:right w:val="single" w:color="000000" w:sz="4" w:space="0"/>
            </w:tcBorders>
            <w:noWrap w:val="0"/>
            <w:vAlign w:val="center"/>
          </w:tcPr>
          <w:p w14:paraId="4A6B41CA">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四</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14:paraId="687C688A">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建设项目总投资估算</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17E996D">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179.98</w:t>
            </w:r>
          </w:p>
        </w:tc>
      </w:tr>
    </w:tbl>
    <w:p w14:paraId="5C7E55A9"/>
    <w:p w14:paraId="3ED0E245">
      <w:pPr>
        <w:pStyle w:val="2"/>
      </w:pPr>
    </w:p>
    <w:p w14:paraId="0D7F96B5">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4E696F5E">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                            </w:t>
      </w:r>
    </w:p>
    <w:p w14:paraId="2B2DF0F7">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5</w:t>
      </w:r>
      <w:r>
        <w:rPr>
          <w:rFonts w:eastAsia="方正仿宋_GBK"/>
          <w:sz w:val="28"/>
          <w:szCs w:val="28"/>
          <w:u w:val="thick"/>
        </w:rPr>
        <w:t>月</w:t>
      </w:r>
      <w:r>
        <w:rPr>
          <w:rFonts w:hint="eastAsia" w:eastAsia="方正仿宋_GBK"/>
          <w:sz w:val="28"/>
          <w:szCs w:val="28"/>
          <w:u w:val="thick"/>
          <w:lang w:val="en-US" w:eastAsia="zh-CN"/>
        </w:rPr>
        <w:t>8</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5" w:type="default"/>
      <w:headerReference r:id="rId4" w:type="even"/>
      <w:footerReference r:id="rId6" w:type="even"/>
      <w:pgSz w:w="11907" w:h="16840"/>
      <w:pgMar w:top="2098" w:right="1474" w:bottom="1985" w:left="1588" w:header="851" w:footer="1134" w:gutter="0"/>
      <w:pgNumType w:fmt="numberInDash"/>
      <w:cols w:space="720" w:num="1"/>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13D08345-6EA6-42FC-B37C-1F592535CE1E}"/>
  </w:font>
  <w:font w:name="Verdana">
    <w:panose1 w:val="020B0604030504040204"/>
    <w:charset w:val="00"/>
    <w:family w:val="swiss"/>
    <w:pitch w:val="default"/>
    <w:sig w:usb0="A1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embedRegular r:id="rId2" w:fontKey="{5A4C039F-C514-4A76-94BE-7BD35E27B159}"/>
  </w:font>
  <w:font w:name="方正楷体_GBK">
    <w:panose1 w:val="03000509000000000000"/>
    <w:charset w:val="86"/>
    <w:family w:val="auto"/>
    <w:pitch w:val="default"/>
    <w:sig w:usb0="00000001" w:usb1="080E0000" w:usb2="00000000" w:usb3="00000000" w:csb0="00040000" w:csb1="00000000"/>
    <w:embedRegular r:id="rId3" w:fontKey="{214523F7-C23F-45B1-82C4-1F915A4E1EDA}"/>
  </w:font>
  <w:font w:name="Helvetica">
    <w:panose1 w:val="020B0504020202030204"/>
    <w:charset w:val="00"/>
    <w:family w:val="swiss"/>
    <w:pitch w:val="default"/>
    <w:sig w:usb0="00000007" w:usb1="00000000" w:usb2="00000000" w:usb3="00000000" w:csb0="00000093" w:csb1="00000000"/>
  </w:font>
  <w:font w:name="方正小标宋_GBK">
    <w:panose1 w:val="03000509000000000000"/>
    <w:charset w:val="86"/>
    <w:family w:val="script"/>
    <w:pitch w:val="default"/>
    <w:sig w:usb0="00000001" w:usb1="080E0000" w:usb2="00000000" w:usb3="00000000" w:csb0="00040000" w:csb1="00000000"/>
    <w:embedRegular r:id="rId4" w:fontKey="{135946DD-624B-4A7D-9128-A59A3AC8809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BBC7A">
    <w:pPr>
      <w:pStyle w:val="8"/>
      <w:framePr w:wrap="around" w:vAnchor="text" w:hAnchor="margin" w:xAlign="outside" w:y="1"/>
      <w:rPr>
        <w:rStyle w:val="12"/>
        <w:rFonts w:hint="eastAsia" w:ascii="宋体" w:hAnsi="宋体" w:cs="宋体"/>
        <w:sz w:val="28"/>
        <w:szCs w:val="28"/>
      </w:rPr>
    </w:pPr>
    <w:r>
      <w:rPr>
        <w:rFonts w:hint="eastAsia" w:ascii="宋体" w:hAnsi="宋体" w:cs="宋体"/>
        <w:sz w:val="28"/>
        <w:szCs w:val="28"/>
      </w:rPr>
      <w:fldChar w:fldCharType="begin"/>
    </w:r>
    <w:r>
      <w:rPr>
        <w:rStyle w:val="12"/>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2"/>
        <w:rFonts w:ascii="宋体" w:hAnsi="宋体" w:cs="宋体"/>
        <w:sz w:val="28"/>
        <w:szCs w:val="28"/>
      </w:rPr>
      <w:t>- 2 -</w:t>
    </w:r>
    <w:r>
      <w:rPr>
        <w:rFonts w:hint="eastAsia" w:ascii="宋体" w:hAnsi="宋体" w:cs="宋体"/>
        <w:sz w:val="28"/>
        <w:szCs w:val="28"/>
      </w:rPr>
      <w:fldChar w:fldCharType="end"/>
    </w:r>
  </w:p>
  <w:p w14:paraId="74BECCB4">
    <w:pPr>
      <w:pStyle w:val="8"/>
      <w:ind w:right="360" w:firstLine="360"/>
      <w:rPr>
        <w:rFonts w:hint="eastAsia" w:ascii="宋体" w:hAns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E2246">
    <w:pPr>
      <w:framePr w:wrap="around" w:vAnchor="text" w:hAnchor="margin" w:xAlign="outside" w:y="1"/>
      <w:rPr>
        <w:b/>
        <w:bCs/>
        <w:sz w:val="24"/>
      </w:rPr>
    </w:pPr>
    <w:r>
      <w:rPr>
        <w:b/>
        <w:bCs/>
        <w:sz w:val="24"/>
      </w:rPr>
      <w:t>-</w:t>
    </w:r>
    <w:r>
      <w:rPr>
        <w:b/>
        <w:bCs/>
        <w:sz w:val="24"/>
      </w:rPr>
      <w:fldChar w:fldCharType="begin"/>
    </w:r>
    <w:r>
      <w:rPr>
        <w:b/>
        <w:bCs/>
        <w:sz w:val="24"/>
      </w:rPr>
      <w:instrText xml:space="preserve">PAGE  </w:instrText>
    </w:r>
    <w:r>
      <w:rPr>
        <w:b/>
        <w:bCs/>
        <w:sz w:val="24"/>
      </w:rPr>
      <w:fldChar w:fldCharType="separate"/>
    </w:r>
    <w:r>
      <w:rPr>
        <w:b/>
        <w:bCs/>
        <w:sz w:val="24"/>
      </w:rPr>
      <w:t>2</w:t>
    </w:r>
    <w:r>
      <w:rPr>
        <w:b/>
        <w:bCs/>
        <w:sz w:val="24"/>
      </w:rPr>
      <w:fldChar w:fldCharType="end"/>
    </w:r>
    <w:r>
      <w:rPr>
        <w:b/>
        <w:bCs/>
        <w:sz w:val="24"/>
      </w:rPr>
      <w:t>-</w:t>
    </w:r>
  </w:p>
  <w:p w14:paraId="71C08DFA">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CE84A">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61D41">
    <w:pPr>
      <w:pStyle w:val="9"/>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4619"/>
    <w:rsid w:val="00524DDD"/>
    <w:rsid w:val="00533EEC"/>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25089"/>
    <w:rsid w:val="00830A3C"/>
    <w:rsid w:val="00831F42"/>
    <w:rsid w:val="00834164"/>
    <w:rsid w:val="008443C6"/>
    <w:rsid w:val="008520DD"/>
    <w:rsid w:val="0085214D"/>
    <w:rsid w:val="00864418"/>
    <w:rsid w:val="0086784B"/>
    <w:rsid w:val="00892405"/>
    <w:rsid w:val="008A532E"/>
    <w:rsid w:val="008B1E98"/>
    <w:rsid w:val="008B7A16"/>
    <w:rsid w:val="008E0EBC"/>
    <w:rsid w:val="008E704A"/>
    <w:rsid w:val="00913D61"/>
    <w:rsid w:val="00957973"/>
    <w:rsid w:val="00964278"/>
    <w:rsid w:val="0097005A"/>
    <w:rsid w:val="00974520"/>
    <w:rsid w:val="0099306D"/>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1BE3"/>
    <w:rsid w:val="00FB1403"/>
    <w:rsid w:val="00FC6354"/>
    <w:rsid w:val="00FD1DE0"/>
    <w:rsid w:val="00FD56D1"/>
    <w:rsid w:val="00FE11B7"/>
    <w:rsid w:val="04BB474E"/>
    <w:rsid w:val="09FA769E"/>
    <w:rsid w:val="0B7A378A"/>
    <w:rsid w:val="0C443D5D"/>
    <w:rsid w:val="0C4A4FFD"/>
    <w:rsid w:val="0CFC0645"/>
    <w:rsid w:val="0D37421D"/>
    <w:rsid w:val="0E090617"/>
    <w:rsid w:val="119A3908"/>
    <w:rsid w:val="130467CA"/>
    <w:rsid w:val="14CA633F"/>
    <w:rsid w:val="15636F5B"/>
    <w:rsid w:val="175C5702"/>
    <w:rsid w:val="181B2628"/>
    <w:rsid w:val="193E59D1"/>
    <w:rsid w:val="1A261065"/>
    <w:rsid w:val="1F013809"/>
    <w:rsid w:val="1F950368"/>
    <w:rsid w:val="208F215E"/>
    <w:rsid w:val="250D18ED"/>
    <w:rsid w:val="25195CAD"/>
    <w:rsid w:val="254A0970"/>
    <w:rsid w:val="26FD1886"/>
    <w:rsid w:val="27F93F48"/>
    <w:rsid w:val="28D139F4"/>
    <w:rsid w:val="2AD46A97"/>
    <w:rsid w:val="2F7B047E"/>
    <w:rsid w:val="31A87524"/>
    <w:rsid w:val="39705D78"/>
    <w:rsid w:val="397671E0"/>
    <w:rsid w:val="3E011B99"/>
    <w:rsid w:val="3EF47EDA"/>
    <w:rsid w:val="40A351EE"/>
    <w:rsid w:val="43DB6AFA"/>
    <w:rsid w:val="43E332D1"/>
    <w:rsid w:val="47DB5B06"/>
    <w:rsid w:val="487D33E1"/>
    <w:rsid w:val="4EC477AE"/>
    <w:rsid w:val="4F735634"/>
    <w:rsid w:val="4FFB4CF6"/>
    <w:rsid w:val="5130612A"/>
    <w:rsid w:val="51CE3B37"/>
    <w:rsid w:val="534E1E00"/>
    <w:rsid w:val="54CD50DD"/>
    <w:rsid w:val="555A2A20"/>
    <w:rsid w:val="5726180C"/>
    <w:rsid w:val="57A8352A"/>
    <w:rsid w:val="5A6A3D0A"/>
    <w:rsid w:val="5E2F48B2"/>
    <w:rsid w:val="5F75634D"/>
    <w:rsid w:val="5FCF3911"/>
    <w:rsid w:val="5FFE1A79"/>
    <w:rsid w:val="616F605C"/>
    <w:rsid w:val="653B0AE4"/>
    <w:rsid w:val="66560D21"/>
    <w:rsid w:val="678D70A8"/>
    <w:rsid w:val="685D3010"/>
    <w:rsid w:val="6A6C1DE8"/>
    <w:rsid w:val="6AF30A16"/>
    <w:rsid w:val="6BAE6A0F"/>
    <w:rsid w:val="6C68355C"/>
    <w:rsid w:val="6CE440E0"/>
    <w:rsid w:val="6DAE50AD"/>
    <w:rsid w:val="6EF61234"/>
    <w:rsid w:val="6F321C00"/>
    <w:rsid w:val="72141C90"/>
    <w:rsid w:val="74BA4923"/>
    <w:rsid w:val="764E6BC5"/>
    <w:rsid w:val="78624336"/>
    <w:rsid w:val="798F3B70"/>
    <w:rsid w:val="7AED1855"/>
    <w:rsid w:val="7CAC4C6E"/>
    <w:rsid w:val="7D496A92"/>
    <w:rsid w:val="D7F714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ind w:firstLine="640" w:firstLineChars="200"/>
    </w:pPr>
    <w:rPr>
      <w:rFonts w:eastAsia="仿宋_GB2312"/>
      <w:sz w:val="32"/>
    </w:rPr>
  </w:style>
  <w:style w:type="paragraph" w:styleId="4">
    <w:name w:val="toc 5"/>
    <w:basedOn w:val="1"/>
    <w:next w:val="1"/>
    <w:qFormat/>
    <w:uiPriority w:val="0"/>
    <w:pPr>
      <w:ind w:left="840"/>
    </w:pPr>
    <w:rPr>
      <w:sz w:val="18"/>
      <w:szCs w:val="18"/>
    </w:rPr>
  </w:style>
  <w:style w:type="paragraph" w:styleId="5">
    <w:name w:val="Plain Text"/>
    <w:basedOn w:val="1"/>
    <w:unhideWhenUsed/>
    <w:qFormat/>
    <w:uiPriority w:val="99"/>
    <w:rPr>
      <w:rFonts w:ascii="宋体" w:hAnsi="Courier New"/>
    </w:rPr>
  </w:style>
  <w:style w:type="paragraph" w:styleId="6">
    <w:name w:val="Body Text Indent 2"/>
    <w:basedOn w:val="1"/>
    <w:qFormat/>
    <w:uiPriority w:val="0"/>
    <w:pPr>
      <w:ind w:firstLine="645"/>
    </w:pPr>
    <w:rPr>
      <w:rFonts w:ascii="黑体" w:eastAsia="黑体"/>
      <w:sz w:val="32"/>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0"/>
  </w:style>
  <w:style w:type="character" w:customStyle="1" w:styleId="13">
    <w:name w:val="页眉 Char"/>
    <w:basedOn w:val="11"/>
    <w:link w:val="9"/>
    <w:semiHidden/>
    <w:qFormat/>
    <w:locked/>
    <w:uiPriority w:val="0"/>
    <w:rPr>
      <w:rFonts w:eastAsia="宋体"/>
      <w:kern w:val="2"/>
      <w:sz w:val="18"/>
      <w:szCs w:val="18"/>
      <w:lang w:val="en-US" w:eastAsia="zh-CN" w:bidi="ar-SA"/>
    </w:rPr>
  </w:style>
  <w:style w:type="character" w:customStyle="1" w:styleId="14">
    <w:name w:val="font21"/>
    <w:basedOn w:val="11"/>
    <w:qFormat/>
    <w:uiPriority w:val="0"/>
    <w:rPr>
      <w:rFonts w:hint="eastAsia" w:ascii="宋体" w:hAnsi="宋体" w:eastAsia="宋体" w:cs="宋体"/>
      <w:color w:val="000000"/>
      <w:sz w:val="24"/>
      <w:szCs w:val="24"/>
      <w:u w:val="none"/>
    </w:rPr>
  </w:style>
  <w:style w:type="character" w:customStyle="1" w:styleId="15">
    <w:name w:val="font41"/>
    <w:basedOn w:val="11"/>
    <w:qFormat/>
    <w:uiPriority w:val="0"/>
    <w:rPr>
      <w:rFonts w:hint="eastAsia" w:ascii="方正仿宋_GBK" w:hAnsi="方正仿宋_GBK" w:eastAsia="方正仿宋_GBK" w:cs="方正仿宋_GBK"/>
      <w:color w:val="000000"/>
      <w:sz w:val="28"/>
      <w:szCs w:val="28"/>
      <w:u w:val="none"/>
    </w:rPr>
  </w:style>
  <w:style w:type="paragraph" w:customStyle="1" w:styleId="16">
    <w:name w:val="默认段落字体 Para Char Char Char Char"/>
    <w:basedOn w:val="1"/>
    <w:qFormat/>
    <w:uiPriority w:val="0"/>
    <w:rPr>
      <w:szCs w:val="20"/>
    </w:rPr>
  </w:style>
  <w:style w:type="paragraph" w:customStyle="1" w:styleId="1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18">
    <w:name w:val="font71"/>
    <w:basedOn w:val="11"/>
    <w:qFormat/>
    <w:uiPriority w:val="0"/>
    <w:rPr>
      <w:rFonts w:ascii="方正黑体_GBK" w:hAnsi="方正黑体_GBK" w:eastAsia="方正黑体_GBK" w:cs="方正黑体_GBK"/>
      <w:color w:val="000000"/>
      <w:sz w:val="28"/>
      <w:szCs w:val="28"/>
      <w:u w:val="none"/>
    </w:rPr>
  </w:style>
  <w:style w:type="character" w:customStyle="1" w:styleId="19">
    <w:name w:val="font81"/>
    <w:basedOn w:val="11"/>
    <w:qFormat/>
    <w:uiPriority w:val="0"/>
    <w:rPr>
      <w:rFonts w:ascii="方正楷体_GBK" w:hAnsi="方正楷体_GBK" w:eastAsia="方正楷体_GBK" w:cs="方正楷体_GBK"/>
      <w:b/>
      <w:bCs/>
      <w:color w:val="000000"/>
      <w:sz w:val="24"/>
      <w:szCs w:val="24"/>
      <w:u w:val="none"/>
    </w:rPr>
  </w:style>
  <w:style w:type="character" w:customStyle="1" w:styleId="20">
    <w:name w:val="font91"/>
    <w:basedOn w:val="11"/>
    <w:qFormat/>
    <w:uiPriority w:val="0"/>
    <w:rPr>
      <w:rFonts w:ascii="方正仿宋_GBK" w:hAnsi="方正仿宋_GBK" w:eastAsia="方正仿宋_GBK" w:cs="方正仿宋_GBK"/>
      <w:color w:val="000000"/>
      <w:sz w:val="24"/>
      <w:szCs w:val="24"/>
      <w:u w:val="none"/>
    </w:rPr>
  </w:style>
  <w:style w:type="character" w:customStyle="1" w:styleId="21">
    <w:name w:val="font101"/>
    <w:basedOn w:val="11"/>
    <w:qFormat/>
    <w:uiPriority w:val="0"/>
    <w:rPr>
      <w:rFonts w:hint="eastAsia" w:ascii="方正仿宋_GBK" w:hAnsi="方正仿宋_GBK" w:eastAsia="方正仿宋_GBK" w:cs="方正仿宋_GBK"/>
      <w:color w:val="000000"/>
      <w:sz w:val="24"/>
      <w:szCs w:val="24"/>
      <w:u w:val="none"/>
    </w:rPr>
  </w:style>
  <w:style w:type="character" w:customStyle="1" w:styleId="22">
    <w:name w:val="font61"/>
    <w:basedOn w:val="11"/>
    <w:qFormat/>
    <w:uiPriority w:val="0"/>
    <w:rPr>
      <w:rFonts w:hint="default" w:ascii="Times New Roman" w:hAnsi="Times New Roman" w:cs="Times New Roman"/>
      <w:color w:val="000000"/>
      <w:sz w:val="24"/>
      <w:szCs w:val="24"/>
      <w:u w:val="none"/>
    </w:rPr>
  </w:style>
  <w:style w:type="paragraph" w:customStyle="1" w:styleId="23">
    <w:name w:val="默认"/>
    <w:qFormat/>
    <w:uiPriority w:val="0"/>
    <w:rPr>
      <w:rFonts w:ascii="Helvetica" w:hAnsi="Helvetica" w:eastAsia="Helvetica" w:cs="Helvetica"/>
      <w:color w:val="000000"/>
      <w:sz w:val="22"/>
      <w:szCs w:val="22"/>
      <w:lang w:val="en-US" w:eastAsia="zh-CN" w:bidi="ar-SA"/>
    </w:rPr>
  </w:style>
  <w:style w:type="paragraph" w:customStyle="1" w:styleId="24">
    <w:name w:val="_Style 5"/>
    <w:basedOn w:val="1"/>
    <w:qFormat/>
    <w:uiPriority w:val="0"/>
  </w:style>
  <w:style w:type="character" w:customStyle="1" w:styleId="25">
    <w:name w:val="font51"/>
    <w:basedOn w:val="11"/>
    <w:qFormat/>
    <w:uiPriority w:val="0"/>
    <w:rPr>
      <w:rFonts w:ascii="方正黑体_GBK" w:hAnsi="方正黑体_GBK" w:eastAsia="方正黑体_GBK" w:cs="方正黑体_GBK"/>
      <w:color w:val="000000"/>
      <w:sz w:val="28"/>
      <w:szCs w:val="28"/>
      <w:u w:val="none"/>
    </w:rPr>
  </w:style>
  <w:style w:type="character" w:customStyle="1" w:styleId="26">
    <w:name w:val="font12"/>
    <w:basedOn w:val="11"/>
    <w:qFormat/>
    <w:uiPriority w:val="0"/>
    <w:rPr>
      <w:rFonts w:hint="eastAsia" w:ascii="方正黑体_GBK" w:hAnsi="方正黑体_GBK" w:eastAsia="方正黑体_GBK" w:cs="方正黑体_GBK"/>
      <w:color w:val="000000"/>
      <w:sz w:val="28"/>
      <w:szCs w:val="28"/>
      <w:u w:val="none"/>
    </w:rPr>
  </w:style>
  <w:style w:type="character" w:customStyle="1" w:styleId="27">
    <w:name w:val="font111"/>
    <w:basedOn w:val="11"/>
    <w:qFormat/>
    <w:uiPriority w:val="0"/>
    <w:rPr>
      <w:rFonts w:ascii="方正楷体_GBK" w:hAnsi="方正楷体_GBK" w:eastAsia="方正楷体_GBK" w:cs="方正楷体_GBK"/>
      <w:b/>
      <w:bCs/>
      <w:color w:val="000000"/>
      <w:sz w:val="24"/>
      <w:szCs w:val="24"/>
      <w:u w:val="none"/>
    </w:rPr>
  </w:style>
  <w:style w:type="character" w:customStyle="1" w:styleId="28">
    <w:name w:val="font122"/>
    <w:basedOn w:val="11"/>
    <w:qFormat/>
    <w:uiPriority w:val="0"/>
    <w:rPr>
      <w:rFonts w:ascii="方正仿宋_GBK" w:hAnsi="方正仿宋_GBK" w:eastAsia="方正仿宋_GBK" w:cs="方正仿宋_GBK"/>
      <w:color w:val="000000"/>
      <w:sz w:val="24"/>
      <w:szCs w:val="24"/>
      <w:u w:val="none"/>
    </w:rPr>
  </w:style>
  <w:style w:type="character" w:customStyle="1" w:styleId="29">
    <w:name w:val="font131"/>
    <w:basedOn w:val="11"/>
    <w:qFormat/>
    <w:uiPriority w:val="0"/>
    <w:rPr>
      <w:rFonts w:hint="eastAsia" w:ascii="方正仿宋_GBK" w:hAnsi="方正仿宋_GBK" w:eastAsia="方正仿宋_GBK" w:cs="方正仿宋_GBK"/>
      <w:color w:val="000000"/>
      <w:sz w:val="20"/>
      <w:szCs w:val="20"/>
      <w:u w:val="none"/>
    </w:rPr>
  </w:style>
  <w:style w:type="paragraph" w:customStyle="1" w:styleId="3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Manager>周光</Manager>
  <Company>县发展计划委员会</Company>
  <Pages>4</Pages>
  <Words>981</Words>
  <Characters>1092</Characters>
  <Lines>11</Lines>
  <Paragraphs>3</Paragraphs>
  <TotalTime>2</TotalTime>
  <ScaleCrop>false</ScaleCrop>
  <LinksUpToDate>false</LinksUpToDate>
  <CharactersWithSpaces>1232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2025-09-21T16:21:00Z</dcterms:created>
  <dc:creator>PSJW</dc:creator>
  <cp:lastModifiedBy>董丽莉</cp:lastModifiedBy>
  <cp:lastPrinted>2026-05-07T08:30:00Z</cp:lastPrinted>
  <dcterms:modified xsi:type="dcterms:W3CDTF">2026-05-08T02:52:29Z</dcterms:modified>
  <dc:title>彭水计文件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54A06C9E23EF4D1787F6BA4192D68853_13</vt:lpwstr>
  </property>
</Properties>
</file>