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156</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bookmarkStart w:id="1" w:name="_GoBack"/>
      <w:bookmarkEnd w:id="1"/>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68FE25A">
      <w:pPr>
        <w:keepNext w:val="0"/>
        <w:keepLines w:val="0"/>
        <w:pageBreakBefore w:val="0"/>
        <w:widowControl w:val="0"/>
        <w:kinsoku/>
        <w:wordWrap/>
        <w:overflowPunct/>
        <w:topLinePunct w:val="0"/>
        <w:bidi w:val="0"/>
        <w:snapToGrid w:val="0"/>
        <w:spacing w:line="575" w:lineRule="exact"/>
        <w:ind w:firstLine="200"/>
        <w:jc w:val="center"/>
        <w:textAlignment w:val="auto"/>
        <w:rPr>
          <w:rFonts w:eastAsia="方正小标宋_GBK"/>
          <w:sz w:val="44"/>
          <w:szCs w:val="44"/>
        </w:rPr>
      </w:pPr>
      <w:r>
        <w:rPr>
          <w:rFonts w:eastAsia="方正小标宋_GBK"/>
          <w:sz w:val="44"/>
          <w:szCs w:val="44"/>
        </w:rPr>
        <w:t>关于</w:t>
      </w:r>
      <w:r>
        <w:rPr>
          <w:rFonts w:hint="eastAsia" w:eastAsia="方正小标宋_GBK"/>
          <w:sz w:val="44"/>
          <w:szCs w:val="44"/>
          <w:lang w:val="zh-CN"/>
        </w:rPr>
        <w:t>黔江区2026年“四好农村路”建设项目濯水镇蒲花居委鞍子堡岔路口至堰塘村委会道路拓宽工程</w:t>
      </w:r>
      <w:r>
        <w:rPr>
          <w:rFonts w:hint="eastAsia" w:eastAsia="方正小标宋_GBK"/>
          <w:sz w:val="44"/>
          <w:szCs w:val="44"/>
        </w:rPr>
        <w:t>可行性研究报告</w:t>
      </w:r>
      <w:r>
        <w:rPr>
          <w:rFonts w:eastAsia="方正小标宋_GBK"/>
          <w:sz w:val="44"/>
          <w:szCs w:val="44"/>
        </w:rPr>
        <w:t>的批复</w:t>
      </w:r>
    </w:p>
    <w:p w14:paraId="30A15CE2">
      <w:pPr>
        <w:keepNext w:val="0"/>
        <w:keepLines w:val="0"/>
        <w:pageBreakBefore w:val="0"/>
        <w:widowControl w:val="0"/>
        <w:kinsoku/>
        <w:wordWrap/>
        <w:overflowPunct/>
        <w:topLinePunct w:val="0"/>
        <w:bidi w:val="0"/>
        <w:spacing w:line="575" w:lineRule="exact"/>
        <w:textAlignment w:val="auto"/>
        <w:rPr>
          <w:szCs w:val="32"/>
        </w:rPr>
      </w:pPr>
    </w:p>
    <w:p w14:paraId="4229B675">
      <w:pPr>
        <w:keepNext w:val="0"/>
        <w:keepLines w:val="0"/>
        <w:pageBreakBefore w:val="0"/>
        <w:widowControl w:val="0"/>
        <w:kinsoku/>
        <w:wordWrap/>
        <w:overflowPunct/>
        <w:topLinePunct w:val="0"/>
        <w:bidi w:val="0"/>
        <w:spacing w:line="575" w:lineRule="exact"/>
        <w:textAlignment w:val="auto"/>
        <w:rPr>
          <w:rFonts w:eastAsia="方正仿宋_GBK"/>
          <w:sz w:val="32"/>
          <w:szCs w:val="32"/>
        </w:rPr>
      </w:pPr>
      <w:r>
        <w:rPr>
          <w:rFonts w:hint="eastAsia" w:eastAsia="方正仿宋_GBK"/>
          <w:sz w:val="32"/>
          <w:szCs w:val="32"/>
          <w:lang w:eastAsia="zh-CN"/>
        </w:rPr>
        <w:t>黔江区濯水镇人民政府</w:t>
      </w:r>
      <w:r>
        <w:rPr>
          <w:rFonts w:eastAsia="方正仿宋_GBK"/>
          <w:sz w:val="32"/>
          <w:szCs w:val="32"/>
        </w:rPr>
        <w:t>：</w:t>
      </w:r>
    </w:p>
    <w:p w14:paraId="38D66E78">
      <w:pPr>
        <w:pStyle w:val="3"/>
        <w:keepNext w:val="0"/>
        <w:keepLines w:val="0"/>
        <w:pageBreakBefore w:val="0"/>
        <w:widowControl w:val="0"/>
        <w:kinsoku/>
        <w:wordWrap/>
        <w:overflowPunct/>
        <w:topLinePunct w:val="0"/>
        <w:bidi w:val="0"/>
        <w:spacing w:line="575" w:lineRule="exact"/>
        <w:ind w:left="0" w:leftChars="0"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你单位《关于审批</w:t>
      </w:r>
      <w:r>
        <w:rPr>
          <w:rFonts w:hint="eastAsia" w:ascii="方正仿宋_GBK" w:hAnsi="方正仿宋_GBK" w:eastAsia="方正仿宋_GBK" w:cs="方正仿宋_GBK"/>
          <w:szCs w:val="32"/>
          <w:lang w:val="zh-CN" w:eastAsia="zh-CN"/>
        </w:rPr>
        <w:t>黔</w:t>
      </w:r>
      <w:r>
        <w:rPr>
          <w:rFonts w:hint="default" w:ascii="Times New Roman" w:hAnsi="Times New Roman" w:eastAsia="方正仿宋_GBK" w:cs="Times New Roman"/>
          <w:szCs w:val="32"/>
          <w:lang w:val="zh-CN" w:eastAsia="zh-CN"/>
        </w:rPr>
        <w:t>江区2026</w:t>
      </w:r>
      <w:r>
        <w:rPr>
          <w:rFonts w:hint="eastAsia" w:ascii="方正仿宋_GBK" w:hAnsi="方正仿宋_GBK" w:eastAsia="方正仿宋_GBK" w:cs="方正仿宋_GBK"/>
          <w:szCs w:val="32"/>
          <w:lang w:val="zh-CN" w:eastAsia="zh-CN"/>
        </w:rPr>
        <w:t>年“四好农村路”建设项目濯水镇蒲花居委鞍子堡岔路口至堰塘村委会道路拓宽工程</w:t>
      </w:r>
      <w:r>
        <w:rPr>
          <w:rFonts w:hint="eastAsia" w:ascii="方正仿宋_GBK" w:hAnsi="方正仿宋_GBK" w:eastAsia="方正仿宋_GBK" w:cs="方正仿宋_GBK"/>
          <w:szCs w:val="32"/>
          <w:lang w:eastAsia="zh-CN"/>
        </w:rPr>
        <w:t>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濯水府函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79</w:t>
      </w:r>
      <w:r>
        <w:rPr>
          <w:rFonts w:hint="eastAsia" w:ascii="方正仿宋_GBK" w:hAnsi="方正仿宋_GBK" w:eastAsia="方正仿宋_GBK" w:cs="方正仿宋_GBK"/>
          <w:szCs w:val="32"/>
        </w:rPr>
        <w:t>号）收悉。结合黔江区政府投资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w:t>
      </w:r>
      <w:r>
        <w:rPr>
          <w:rFonts w:hint="default" w:ascii="Times New Roman" w:hAnsi="Times New Roman" w:eastAsia="方正仿宋_GBK" w:cs="Times New Roman"/>
          <w:szCs w:val="32"/>
          <w:lang w:val="zh-CN" w:eastAsia="zh-CN"/>
        </w:rPr>
        <w:t>江区2026</w:t>
      </w:r>
      <w:r>
        <w:rPr>
          <w:rFonts w:hint="eastAsia" w:ascii="方正仿宋_GBK" w:hAnsi="方正仿宋_GBK" w:eastAsia="方正仿宋_GBK" w:cs="方正仿宋_GBK"/>
          <w:szCs w:val="32"/>
          <w:lang w:val="zh-CN" w:eastAsia="zh-CN"/>
        </w:rPr>
        <w:t>年“四好农村路”建设项目濯水镇蒲花居委鞍子堡岔路口至堰塘村委会道路拓宽工程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241333</w:t>
      </w:r>
      <w:r>
        <w:rPr>
          <w:rFonts w:hint="eastAsia" w:ascii="方正仿宋_GBK" w:hAnsi="方正仿宋_GBK" w:eastAsia="方正仿宋_GBK" w:cs="方正仿宋_GBK"/>
          <w:szCs w:val="32"/>
        </w:rPr>
        <w:t>）。现将项目可行性研究报告批复如下：</w:t>
      </w:r>
    </w:p>
    <w:p w14:paraId="7C88EAD8">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：黔江区濯水镇人民政府</w:t>
      </w:r>
    </w:p>
    <w:p w14:paraId="0256CA6A">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濯水镇</w:t>
      </w:r>
    </w:p>
    <w:p w14:paraId="7C9F6C66">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zh-CN" w:eastAsia="zh-CN" w:bidi="ar-SA"/>
        </w:rPr>
        <w:t>项目路线全</w:t>
      </w:r>
      <w:r>
        <w:rPr>
          <w:rFonts w:hint="default" w:ascii="Times New Roman" w:hAnsi="Times New Roman" w:eastAsia="方正仿宋_GBK" w:cs="Times New Roman"/>
          <w:kern w:val="2"/>
          <w:sz w:val="32"/>
          <w:szCs w:val="32"/>
          <w:lang w:val="zh-CN" w:eastAsia="zh-CN" w:bidi="ar-SA"/>
        </w:rPr>
        <w:t>长9.141公里，起于野竹路，止于堰塘路。根据现场地质情况及调查时土地协调情况进行拓宽改造，增设错车道，并对加宽路段铺设20厘米厚C25水</w:t>
      </w:r>
      <w:r>
        <w:rPr>
          <w:rFonts w:hint="eastAsia" w:ascii="方正仿宋_GBK" w:hAnsi="方正仿宋_GBK" w:eastAsia="方正仿宋_GBK" w:cs="方正仿宋_GBK"/>
          <w:kern w:val="2"/>
          <w:sz w:val="32"/>
          <w:szCs w:val="32"/>
          <w:lang w:val="zh-CN" w:eastAsia="zh-CN" w:bidi="ar-SA"/>
        </w:rPr>
        <w:t>泥混凝土路面。</w:t>
      </w:r>
    </w:p>
    <w:p w14:paraId="1061EDA1">
      <w:pPr>
        <w:keepNext w:val="0"/>
        <w:keepLines w:val="0"/>
        <w:pageBreakBefore w:val="0"/>
        <w:widowControl w:val="0"/>
        <w:kinsoku/>
        <w:wordWrap/>
        <w:overflowPunct/>
        <w:topLinePunct w:val="0"/>
        <w:bidi w:val="0"/>
        <w:spacing w:line="575" w:lineRule="exact"/>
        <w:ind w:firstLine="640" w:firstLineChars="200"/>
        <w:textAlignment w:val="auto"/>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8</w:t>
      </w:r>
      <w:r>
        <w:rPr>
          <w:rFonts w:eastAsia="方正仿宋_GBK"/>
          <w:sz w:val="32"/>
          <w:szCs w:val="32"/>
        </w:rPr>
        <w:t>个月。</w:t>
      </w:r>
    </w:p>
    <w:p w14:paraId="43075F44">
      <w:pPr>
        <w:keepNext w:val="0"/>
        <w:keepLines w:val="0"/>
        <w:pageBreakBefore w:val="0"/>
        <w:widowControl w:val="0"/>
        <w:kinsoku/>
        <w:wordWrap/>
        <w:overflowPunct/>
        <w:topLinePunct w:val="0"/>
        <w:autoSpaceDE w:val="0"/>
        <w:autoSpaceDN w:val="0"/>
        <w:bidi w:val="0"/>
        <w:adjustRightInd w:val="0"/>
        <w:spacing w:line="575" w:lineRule="exact"/>
        <w:ind w:firstLine="675" w:firstLineChars="211"/>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项目估算总</w:t>
      </w:r>
      <w:r>
        <w:rPr>
          <w:rFonts w:hint="default" w:ascii="Times New Roman" w:hAnsi="Times New Roman" w:eastAsia="方正仿宋_GBK" w:cs="Times New Roman"/>
          <w:kern w:val="2"/>
          <w:sz w:val="32"/>
          <w:szCs w:val="32"/>
          <w:lang w:val="en-US" w:eastAsia="zh-CN" w:bidi="ar-SA"/>
        </w:rPr>
        <w:t>投资173.04万元，其中：</w:t>
      </w:r>
      <w:bookmarkStart w:id="0" w:name="_Hlk133242824"/>
      <w:r>
        <w:rPr>
          <w:rFonts w:hint="default" w:ascii="Times New Roman" w:hAnsi="Times New Roman" w:eastAsia="方正仿宋_GBK" w:cs="Times New Roman"/>
          <w:kern w:val="2"/>
          <w:sz w:val="32"/>
          <w:szCs w:val="32"/>
          <w:lang w:val="en-US" w:eastAsia="zh-CN" w:bidi="ar-SA"/>
        </w:rPr>
        <w:t>工程费用158.82万元，</w:t>
      </w:r>
      <w:bookmarkEnd w:id="0"/>
      <w:r>
        <w:rPr>
          <w:rFonts w:hint="default" w:ascii="Times New Roman" w:hAnsi="Times New Roman" w:eastAsia="方正仿宋_GBK" w:cs="Times New Roman"/>
          <w:kern w:val="2"/>
          <w:sz w:val="32"/>
          <w:szCs w:val="32"/>
          <w:lang w:val="en-US" w:eastAsia="zh-CN" w:bidi="ar-SA"/>
        </w:rPr>
        <w:t>工程建设其他费9.18万元，基本预备费5.04万元。资金来源为中央</w:t>
      </w:r>
      <w:r>
        <w:rPr>
          <w:rFonts w:hint="eastAsia" w:ascii="方正仿宋_GBK" w:hAnsi="方正仿宋_GBK" w:eastAsia="方正仿宋_GBK" w:cs="方正仿宋_GBK"/>
          <w:kern w:val="2"/>
          <w:sz w:val="32"/>
          <w:szCs w:val="32"/>
          <w:lang w:val="en-US" w:eastAsia="zh-CN" w:bidi="ar-SA"/>
        </w:rPr>
        <w:t>专项补助资金，不足部分由业主自筹。</w:t>
      </w:r>
    </w:p>
    <w:p w14:paraId="6A43D8C7">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6BFD62DA">
      <w:pPr>
        <w:pStyle w:val="5"/>
        <w:keepNext w:val="0"/>
        <w:keepLines w:val="0"/>
        <w:pageBreakBefore w:val="0"/>
        <w:widowControl w:val="0"/>
        <w:kinsoku/>
        <w:wordWrap/>
        <w:overflowPunct/>
        <w:topLinePunct w:val="0"/>
        <w:bidi w:val="0"/>
        <w:spacing w:line="575"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七、有关事项：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3D7905D7">
      <w:pPr>
        <w:pStyle w:val="5"/>
        <w:keepNext w:val="0"/>
        <w:keepLines w:val="0"/>
        <w:pageBreakBefore w:val="0"/>
        <w:widowControl w:val="0"/>
        <w:kinsoku/>
        <w:wordWrap/>
        <w:overflowPunct/>
        <w:topLinePunct w:val="0"/>
        <w:bidi w:val="0"/>
        <w:spacing w:line="575" w:lineRule="exact"/>
        <w:textAlignment w:val="auto"/>
        <w:rPr>
          <w:rFonts w:hint="eastAsia" w:ascii="Times New Roman" w:hAnsi="Times New Roman" w:eastAsia="方正仿宋_GBK"/>
          <w:sz w:val="32"/>
          <w:szCs w:val="32"/>
        </w:rPr>
      </w:pPr>
    </w:p>
    <w:p w14:paraId="77791EF8">
      <w:pPr>
        <w:pStyle w:val="5"/>
        <w:keepNext w:val="0"/>
        <w:keepLines w:val="0"/>
        <w:pageBreakBefore w:val="0"/>
        <w:widowControl w:val="0"/>
        <w:kinsoku/>
        <w:wordWrap/>
        <w:overflowPunct/>
        <w:topLinePunct w:val="0"/>
        <w:bidi w:val="0"/>
        <w:spacing w:line="575" w:lineRule="exact"/>
        <w:ind w:left="1598" w:leftChars="304" w:hanging="960" w:hangingChars="3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黔江区2026年“四好农村路”建设项目濯水镇蒲花居委鞍子堡岔路口至堰塘村委会道路拓宽工程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03B06E88">
      <w:pPr>
        <w:pStyle w:val="30"/>
      </w:pPr>
    </w:p>
    <w:p w14:paraId="63800020">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50ED347D">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13</w:t>
      </w:r>
      <w:r>
        <w:rPr>
          <w:rFonts w:eastAsia="方正仿宋_GBK"/>
        </w:rPr>
        <w:t>日</w:t>
      </w:r>
    </w:p>
    <w:p w14:paraId="713F322A">
      <w:pPr>
        <w:pStyle w:val="5"/>
        <w:spacing w:line="500" w:lineRule="exact"/>
        <w:rPr>
          <w:rFonts w:ascii="Times New Roman" w:hAnsi="Times New Roman" w:eastAsia="方正仿宋_GBK"/>
          <w:sz w:val="28"/>
          <w:szCs w:val="28"/>
        </w:rPr>
      </w:pPr>
    </w:p>
    <w:p w14:paraId="1E6DA04B">
      <w:pPr>
        <w:pStyle w:val="5"/>
        <w:spacing w:line="500" w:lineRule="exact"/>
        <w:rPr>
          <w:rFonts w:ascii="Times New Roman" w:hAnsi="Times New Roman" w:eastAsia="方正仿宋_GBK"/>
          <w:sz w:val="28"/>
          <w:szCs w:val="28"/>
        </w:rPr>
      </w:pPr>
    </w:p>
    <w:p w14:paraId="2C972890">
      <w:pPr>
        <w:pStyle w:val="5"/>
        <w:spacing w:line="500" w:lineRule="exact"/>
        <w:rPr>
          <w:rFonts w:ascii="Times New Roman" w:hAnsi="Times New Roman" w:eastAsia="方正仿宋_GBK"/>
          <w:sz w:val="28"/>
          <w:szCs w:val="28"/>
        </w:rPr>
      </w:pPr>
    </w:p>
    <w:p w14:paraId="4D920DB3">
      <w:pPr>
        <w:pStyle w:val="5"/>
        <w:spacing w:line="500" w:lineRule="exact"/>
        <w:rPr>
          <w:rFonts w:ascii="Times New Roman" w:hAnsi="Times New Roman" w:eastAsia="方正仿宋_GBK"/>
          <w:sz w:val="28"/>
          <w:szCs w:val="28"/>
        </w:rPr>
      </w:pPr>
    </w:p>
    <w:p w14:paraId="17E36E3E">
      <w:pPr>
        <w:pStyle w:val="5"/>
        <w:spacing w:line="500" w:lineRule="exact"/>
        <w:rPr>
          <w:rFonts w:ascii="Times New Roman" w:hAnsi="Times New Roman" w:eastAsia="方正仿宋_GBK"/>
          <w:sz w:val="28"/>
          <w:szCs w:val="28"/>
        </w:rPr>
      </w:pPr>
    </w:p>
    <w:p w14:paraId="66DAB709">
      <w:pPr>
        <w:pStyle w:val="5"/>
        <w:spacing w:line="500" w:lineRule="exact"/>
        <w:rPr>
          <w:rFonts w:ascii="Times New Roman" w:hAnsi="Times New Roman" w:eastAsia="方正仿宋_GBK"/>
          <w:sz w:val="28"/>
          <w:szCs w:val="28"/>
        </w:rPr>
      </w:pPr>
    </w:p>
    <w:p w14:paraId="1A1D7FD3">
      <w:pPr>
        <w:pStyle w:val="5"/>
        <w:spacing w:line="500" w:lineRule="exact"/>
        <w:rPr>
          <w:rFonts w:ascii="Times New Roman" w:hAnsi="Times New Roman" w:eastAsia="方正仿宋_GBK"/>
          <w:sz w:val="28"/>
          <w:szCs w:val="28"/>
        </w:rPr>
      </w:pPr>
    </w:p>
    <w:p w14:paraId="7E7AD85B">
      <w:pPr>
        <w:pStyle w:val="5"/>
        <w:spacing w:line="500" w:lineRule="exact"/>
        <w:rPr>
          <w:rFonts w:ascii="Times New Roman" w:hAnsi="Times New Roman" w:eastAsia="方正仿宋_GBK"/>
          <w:sz w:val="28"/>
          <w:szCs w:val="28"/>
        </w:rPr>
      </w:pPr>
    </w:p>
    <w:p w14:paraId="0FDFB896">
      <w:pPr>
        <w:pStyle w:val="5"/>
        <w:spacing w:line="500" w:lineRule="exact"/>
        <w:rPr>
          <w:rFonts w:ascii="Times New Roman" w:hAnsi="Times New Roman" w:eastAsia="方正仿宋_GBK"/>
          <w:sz w:val="28"/>
          <w:szCs w:val="28"/>
        </w:rPr>
      </w:pPr>
    </w:p>
    <w:p w14:paraId="3CFF3E6C">
      <w:pPr>
        <w:pStyle w:val="5"/>
        <w:spacing w:line="500" w:lineRule="exact"/>
        <w:rPr>
          <w:rFonts w:ascii="Times New Roman" w:hAnsi="Times New Roman" w:eastAsia="方正仿宋_GBK"/>
          <w:sz w:val="28"/>
          <w:szCs w:val="28"/>
        </w:rPr>
      </w:pPr>
    </w:p>
    <w:p w14:paraId="02146A08">
      <w:pPr>
        <w:pStyle w:val="5"/>
        <w:spacing w:line="500" w:lineRule="exact"/>
        <w:rPr>
          <w:rFonts w:ascii="Times New Roman" w:hAnsi="Times New Roman" w:eastAsia="方正仿宋_GBK"/>
          <w:sz w:val="28"/>
          <w:szCs w:val="28"/>
        </w:rPr>
      </w:pPr>
    </w:p>
    <w:p w14:paraId="266940EF">
      <w:pPr>
        <w:pStyle w:val="5"/>
        <w:spacing w:line="500" w:lineRule="exact"/>
        <w:rPr>
          <w:rFonts w:ascii="Times New Roman" w:hAnsi="Times New Roman" w:eastAsia="方正仿宋_GBK"/>
          <w:sz w:val="28"/>
          <w:szCs w:val="28"/>
        </w:rPr>
      </w:pPr>
    </w:p>
    <w:p w14:paraId="6FF6D068">
      <w:pPr>
        <w:pStyle w:val="5"/>
        <w:spacing w:line="500" w:lineRule="exact"/>
        <w:rPr>
          <w:rFonts w:ascii="Times New Roman" w:hAnsi="Times New Roman" w:eastAsia="方正仿宋_GBK"/>
          <w:sz w:val="28"/>
          <w:szCs w:val="28"/>
        </w:rPr>
      </w:pPr>
    </w:p>
    <w:p w14:paraId="3DB914EC">
      <w:pPr>
        <w:pStyle w:val="5"/>
        <w:spacing w:line="500" w:lineRule="exact"/>
        <w:rPr>
          <w:rFonts w:ascii="Times New Roman" w:hAnsi="Times New Roman" w:eastAsia="方正仿宋_GBK"/>
          <w:sz w:val="28"/>
          <w:szCs w:val="28"/>
        </w:rPr>
      </w:pPr>
    </w:p>
    <w:p w14:paraId="5F864F70">
      <w:pPr>
        <w:pStyle w:val="5"/>
        <w:spacing w:line="500" w:lineRule="exact"/>
        <w:rPr>
          <w:rFonts w:ascii="Times New Roman" w:hAnsi="Times New Roman" w:eastAsia="方正仿宋_GBK"/>
          <w:sz w:val="28"/>
          <w:szCs w:val="28"/>
        </w:rPr>
      </w:pPr>
    </w:p>
    <w:p w14:paraId="2C44437E">
      <w:pPr>
        <w:pStyle w:val="5"/>
        <w:spacing w:line="500" w:lineRule="exact"/>
        <w:rPr>
          <w:rFonts w:ascii="Times New Roman" w:hAnsi="Times New Roman" w:eastAsia="方正仿宋_GBK"/>
          <w:sz w:val="28"/>
          <w:szCs w:val="28"/>
        </w:rPr>
      </w:pPr>
    </w:p>
    <w:p w14:paraId="148ED58B">
      <w:pPr>
        <w:pStyle w:val="5"/>
        <w:spacing w:line="500" w:lineRule="exact"/>
        <w:rPr>
          <w:rFonts w:ascii="Times New Roman" w:hAnsi="Times New Roman" w:eastAsia="方正仿宋_GBK"/>
          <w:sz w:val="28"/>
          <w:szCs w:val="28"/>
        </w:rPr>
      </w:pPr>
    </w:p>
    <w:p w14:paraId="2A6701F5">
      <w:pPr>
        <w:pStyle w:val="5"/>
        <w:spacing w:line="500" w:lineRule="exact"/>
        <w:rPr>
          <w:rFonts w:ascii="Times New Roman" w:hAnsi="Times New Roman" w:eastAsia="方正仿宋_GBK"/>
          <w:sz w:val="28"/>
          <w:szCs w:val="28"/>
        </w:rPr>
      </w:pPr>
    </w:p>
    <w:p w14:paraId="3966002D">
      <w:pPr>
        <w:pStyle w:val="5"/>
        <w:spacing w:line="500" w:lineRule="exact"/>
        <w:rPr>
          <w:rFonts w:hint="eastAsia" w:ascii="Times New Roman" w:hAnsi="Times New Roman" w:eastAsia="方正仿宋_GBK"/>
          <w:sz w:val="28"/>
          <w:szCs w:val="28"/>
        </w:rPr>
      </w:pPr>
    </w:p>
    <w:p w14:paraId="1FD5958B">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2280EB67">
      <w:pPr>
        <w:pStyle w:val="5"/>
        <w:jc w:val="left"/>
        <w:rPr>
          <w:rFonts w:hint="eastAsia" w:ascii="方正小标宋_GBK" w:hAnsi="方正小标宋_GBK" w:eastAsia="方正小标宋_GBK" w:cs="方正小标宋_GBK"/>
          <w:sz w:val="32"/>
          <w:szCs w:val="32"/>
        </w:rPr>
      </w:pPr>
    </w:p>
    <w:p w14:paraId="5231E6A4">
      <w:pPr>
        <w:pStyle w:val="5"/>
        <w:jc w:val="center"/>
        <w:rPr>
          <w:rFonts w:hint="eastAsia" w:ascii="方正小标宋_GBK" w:hAnsi="方正小标宋_GBK" w:eastAsia="方正小标宋_GBK" w:cs="方正小标宋_GBK"/>
          <w:sz w:val="32"/>
          <w:szCs w:val="32"/>
          <w:lang w:val="zh-CN" w:eastAsia="zh-CN"/>
        </w:rPr>
      </w:pPr>
      <w:r>
        <w:rPr>
          <w:rFonts w:hint="eastAsia" w:ascii="方正小标宋_GBK" w:hAnsi="方正小标宋_GBK" w:eastAsia="方正小标宋_GBK" w:cs="方正小标宋_GBK"/>
          <w:sz w:val="32"/>
          <w:szCs w:val="32"/>
          <w:lang w:val="zh-CN" w:eastAsia="zh-CN"/>
        </w:rPr>
        <w:t>黔江区2026年“四好农村路”建设项目濯水镇蒲花居委</w:t>
      </w:r>
    </w:p>
    <w:p w14:paraId="26B9A4AF">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鞍子堡岔路口至堰塘村委会道路拓宽工程</w:t>
      </w:r>
      <w:r>
        <w:rPr>
          <w:rFonts w:hint="eastAsia" w:ascii="方正小标宋_GBK" w:hAnsi="方正小标宋_GBK" w:eastAsia="方正小标宋_GBK" w:cs="方正小标宋_GBK"/>
          <w:sz w:val="32"/>
          <w:szCs w:val="32"/>
        </w:rPr>
        <w:t>投资估算表</w:t>
      </w:r>
    </w:p>
    <w:p w14:paraId="130BE58F">
      <w:pPr>
        <w:pStyle w:val="5"/>
        <w:jc w:val="center"/>
        <w:rPr>
          <w:rFonts w:hint="eastAsia" w:ascii="方正黑体_GBK" w:hAnsi="方正黑体_GBK" w:eastAsia="方正黑体_GBK" w:cs="方正黑体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00"/>
        <w:gridCol w:w="5865"/>
        <w:gridCol w:w="1935"/>
      </w:tblGrid>
      <w:tr w14:paraId="235C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1" w:hRule="atLeas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90A5198">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865" w:type="dxa"/>
            <w:tcBorders>
              <w:top w:val="single" w:color="000000" w:sz="4" w:space="0"/>
              <w:left w:val="single" w:color="000000" w:sz="4" w:space="0"/>
              <w:bottom w:val="single" w:color="000000" w:sz="4" w:space="0"/>
              <w:right w:val="single" w:color="000000" w:sz="4" w:space="0"/>
            </w:tcBorders>
            <w:noWrap w:val="0"/>
            <w:vAlign w:val="center"/>
          </w:tcPr>
          <w:p w14:paraId="2EF6F7AA">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2DBEB016">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7B91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63781B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865" w:type="dxa"/>
            <w:tcBorders>
              <w:top w:val="single" w:color="000000" w:sz="4" w:space="0"/>
              <w:left w:val="single" w:color="000000" w:sz="4" w:space="0"/>
              <w:bottom w:val="single" w:color="000000" w:sz="4" w:space="0"/>
              <w:right w:val="single" w:color="000000" w:sz="4" w:space="0"/>
            </w:tcBorders>
            <w:noWrap w:val="0"/>
            <w:vAlign w:val="center"/>
          </w:tcPr>
          <w:p w14:paraId="37D0E1B4">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06F242E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158.82 </w:t>
            </w:r>
          </w:p>
        </w:tc>
      </w:tr>
      <w:tr w14:paraId="4AE6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49C5A">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91A009">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黔江区2026年“四好农村路”建设项目濯水镇蒲花居委鞍子堡岔路口至堰塘村委会道路拓宽工程</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4E0DD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158.82 </w:t>
            </w:r>
          </w:p>
        </w:tc>
      </w:tr>
      <w:tr w14:paraId="6CEB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44121E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865" w:type="dxa"/>
            <w:tcBorders>
              <w:top w:val="single" w:color="000000" w:sz="4" w:space="0"/>
              <w:left w:val="single" w:color="000000" w:sz="4" w:space="0"/>
              <w:bottom w:val="single" w:color="000000" w:sz="4" w:space="0"/>
              <w:right w:val="single" w:color="000000" w:sz="4" w:space="0"/>
            </w:tcBorders>
            <w:noWrap w:val="0"/>
            <w:vAlign w:val="center"/>
          </w:tcPr>
          <w:p w14:paraId="4D31825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378F272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9.18 </w:t>
            </w:r>
          </w:p>
        </w:tc>
      </w:tr>
      <w:tr w14:paraId="5415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3CA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5A103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98C0B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3.66 </w:t>
            </w:r>
          </w:p>
        </w:tc>
      </w:tr>
      <w:tr w14:paraId="0744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2594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628F22">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1B56C5">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4.76 </w:t>
            </w:r>
          </w:p>
        </w:tc>
      </w:tr>
      <w:tr w14:paraId="45A5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A5574">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803AAB">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59123B">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0.12 </w:t>
            </w:r>
          </w:p>
        </w:tc>
      </w:tr>
      <w:tr w14:paraId="19DA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7BAFA">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4953F3">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B6639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0.64 </w:t>
            </w:r>
          </w:p>
        </w:tc>
      </w:tr>
      <w:tr w14:paraId="670A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C771CC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865" w:type="dxa"/>
            <w:tcBorders>
              <w:top w:val="single" w:color="000000" w:sz="4" w:space="0"/>
              <w:left w:val="single" w:color="000000" w:sz="4" w:space="0"/>
              <w:bottom w:val="single" w:color="000000" w:sz="4" w:space="0"/>
              <w:right w:val="single" w:color="000000" w:sz="4" w:space="0"/>
            </w:tcBorders>
            <w:noWrap w:val="0"/>
            <w:vAlign w:val="center"/>
          </w:tcPr>
          <w:p w14:paraId="5502BD2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7DEA42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5.04 </w:t>
            </w:r>
          </w:p>
        </w:tc>
      </w:tr>
      <w:tr w14:paraId="0F32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50228A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865" w:type="dxa"/>
            <w:tcBorders>
              <w:top w:val="single" w:color="000000" w:sz="4" w:space="0"/>
              <w:left w:val="single" w:color="000000" w:sz="4" w:space="0"/>
              <w:bottom w:val="single" w:color="000000" w:sz="4" w:space="0"/>
              <w:right w:val="single" w:color="000000" w:sz="4" w:space="0"/>
            </w:tcBorders>
            <w:noWrap w:val="0"/>
            <w:vAlign w:val="center"/>
          </w:tcPr>
          <w:p w14:paraId="22D3CC8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8612793">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173.04</w:t>
            </w:r>
          </w:p>
        </w:tc>
      </w:tr>
    </w:tbl>
    <w:p w14:paraId="7C63828F">
      <w:pPr>
        <w:pStyle w:val="5"/>
        <w:rPr>
          <w:rFonts w:hint="eastAsia" w:ascii="方正黑体_GBK" w:hAnsi="方正黑体_GBK" w:eastAsia="方正黑体_GBK" w:cs="方正黑体_GBK"/>
          <w:sz w:val="32"/>
          <w:szCs w:val="32"/>
        </w:rPr>
      </w:pPr>
    </w:p>
    <w:p w14:paraId="3A1F739F"/>
    <w:p w14:paraId="10F243EC">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pPr>
    </w:p>
    <w:p w14:paraId="5264E216">
      <w:pPr>
        <w:pStyle w:val="2"/>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13</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408D39BF-FCFB-4963-99F5-C9D5DAB25042}"/>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E0DEE0B6-1F94-4977-8AD7-2F34A933B301}"/>
  </w:font>
  <w:font w:name="方正楷体_GBK">
    <w:panose1 w:val="03000509000000000000"/>
    <w:charset w:val="86"/>
    <w:family w:val="auto"/>
    <w:pitch w:val="default"/>
    <w:sig w:usb0="00000001" w:usb1="080E0000" w:usb2="00000000" w:usb3="00000000" w:csb0="00040000" w:csb1="00000000"/>
    <w:embedRegular r:id="rId3" w:fontKey="{08277F57-677E-4B01-AC16-D7837B42C933}"/>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0003DD47-724C-4B8F-8B31-5EE5109C95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BB474E"/>
    <w:rsid w:val="09FA769E"/>
    <w:rsid w:val="0B7A378A"/>
    <w:rsid w:val="0C443D5D"/>
    <w:rsid w:val="0C4A4FFD"/>
    <w:rsid w:val="0CFC0645"/>
    <w:rsid w:val="0D37421D"/>
    <w:rsid w:val="0E090617"/>
    <w:rsid w:val="119A3908"/>
    <w:rsid w:val="130467CA"/>
    <w:rsid w:val="13CE1647"/>
    <w:rsid w:val="140137CB"/>
    <w:rsid w:val="14CA633F"/>
    <w:rsid w:val="15636F5B"/>
    <w:rsid w:val="15A9411A"/>
    <w:rsid w:val="175C5702"/>
    <w:rsid w:val="181B2628"/>
    <w:rsid w:val="193E59D1"/>
    <w:rsid w:val="1A261065"/>
    <w:rsid w:val="1F013809"/>
    <w:rsid w:val="1F950368"/>
    <w:rsid w:val="1FF64E71"/>
    <w:rsid w:val="208F215E"/>
    <w:rsid w:val="240E783E"/>
    <w:rsid w:val="250D18ED"/>
    <w:rsid w:val="25195CAD"/>
    <w:rsid w:val="254A0970"/>
    <w:rsid w:val="27F93F48"/>
    <w:rsid w:val="28D139F4"/>
    <w:rsid w:val="2AD46A97"/>
    <w:rsid w:val="2F7B047E"/>
    <w:rsid w:val="31A87524"/>
    <w:rsid w:val="34225E58"/>
    <w:rsid w:val="37A75B88"/>
    <w:rsid w:val="39705D78"/>
    <w:rsid w:val="397671E0"/>
    <w:rsid w:val="3E011B99"/>
    <w:rsid w:val="3EF47EDA"/>
    <w:rsid w:val="3F27452A"/>
    <w:rsid w:val="40A351EE"/>
    <w:rsid w:val="47DB5B06"/>
    <w:rsid w:val="487D33E1"/>
    <w:rsid w:val="4EC477AE"/>
    <w:rsid w:val="4F735634"/>
    <w:rsid w:val="4FFB4CF6"/>
    <w:rsid w:val="5130612A"/>
    <w:rsid w:val="534E1E00"/>
    <w:rsid w:val="53DA4EC3"/>
    <w:rsid w:val="555A2A20"/>
    <w:rsid w:val="5726180C"/>
    <w:rsid w:val="57A8352A"/>
    <w:rsid w:val="5A6A3D0A"/>
    <w:rsid w:val="5F75634D"/>
    <w:rsid w:val="5FCF3911"/>
    <w:rsid w:val="5FFE1A79"/>
    <w:rsid w:val="616F605C"/>
    <w:rsid w:val="653B0AE4"/>
    <w:rsid w:val="66560D21"/>
    <w:rsid w:val="678D70A8"/>
    <w:rsid w:val="685D3010"/>
    <w:rsid w:val="69A54713"/>
    <w:rsid w:val="6A1D3904"/>
    <w:rsid w:val="6A6C1DE8"/>
    <w:rsid w:val="6AF30A16"/>
    <w:rsid w:val="6BAE6A0F"/>
    <w:rsid w:val="6C68355C"/>
    <w:rsid w:val="6CE440E0"/>
    <w:rsid w:val="6DAE50AD"/>
    <w:rsid w:val="6EF61234"/>
    <w:rsid w:val="6F321C00"/>
    <w:rsid w:val="71643776"/>
    <w:rsid w:val="71D92335"/>
    <w:rsid w:val="72141C90"/>
    <w:rsid w:val="732C4748"/>
    <w:rsid w:val="74BA4923"/>
    <w:rsid w:val="764E6BC5"/>
    <w:rsid w:val="77E85551"/>
    <w:rsid w:val="78624336"/>
    <w:rsid w:val="798F3B70"/>
    <w:rsid w:val="7AED1855"/>
    <w:rsid w:val="7B7D0D24"/>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965</Words>
  <Characters>1087</Characters>
  <Lines>11</Lines>
  <Paragraphs>3</Paragraphs>
  <TotalTime>6</TotalTime>
  <ScaleCrop>false</ScaleCrop>
  <LinksUpToDate>false</LinksUpToDate>
  <CharactersWithSpaces>1227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2026-05-08T08:11:00Z</cp:lastPrinted>
  <dcterms:modified xsi:type="dcterms:W3CDTF">2026-05-13T02:19:32Z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