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162</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119808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关于黔江区小南海水库清淤项目可行性</w:t>
      </w:r>
    </w:p>
    <w:p w14:paraId="18A892B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_GBK" w:cs="Times New Roman"/>
          <w:sz w:val="32"/>
        </w:rPr>
      </w:pPr>
      <w:r>
        <w:rPr>
          <w:rFonts w:hint="eastAsia" w:ascii="方正小标宋_GBK" w:hAnsi="方正小标宋_GBK" w:eastAsia="方正小标宋_GBK" w:cs="方正小标宋_GBK"/>
          <w:b w:val="0"/>
          <w:bCs w:val="0"/>
          <w:sz w:val="44"/>
          <w:szCs w:val="44"/>
        </w:rPr>
        <w:t>研究报告的批复</w:t>
      </w:r>
    </w:p>
    <w:p w14:paraId="2E46DAFD">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1F9DF427">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0603EB0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转报</w:t>
      </w:r>
      <w:r>
        <w:rPr>
          <w:rFonts w:hint="default" w:ascii="Times New Roman" w:hAnsi="Times New Roman" w:eastAsia="方正仿宋_GBK" w:cs="Times New Roman"/>
          <w:sz w:val="32"/>
          <w:szCs w:val="32"/>
        </w:rPr>
        <w:t>黔江区小南海水库清淤项目可行性研究报告</w:t>
      </w:r>
      <w:r>
        <w:rPr>
          <w:rFonts w:hint="default" w:ascii="Times New Roman" w:hAnsi="Times New Roman" w:eastAsia="方正仿宋_GBK" w:cs="Times New Roman"/>
          <w:sz w:val="32"/>
          <w:szCs w:val="32"/>
          <w:lang w:eastAsia="zh-CN"/>
        </w:rPr>
        <w:t>审批</w:t>
      </w:r>
      <w:r>
        <w:rPr>
          <w:rFonts w:hint="default" w:ascii="Times New Roman" w:hAnsi="Times New Roman" w:eastAsia="方正仿宋_GBK" w:cs="Times New Roman"/>
          <w:sz w:val="32"/>
          <w:szCs w:val="32"/>
        </w:rPr>
        <w:t>请示</w:t>
      </w:r>
      <w:r>
        <w:rPr>
          <w:rFonts w:hint="default" w:ascii="Times New Roman" w:hAnsi="Times New Roman" w:eastAsia="方正仿宋_GBK" w:cs="Times New Roman"/>
          <w:sz w:val="32"/>
          <w:szCs w:val="32"/>
          <w:lang w:eastAsia="zh-CN"/>
        </w:rPr>
        <w:t>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投资项目前期工作服务中心组织重庆同丰工程管理咨询有限公司</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并出具评审报告。经研究，</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29D2921F">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小南海</w:t>
      </w:r>
      <w:r>
        <w:rPr>
          <w:rFonts w:hint="default" w:ascii="Times New Roman" w:hAnsi="Times New Roman" w:eastAsia="方正仿宋_GBK" w:cs="Times New Roman"/>
          <w:b w:val="0"/>
          <w:bCs w:val="0"/>
          <w:sz w:val="32"/>
          <w:szCs w:val="32"/>
        </w:rPr>
        <w:t>水库库区</w:t>
      </w:r>
      <w:r>
        <w:rPr>
          <w:rFonts w:hint="default" w:ascii="Times New Roman" w:hAnsi="Times New Roman" w:eastAsia="方正仿宋_GBK" w:cs="Times New Roman"/>
          <w:b w:val="0"/>
          <w:bCs w:val="0"/>
          <w:sz w:val="32"/>
          <w:szCs w:val="32"/>
          <w:lang w:eastAsia="zh-CN"/>
        </w:rPr>
        <w:t>蓄水和供水保障能力</w:t>
      </w:r>
      <w:r>
        <w:rPr>
          <w:rFonts w:hint="default" w:ascii="Times New Roman" w:hAnsi="Times New Roman" w:eastAsia="方正仿宋_GBK" w:cs="Times New Roman"/>
          <w:b w:val="0"/>
          <w:bCs w:val="0"/>
          <w:sz w:val="32"/>
          <w:szCs w:val="32"/>
        </w:rPr>
        <w:t>，改善</w:t>
      </w:r>
      <w:r>
        <w:rPr>
          <w:rFonts w:hint="default" w:ascii="Times New Roman" w:hAnsi="Times New Roman" w:eastAsia="方正仿宋_GBK" w:cs="Times New Roman"/>
          <w:b w:val="0"/>
          <w:bCs w:val="0"/>
          <w:sz w:val="32"/>
          <w:szCs w:val="32"/>
          <w:lang w:eastAsia="zh-CN"/>
        </w:rPr>
        <w:t>区域生态</w:t>
      </w:r>
      <w:r>
        <w:rPr>
          <w:rFonts w:hint="default" w:ascii="Times New Roman" w:hAnsi="Times New Roman" w:eastAsia="方正仿宋_GBK" w:cs="Times New Roman"/>
          <w:b w:val="0"/>
          <w:bCs w:val="0"/>
          <w:sz w:val="32"/>
          <w:szCs w:val="32"/>
        </w:rPr>
        <w:t>环境，同意实施该项目。</w:t>
      </w:r>
    </w:p>
    <w:p w14:paraId="200013A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二、项目代码：2604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484754</w:t>
      </w:r>
      <w:r>
        <w:rPr>
          <w:rFonts w:hint="default" w:ascii="Times New Roman" w:hAnsi="Times New Roman" w:eastAsia="方正仿宋_GBK" w:cs="Times New Roman"/>
          <w:b w:val="0"/>
          <w:bCs w:val="0"/>
          <w:sz w:val="32"/>
          <w:szCs w:val="32"/>
        </w:rPr>
        <w:t>。</w:t>
      </w:r>
    </w:p>
    <w:p w14:paraId="61062AD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三、项目业主：重庆市枳丹石城市建设开发有限公司。</w:t>
      </w:r>
    </w:p>
    <w:p w14:paraId="2043BB2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小南海</w:t>
      </w:r>
      <w:r>
        <w:rPr>
          <w:rFonts w:hint="default" w:ascii="Times New Roman" w:hAnsi="Times New Roman" w:eastAsia="方正仿宋_GBK" w:cs="Times New Roman"/>
          <w:b w:val="0"/>
          <w:bCs w:val="0"/>
          <w:sz w:val="32"/>
          <w:szCs w:val="32"/>
        </w:rPr>
        <w:t>镇。</w:t>
      </w:r>
    </w:p>
    <w:p w14:paraId="045BA41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r>
        <w:rPr>
          <w:rFonts w:hint="default" w:ascii="Times New Roman" w:hAnsi="Times New Roman" w:eastAsia="方正仿宋_GBK" w:cs="Times New Roman"/>
          <w:b w:val="0"/>
          <w:bCs w:val="0"/>
          <w:sz w:val="32"/>
          <w:szCs w:val="32"/>
          <w:lang w:eastAsia="zh-CN"/>
        </w:rPr>
        <w:t>工程</w:t>
      </w:r>
      <w:r>
        <w:rPr>
          <w:rFonts w:hint="default" w:ascii="Times New Roman" w:hAnsi="Times New Roman" w:eastAsia="方正仿宋_GBK" w:cs="Times New Roman"/>
          <w:b w:val="0"/>
          <w:bCs w:val="0"/>
          <w:sz w:val="32"/>
          <w:szCs w:val="32"/>
        </w:rPr>
        <w:t>主要包括清淤工程、脱水工程、余水工程、消纳工程等。清淤总量502.69万立方米，</w:t>
      </w:r>
      <w:r>
        <w:rPr>
          <w:rFonts w:hint="default" w:ascii="Times New Roman" w:hAnsi="Times New Roman" w:eastAsia="方正仿宋_GBK" w:cs="Times New Roman"/>
          <w:b w:val="0"/>
          <w:bCs w:val="0"/>
          <w:sz w:val="32"/>
          <w:szCs w:val="32"/>
          <w:lang w:eastAsia="zh-CN"/>
        </w:rPr>
        <w:t>其中：</w:t>
      </w:r>
      <w:r>
        <w:rPr>
          <w:rFonts w:hint="default" w:ascii="Times New Roman" w:hAnsi="Times New Roman" w:eastAsia="方正仿宋_GBK" w:cs="Times New Roman"/>
          <w:b w:val="0"/>
          <w:bCs w:val="0"/>
          <w:sz w:val="32"/>
          <w:szCs w:val="32"/>
        </w:rPr>
        <w:t>淤泥层清淤量410.51万立方米</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砂石层清淤量92.18 万 立方米</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水下清淤采用环保绞吸式挖泥船密闭施工，陆上入库河段采用挖掘机干挖施工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配套建设3座脱水场、2座消纳场，余水处理采用平流沉淀塘+磁混凝工艺，处理达标后回排库区。</w:t>
      </w:r>
    </w:p>
    <w:p w14:paraId="6A92DB2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50789.75万元，其中：建筑工程35238.51万元，施工临时工程3061.12万元，独立费用5181.35万元，基本预备费4348.10万元，建设征地与移民安置补偿288.34万元，环境保护工程1436.85万元，水土保持工程1235.48万元。资金来源为</w:t>
      </w:r>
      <w:r>
        <w:rPr>
          <w:rFonts w:hint="default" w:ascii="Times New Roman" w:hAnsi="Times New Roman" w:eastAsia="方正仿宋_GBK" w:cs="Times New Roman"/>
          <w:b w:val="0"/>
          <w:bCs w:val="0"/>
          <w:sz w:val="32"/>
          <w:szCs w:val="32"/>
          <w:lang w:eastAsia="zh-CN"/>
        </w:rPr>
        <w:t>申请市级及以上补助资金，不足部分业主自筹</w:t>
      </w:r>
      <w:r>
        <w:rPr>
          <w:rFonts w:hint="default" w:ascii="Times New Roman" w:hAnsi="Times New Roman" w:eastAsia="方正仿宋_GBK" w:cs="Times New Roman"/>
          <w:b w:val="0"/>
          <w:bCs w:val="0"/>
          <w:sz w:val="32"/>
          <w:szCs w:val="32"/>
        </w:rPr>
        <w:t>。</w:t>
      </w:r>
    </w:p>
    <w:p w14:paraId="402C7B1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个月。</w:t>
      </w:r>
    </w:p>
    <w:p w14:paraId="67FE926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4AD7F43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九、有关要求:请接此批复后，</w:t>
      </w:r>
      <w:r>
        <w:rPr>
          <w:rFonts w:hint="default" w:ascii="Times New Roman" w:hAnsi="Times New Roman" w:eastAsia="方正仿宋_GBK" w:cs="Times New Roman"/>
          <w:b w:val="0"/>
          <w:bCs w:val="0"/>
          <w:sz w:val="32"/>
          <w:szCs w:val="32"/>
          <w:lang w:eastAsia="zh-CN"/>
        </w:rPr>
        <w:t>严格执行项目基本建设程序，加</w:t>
      </w:r>
      <w:r>
        <w:rPr>
          <w:rFonts w:hint="default" w:ascii="Times New Roman" w:hAnsi="Times New Roman" w:eastAsia="方正仿宋_GBK" w:cs="Times New Roman"/>
          <w:b w:val="0"/>
          <w:bCs w:val="0"/>
          <w:sz w:val="32"/>
          <w:szCs w:val="32"/>
        </w:rPr>
        <w:t>紧推进项目工作</w:t>
      </w:r>
      <w:r>
        <w:rPr>
          <w:rFonts w:hint="default" w:ascii="Times New Roman" w:hAnsi="Times New Roman" w:eastAsia="方正仿宋_GBK" w:cs="Times New Roman"/>
          <w:b w:val="0"/>
          <w:bCs w:val="0"/>
          <w:sz w:val="32"/>
          <w:szCs w:val="32"/>
          <w:lang w:eastAsia="zh-CN"/>
        </w:rPr>
        <w:t>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强化</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eastAsia="zh-CN"/>
        </w:rPr>
        <w:t>筹集与管理</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认真落实安全生产责任制，加强工程投资、工期和质量控制，确保早日建成投用</w:t>
      </w:r>
      <w:r>
        <w:rPr>
          <w:rFonts w:hint="default" w:ascii="Times New Roman" w:hAnsi="Times New Roman" w:eastAsia="方正仿宋_GBK" w:cs="Times New Roman"/>
          <w:b w:val="0"/>
          <w:bCs w:val="0"/>
          <w:sz w:val="32"/>
          <w:szCs w:val="32"/>
        </w:rPr>
        <w:t>。</w:t>
      </w:r>
    </w:p>
    <w:p w14:paraId="468AB0D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5469C30">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附件：黔江区小南海水库清淤项目投资估算表</w:t>
      </w:r>
    </w:p>
    <w:p w14:paraId="6125E575">
      <w:pPr>
        <w:spacing w:line="520" w:lineRule="exact"/>
        <w:ind w:left="1598" w:leftChars="304" w:hanging="960" w:hangingChars="300"/>
        <w:rPr>
          <w:rFonts w:hint="default" w:ascii="Times New Roman" w:hAnsi="Times New Roman" w:eastAsia="方正仿宋_GBK" w:cs="Times New Roman"/>
          <w:b w:val="0"/>
          <w:bCs w:val="0"/>
          <w:sz w:val="32"/>
          <w:szCs w:val="32"/>
        </w:rPr>
      </w:pP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rPr>
        <w:t>日</w:t>
      </w:r>
    </w:p>
    <w:p w14:paraId="472ECB0F">
      <w:pPr>
        <w:pStyle w:val="5"/>
        <w:spacing w:line="500" w:lineRule="exact"/>
        <w:rPr>
          <w:rFonts w:hint="eastAsia" w:ascii="方正黑体_GBK" w:hAnsi="方正黑体_GBK" w:eastAsia="方正黑体_GBK" w:cs="方正黑体_GBK"/>
          <w:sz w:val="32"/>
          <w:szCs w:val="32"/>
        </w:rPr>
      </w:pPr>
    </w:p>
    <w:p w14:paraId="5B4B1A74">
      <w:pPr>
        <w:pStyle w:val="5"/>
        <w:spacing w:line="500" w:lineRule="exact"/>
        <w:rPr>
          <w:rFonts w:hint="eastAsia" w:ascii="方正黑体_GBK" w:hAnsi="方正黑体_GBK" w:eastAsia="方正黑体_GBK" w:cs="方正黑体_GBK"/>
          <w:sz w:val="32"/>
          <w:szCs w:val="32"/>
        </w:rPr>
      </w:pPr>
    </w:p>
    <w:p w14:paraId="62271CD9">
      <w:pPr>
        <w:pStyle w:val="5"/>
        <w:spacing w:line="500" w:lineRule="exact"/>
        <w:rPr>
          <w:rFonts w:hint="eastAsia" w:ascii="方正黑体_GBK" w:hAnsi="方正黑体_GBK" w:eastAsia="方正黑体_GBK" w:cs="方正黑体_GBK"/>
          <w:sz w:val="32"/>
          <w:szCs w:val="32"/>
        </w:rPr>
      </w:pPr>
    </w:p>
    <w:p w14:paraId="0AF956CC">
      <w:pPr>
        <w:pStyle w:val="5"/>
        <w:spacing w:line="500" w:lineRule="exact"/>
        <w:rPr>
          <w:rFonts w:hint="eastAsia" w:ascii="方正黑体_GBK" w:hAnsi="方正黑体_GBK" w:eastAsia="方正黑体_GBK" w:cs="方正黑体_GBK"/>
          <w:sz w:val="32"/>
          <w:szCs w:val="32"/>
        </w:rPr>
      </w:pPr>
    </w:p>
    <w:p w14:paraId="45A4D6A6">
      <w:pPr>
        <w:pStyle w:val="5"/>
        <w:spacing w:line="500" w:lineRule="exact"/>
        <w:rPr>
          <w:rFonts w:hint="eastAsia" w:ascii="方正黑体_GBK" w:hAnsi="方正黑体_GBK" w:eastAsia="方正黑体_GBK" w:cs="方正黑体_GBK"/>
          <w:sz w:val="32"/>
          <w:szCs w:val="32"/>
        </w:rPr>
      </w:pPr>
    </w:p>
    <w:p w14:paraId="53EBA6E1">
      <w:pPr>
        <w:pStyle w:val="5"/>
        <w:spacing w:line="500" w:lineRule="exact"/>
        <w:rPr>
          <w:rFonts w:hint="eastAsia" w:ascii="方正黑体_GBK" w:hAnsi="方正黑体_GBK" w:eastAsia="方正黑体_GBK" w:cs="方正黑体_GBK"/>
          <w:sz w:val="32"/>
          <w:szCs w:val="32"/>
        </w:rPr>
      </w:pPr>
    </w:p>
    <w:p w14:paraId="247890E5">
      <w:pPr>
        <w:pStyle w:val="5"/>
        <w:spacing w:line="500" w:lineRule="exact"/>
        <w:rPr>
          <w:rFonts w:hint="eastAsia" w:ascii="方正黑体_GBK" w:hAnsi="方正黑体_GBK" w:eastAsia="方正黑体_GBK" w:cs="方正黑体_GBK"/>
          <w:sz w:val="32"/>
          <w:szCs w:val="32"/>
        </w:rPr>
      </w:pPr>
    </w:p>
    <w:p w14:paraId="79BB79BC">
      <w:pPr>
        <w:pStyle w:val="5"/>
        <w:spacing w:line="500" w:lineRule="exact"/>
        <w:rPr>
          <w:rFonts w:hint="eastAsia" w:ascii="方正黑体_GBK" w:hAnsi="方正黑体_GBK" w:eastAsia="方正黑体_GBK" w:cs="方正黑体_GBK"/>
          <w:sz w:val="32"/>
          <w:szCs w:val="32"/>
        </w:rPr>
      </w:pPr>
    </w:p>
    <w:p w14:paraId="32E8275A">
      <w:pPr>
        <w:pStyle w:val="5"/>
        <w:spacing w:line="500" w:lineRule="exact"/>
        <w:rPr>
          <w:rFonts w:hint="eastAsia" w:ascii="方正黑体_GBK" w:hAnsi="方正黑体_GBK" w:eastAsia="方正黑体_GBK" w:cs="方正黑体_GBK"/>
          <w:sz w:val="32"/>
          <w:szCs w:val="32"/>
        </w:rPr>
      </w:pPr>
    </w:p>
    <w:p w14:paraId="4A51FCF3">
      <w:pPr>
        <w:pStyle w:val="5"/>
        <w:spacing w:line="500" w:lineRule="exact"/>
        <w:rPr>
          <w:rFonts w:hint="eastAsia" w:ascii="方正黑体_GBK" w:hAnsi="方正黑体_GBK" w:eastAsia="方正黑体_GBK" w:cs="方正黑体_GBK"/>
          <w:sz w:val="32"/>
          <w:szCs w:val="32"/>
        </w:rPr>
      </w:pPr>
    </w:p>
    <w:p w14:paraId="2A42F0B3">
      <w:pPr>
        <w:pStyle w:val="5"/>
        <w:spacing w:line="500" w:lineRule="exact"/>
        <w:rPr>
          <w:rFonts w:hint="eastAsia" w:ascii="方正黑体_GBK" w:hAnsi="方正黑体_GBK" w:eastAsia="方正黑体_GBK" w:cs="方正黑体_GBK"/>
          <w:sz w:val="32"/>
          <w:szCs w:val="32"/>
        </w:rPr>
      </w:pPr>
    </w:p>
    <w:p w14:paraId="04F87D68">
      <w:pPr>
        <w:pStyle w:val="5"/>
        <w:spacing w:line="500" w:lineRule="exact"/>
        <w:rPr>
          <w:rFonts w:hint="eastAsia" w:ascii="方正黑体_GBK" w:hAnsi="方正黑体_GBK" w:eastAsia="方正黑体_GBK" w:cs="方正黑体_GBK"/>
          <w:sz w:val="32"/>
          <w:szCs w:val="32"/>
        </w:rPr>
      </w:pPr>
    </w:p>
    <w:p w14:paraId="0E71B4C3">
      <w:pPr>
        <w:pStyle w:val="5"/>
        <w:spacing w:line="500" w:lineRule="exact"/>
        <w:rPr>
          <w:rFonts w:hint="eastAsia" w:ascii="方正黑体_GBK" w:hAnsi="方正黑体_GBK" w:eastAsia="方正黑体_GBK" w:cs="方正黑体_GBK"/>
          <w:sz w:val="32"/>
          <w:szCs w:val="32"/>
        </w:rPr>
      </w:pPr>
    </w:p>
    <w:p w14:paraId="0D4DEE11">
      <w:pPr>
        <w:pStyle w:val="5"/>
        <w:spacing w:line="500" w:lineRule="exact"/>
        <w:rPr>
          <w:rFonts w:hint="eastAsia" w:ascii="方正黑体_GBK" w:hAnsi="方正黑体_GBK" w:eastAsia="方正黑体_GBK" w:cs="方正黑体_GBK"/>
          <w:sz w:val="32"/>
          <w:szCs w:val="32"/>
        </w:rPr>
      </w:pPr>
    </w:p>
    <w:p w14:paraId="50D78F57">
      <w:pPr>
        <w:pStyle w:val="5"/>
        <w:spacing w:line="500" w:lineRule="exact"/>
        <w:rPr>
          <w:rFonts w:hint="eastAsia" w:ascii="方正黑体_GBK" w:hAnsi="方正黑体_GBK" w:eastAsia="方正黑体_GBK" w:cs="方正黑体_GBK"/>
          <w:sz w:val="32"/>
          <w:szCs w:val="32"/>
        </w:rPr>
      </w:pPr>
    </w:p>
    <w:p w14:paraId="075D6348">
      <w:pPr>
        <w:pStyle w:val="5"/>
        <w:spacing w:line="500" w:lineRule="exact"/>
        <w:rPr>
          <w:rFonts w:hint="eastAsia" w:ascii="方正黑体_GBK" w:hAnsi="方正黑体_GBK" w:eastAsia="方正黑体_GBK" w:cs="方正黑体_GBK"/>
          <w:sz w:val="32"/>
          <w:szCs w:val="32"/>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黔江区小南海水库清淤项目投资估算表</w:t>
      </w:r>
    </w:p>
    <w:p w14:paraId="5C39E2BA">
      <w:pPr>
        <w:jc w:val="righ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单位：万元</w:t>
      </w:r>
    </w:p>
    <w:tbl>
      <w:tblPr>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75"/>
        <w:gridCol w:w="4320"/>
        <w:gridCol w:w="2910"/>
      </w:tblGrid>
      <w:tr w14:paraId="1274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blHeader/>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09491B38">
            <w:pPr>
              <w:keepNext w:val="0"/>
              <w:keepLines w:val="0"/>
              <w:widowControl/>
              <w:suppressLineNumbers w:val="0"/>
              <w:jc w:val="center"/>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bdr w:val="none" w:color="auto" w:sz="0" w:space="0"/>
                <w:lang w:val="en-US" w:eastAsia="zh-CN" w:bidi="ar"/>
              </w:rPr>
              <w:t>序号</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765D94A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bdr w:val="none" w:color="auto" w:sz="0" w:space="0"/>
                <w:lang w:val="en-US" w:eastAsia="zh-CN" w:bidi="ar"/>
              </w:rPr>
              <w:t>工程或费用名称</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887193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bdr w:val="none" w:color="auto" w:sz="0" w:space="0"/>
                <w:lang w:val="en-US" w:eastAsia="zh-CN" w:bidi="ar"/>
              </w:rPr>
              <w:t>金</w:t>
            </w:r>
            <w:r>
              <w:rPr>
                <w:rFonts w:hint="eastAsia" w:ascii="方正黑体_GBK" w:hAnsi="方正黑体_GBK" w:eastAsia="方正黑体_GBK" w:cs="方正黑体_GBK"/>
                <w:i w:val="0"/>
                <w:iCs w:val="0"/>
                <w:color w:val="000000"/>
                <w:kern w:val="0"/>
                <w:sz w:val="32"/>
                <w:szCs w:val="32"/>
                <w:u w:val="none"/>
                <w:bdr w:val="none" w:color="auto" w:sz="0" w:space="0"/>
                <w:lang w:val="en-US" w:eastAsia="zh-CN" w:bidi="ar"/>
              </w:rPr>
              <w:t xml:space="preserve">  </w:t>
            </w:r>
            <w:r>
              <w:rPr>
                <w:rStyle w:val="31"/>
                <w:bdr w:val="none" w:color="auto" w:sz="0" w:space="0"/>
                <w:lang w:val="en-US" w:eastAsia="zh-CN" w:bidi="ar"/>
              </w:rPr>
              <w:t>额</w:t>
            </w:r>
          </w:p>
        </w:tc>
      </w:tr>
      <w:tr w14:paraId="7E7D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D24F5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07A797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工程部分</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803DEB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47829.08 </w:t>
            </w:r>
          </w:p>
        </w:tc>
      </w:tr>
      <w:tr w14:paraId="7730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4C76D9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7907F4A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建筑工程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88FDC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35238.51 </w:t>
            </w:r>
          </w:p>
        </w:tc>
      </w:tr>
      <w:tr w14:paraId="2395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C18955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1C4BC56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清淤工程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0B01F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9553.26 </w:t>
            </w:r>
          </w:p>
        </w:tc>
      </w:tr>
      <w:tr w14:paraId="59E4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7B837E1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1441ACD">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脱水工程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2627214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5872.18 </w:t>
            </w:r>
          </w:p>
        </w:tc>
      </w:tr>
      <w:tr w14:paraId="04F4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00E197A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70ABB61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余水工程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7A62E6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1604.34 </w:t>
            </w:r>
          </w:p>
        </w:tc>
      </w:tr>
      <w:tr w14:paraId="2062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294A7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484001F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消纳工程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381EAB1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18208.73 </w:t>
            </w:r>
          </w:p>
        </w:tc>
      </w:tr>
      <w:tr w14:paraId="085C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772ACB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7270A70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施工临时工程</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10D7DE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3061.12 </w:t>
            </w:r>
          </w:p>
        </w:tc>
      </w:tr>
      <w:tr w14:paraId="45AF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4EF4BB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6959A75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独立费用</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41DE65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5181.35 </w:t>
            </w:r>
          </w:p>
        </w:tc>
      </w:tr>
      <w:tr w14:paraId="0A75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BC7BE4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3450C7D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建设管理费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45DA6D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310.11 </w:t>
            </w:r>
          </w:p>
        </w:tc>
      </w:tr>
      <w:tr w14:paraId="3E16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31FB88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6DB1783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工程建设监理费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4C37902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817.73 </w:t>
            </w:r>
          </w:p>
        </w:tc>
      </w:tr>
      <w:tr w14:paraId="7E17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242CF7A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3ABED4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科研勘察设计费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433DB5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2638.49 </w:t>
            </w:r>
          </w:p>
        </w:tc>
      </w:tr>
      <w:tr w14:paraId="168E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14A0323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03AB713">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其他</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3515F2F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1415.02 </w:t>
            </w:r>
          </w:p>
        </w:tc>
      </w:tr>
      <w:tr w14:paraId="76E9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0EF040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63476B5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工程质量检测费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0909AC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383.00 </w:t>
            </w:r>
          </w:p>
        </w:tc>
      </w:tr>
      <w:tr w14:paraId="649D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3F616A2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1B678E1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工程咨询费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2DD2422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757.73 </w:t>
            </w:r>
          </w:p>
        </w:tc>
      </w:tr>
      <w:tr w14:paraId="3914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4741293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40F54D6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交易服务费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3077F3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82.79 </w:t>
            </w:r>
          </w:p>
        </w:tc>
      </w:tr>
      <w:tr w14:paraId="7356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619A833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49A789A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工程保险费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2B38A8A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191.50 </w:t>
            </w:r>
          </w:p>
        </w:tc>
      </w:tr>
      <w:tr w14:paraId="740A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8F0CC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5FF6C0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基本预备费</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0729B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4348.10 </w:t>
            </w:r>
          </w:p>
        </w:tc>
      </w:tr>
      <w:tr w14:paraId="61EE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05F229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F1E04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专项部分投资</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45673E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2960.67 </w:t>
            </w:r>
          </w:p>
        </w:tc>
      </w:tr>
      <w:tr w14:paraId="34F7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3CDADD8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17822F5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建设征地与移民安置补偿投资</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601E5B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288.34 </w:t>
            </w:r>
          </w:p>
        </w:tc>
      </w:tr>
      <w:tr w14:paraId="107F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52A1758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FB47744">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环境保护工程投资</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739DD82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1436.85 </w:t>
            </w:r>
          </w:p>
        </w:tc>
      </w:tr>
      <w:tr w14:paraId="4A9F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092F345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2F6AA0A9">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水土保持工程投资</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07179E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1235.48 </w:t>
            </w:r>
          </w:p>
        </w:tc>
      </w:tr>
      <w:tr w14:paraId="626A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vAlign w:val="center"/>
          </w:tcPr>
          <w:p w14:paraId="3B610A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vAlign w:val="center"/>
          </w:tcPr>
          <w:p w14:paraId="33A961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建设项目总投资估算</w:t>
            </w:r>
          </w:p>
        </w:tc>
        <w:tc>
          <w:tcPr>
            <w:tcW w:w="2910" w:type="dxa"/>
            <w:tcBorders>
              <w:top w:val="single" w:color="000000" w:sz="4" w:space="0"/>
              <w:left w:val="single" w:color="000000" w:sz="4" w:space="0"/>
              <w:bottom w:val="single" w:color="000000" w:sz="4" w:space="0"/>
              <w:right w:val="single" w:color="000000" w:sz="4" w:space="0"/>
            </w:tcBorders>
            <w:shd w:val="clear"/>
            <w:vAlign w:val="center"/>
          </w:tcPr>
          <w:p w14:paraId="57B047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50789.75</w:t>
            </w:r>
          </w:p>
        </w:tc>
      </w:tr>
    </w:tbl>
    <w:p w14:paraId="69A78C30"/>
    <w:p w14:paraId="69E557B8"/>
    <w:p w14:paraId="7C2580EF"/>
    <w:p w14:paraId="70876749"/>
    <w:p w14:paraId="1CBECE45"/>
    <w:p w14:paraId="05E748A9"/>
    <w:p w14:paraId="44AFBE67"/>
    <w:p w14:paraId="541C43CB"/>
    <w:p w14:paraId="5570CBFC"/>
    <w:p w14:paraId="55F911C1"/>
    <w:p w14:paraId="5908A1C4"/>
    <w:p w14:paraId="5917B161"/>
    <w:p w14:paraId="1D652710"/>
    <w:p w14:paraId="19A0E386"/>
    <w:p w14:paraId="1F26419B"/>
    <w:p w14:paraId="65960382"/>
    <w:p w14:paraId="497DECA4"/>
    <w:p w14:paraId="66A02BD3"/>
    <w:p w14:paraId="1CE390B2"/>
    <w:p w14:paraId="3BB242FC"/>
    <w:p w14:paraId="76E3BCC4"/>
    <w:p w14:paraId="74CE46D4"/>
    <w:p w14:paraId="09F3FB0F"/>
    <w:p w14:paraId="22B793F2"/>
    <w:p w14:paraId="110D3D49"/>
    <w:p w14:paraId="5236B368"/>
    <w:p w14:paraId="45CA93D2"/>
    <w:p w14:paraId="68F4EE97"/>
    <w:p w14:paraId="5D02580B"/>
    <w:p w14:paraId="3F84F0A1"/>
    <w:p w14:paraId="694FBAC0"/>
    <w:p w14:paraId="31020E94"/>
    <w:p w14:paraId="14C763D3"/>
    <w:p w14:paraId="1C55ACEB"/>
    <w:p w14:paraId="64FAC184"/>
    <w:p w14:paraId="78483BBC"/>
    <w:p w14:paraId="5F5AB582"/>
    <w:p w14:paraId="20F6A74C">
      <w:bookmarkStart w:id="0" w:name="_GoBack"/>
      <w:bookmarkEnd w:id="0"/>
    </w:p>
    <w:p w14:paraId="77DA31E4"/>
    <w:p w14:paraId="338362E9"/>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20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939D91BF-940B-45CF-8428-07B75ACA606A}"/>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1AFEE705-6FA2-4267-8FC9-CD2B4DAC4A2E}"/>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992D9D13-2EBB-41B6-B7ED-858BE151D4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11B3704"/>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F7B047E"/>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F75634D"/>
    <w:rsid w:val="5FFE1A79"/>
    <w:rsid w:val="616F605C"/>
    <w:rsid w:val="653B0AE4"/>
    <w:rsid w:val="66560D21"/>
    <w:rsid w:val="678D70A8"/>
    <w:rsid w:val="67C75C7F"/>
    <w:rsid w:val="6A6C1DE8"/>
    <w:rsid w:val="6AF30A16"/>
    <w:rsid w:val="6BAE6A0F"/>
    <w:rsid w:val="6C68355C"/>
    <w:rsid w:val="6CE440E0"/>
    <w:rsid w:val="6DAE50AD"/>
    <w:rsid w:val="6EF61234"/>
    <w:rsid w:val="6F321C00"/>
    <w:rsid w:val="72141C90"/>
    <w:rsid w:val="74BA4923"/>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6</Pages>
  <Words>1124</Words>
  <Characters>1391</Characters>
  <Lines>11</Lines>
  <Paragraphs>3</Paragraphs>
  <TotalTime>3</TotalTime>
  <ScaleCrop>false</ScaleCrop>
  <LinksUpToDate>false</LinksUpToDate>
  <CharactersWithSpaces>1551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2026-05-20T06:54:51Z</cp:lastPrinted>
  <dcterms:modified xsi:type="dcterms:W3CDTF">2026-05-20T06:54:53Z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