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169</w:t>
      </w:r>
      <w:bookmarkStart w:id="1" w:name="_GoBack"/>
      <w:bookmarkEnd w:id="1"/>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1BC2AE6B">
      <w:pPr>
        <w:snapToGrid w:val="0"/>
        <w:spacing w:line="595" w:lineRule="exact"/>
        <w:ind w:firstLine="200"/>
        <w:jc w:val="center"/>
        <w:rPr>
          <w:rFonts w:eastAsia="方正小标宋_GBK"/>
          <w:sz w:val="44"/>
          <w:szCs w:val="44"/>
        </w:rPr>
      </w:pPr>
      <w:r>
        <w:rPr>
          <w:rFonts w:eastAsia="方正小标宋_GBK"/>
          <w:sz w:val="44"/>
          <w:szCs w:val="44"/>
        </w:rPr>
        <w:t>关于黔江区2026</w:t>
      </w:r>
      <w:r>
        <w:rPr>
          <w:rFonts w:hint="eastAsia" w:ascii="方正小标宋_GBK" w:hAnsi="方正小标宋_GBK" w:eastAsia="方正小标宋_GBK" w:cs="方正小标宋_GBK"/>
          <w:sz w:val="44"/>
          <w:szCs w:val="44"/>
        </w:rPr>
        <w:t>年“四好农村路”建设</w:t>
      </w:r>
      <w:r>
        <w:rPr>
          <w:rFonts w:eastAsia="方正小标宋_GBK"/>
          <w:sz w:val="44"/>
          <w:szCs w:val="44"/>
        </w:rPr>
        <w:t>项目</w:t>
      </w:r>
    </w:p>
    <w:p w14:paraId="2C6BBA05">
      <w:pPr>
        <w:snapToGrid w:val="0"/>
        <w:spacing w:line="595" w:lineRule="exact"/>
        <w:ind w:firstLine="200"/>
        <w:jc w:val="center"/>
        <w:rPr>
          <w:rFonts w:eastAsia="方正小标宋_GBK"/>
          <w:sz w:val="44"/>
          <w:szCs w:val="44"/>
        </w:rPr>
      </w:pPr>
      <w:r>
        <w:rPr>
          <w:rFonts w:eastAsia="方正小标宋_GBK"/>
          <w:sz w:val="44"/>
          <w:szCs w:val="44"/>
        </w:rPr>
        <w:t>沙坝镇脉东社区2组老鹰岩至王岗青林道路硬化工程</w:t>
      </w:r>
      <w:r>
        <w:rPr>
          <w:rFonts w:hint="eastAsia" w:eastAsia="方正小标宋_GBK"/>
          <w:sz w:val="44"/>
          <w:szCs w:val="44"/>
        </w:rPr>
        <w:t>可行性研究报告</w:t>
      </w:r>
      <w:r>
        <w:rPr>
          <w:rFonts w:eastAsia="方正小标宋_GBK"/>
          <w:sz w:val="44"/>
          <w:szCs w:val="44"/>
        </w:rPr>
        <w:t>的批复</w:t>
      </w:r>
    </w:p>
    <w:p w14:paraId="5A3B66A5">
      <w:pPr>
        <w:spacing w:line="595" w:lineRule="exact"/>
        <w:rPr>
          <w:szCs w:val="32"/>
        </w:rPr>
      </w:pPr>
    </w:p>
    <w:p w14:paraId="0981541F">
      <w:pPr>
        <w:spacing w:line="500" w:lineRule="exact"/>
        <w:rPr>
          <w:rFonts w:eastAsia="方正仿宋_GBK"/>
          <w:sz w:val="32"/>
          <w:szCs w:val="32"/>
        </w:rPr>
      </w:pPr>
      <w:r>
        <w:rPr>
          <w:rFonts w:hint="eastAsia" w:eastAsia="方正仿宋_GBK"/>
          <w:sz w:val="32"/>
          <w:szCs w:val="32"/>
          <w:lang w:eastAsia="zh-CN"/>
        </w:rPr>
        <w:t>黔江区沙坝镇人民政府</w:t>
      </w:r>
      <w:r>
        <w:rPr>
          <w:rFonts w:eastAsia="方正仿宋_GBK"/>
          <w:sz w:val="32"/>
          <w:szCs w:val="32"/>
        </w:rPr>
        <w:t>：</w:t>
      </w:r>
    </w:p>
    <w:p w14:paraId="20628F55">
      <w:pPr>
        <w:pStyle w:val="3"/>
        <w:spacing w:line="500" w:lineRule="exact"/>
        <w:ind w:left="0" w:leftChars="0"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你单位《关于审批黔江</w:t>
      </w:r>
      <w:r>
        <w:rPr>
          <w:rFonts w:hint="default" w:ascii="Times New Roman" w:hAnsi="Times New Roman" w:eastAsia="方正仿宋_GBK" w:cs="Times New Roman"/>
          <w:szCs w:val="32"/>
          <w:lang w:eastAsia="zh-CN"/>
        </w:rPr>
        <w:t>区2026年</w:t>
      </w:r>
      <w:r>
        <w:rPr>
          <w:rFonts w:hint="eastAsia" w:ascii="方正仿宋_GBK" w:hAnsi="方正仿宋_GBK" w:eastAsia="方正仿宋_GBK" w:cs="方正仿宋_GBK"/>
          <w:szCs w:val="32"/>
          <w:lang w:eastAsia="zh-CN"/>
        </w:rPr>
        <w:t>“四好农村路”建设项目沙坝镇脉东社区</w:t>
      </w:r>
      <w:r>
        <w:rPr>
          <w:rFonts w:hint="default" w:ascii="Times New Roman" w:hAnsi="Times New Roman" w:eastAsia="方正仿宋_GBK" w:cs="Times New Roman"/>
          <w:szCs w:val="32"/>
          <w:lang w:eastAsia="zh-CN"/>
        </w:rPr>
        <w:t>2组老鹰</w:t>
      </w:r>
      <w:r>
        <w:rPr>
          <w:rFonts w:hint="eastAsia" w:ascii="方正仿宋_GBK" w:hAnsi="方正仿宋_GBK" w:eastAsia="方正仿宋_GBK" w:cs="方正仿宋_GBK"/>
          <w:szCs w:val="32"/>
          <w:lang w:eastAsia="zh-CN"/>
        </w:rPr>
        <w:t>岩至王岗青林道路硬化工程可行性研究报告的函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沙坝府函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33</w:t>
      </w:r>
      <w:r>
        <w:rPr>
          <w:rFonts w:hint="eastAsia" w:ascii="方正仿宋_GBK" w:hAnsi="方正仿宋_GBK" w:eastAsia="方正仿宋_GBK" w:cs="方正仿宋_GBK"/>
          <w:szCs w:val="32"/>
        </w:rPr>
        <w:t>号）收悉。结合黔江区政府投资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意见，经研究，同意实施黔江</w:t>
      </w:r>
      <w:r>
        <w:rPr>
          <w:rFonts w:hint="default" w:ascii="Times New Roman" w:hAnsi="Times New Roman" w:eastAsia="方正仿宋_GBK" w:cs="Times New Roman"/>
          <w:szCs w:val="32"/>
        </w:rPr>
        <w:t>区2026</w:t>
      </w:r>
      <w:r>
        <w:rPr>
          <w:rFonts w:hint="eastAsia" w:ascii="方正仿宋_GBK" w:hAnsi="方正仿宋_GBK" w:eastAsia="方正仿宋_GBK" w:cs="方正仿宋_GBK"/>
          <w:szCs w:val="32"/>
        </w:rPr>
        <w:t>年“四好农村路”建设项目沙坝镇脉东社区</w:t>
      </w:r>
      <w:r>
        <w:rPr>
          <w:rFonts w:hint="default" w:ascii="Times New Roman" w:hAnsi="Times New Roman" w:eastAsia="方正仿宋_GBK" w:cs="Times New Roman"/>
          <w:szCs w:val="32"/>
        </w:rPr>
        <w:t>2组</w:t>
      </w:r>
      <w:r>
        <w:rPr>
          <w:rFonts w:hint="eastAsia" w:ascii="方正仿宋_GBK" w:hAnsi="方正仿宋_GBK" w:eastAsia="方正仿宋_GBK" w:cs="方正仿宋_GBK"/>
          <w:szCs w:val="32"/>
        </w:rPr>
        <w:t>老鹰岩至王岗青林道路硬化工程（项目代码：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605</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w:t>
      </w:r>
      <w:r>
        <w:rPr>
          <w:rFonts w:hint="default" w:ascii="Times New Roman" w:hAnsi="Times New Roman" w:eastAsia="方正仿宋_GBK" w:cs="Times New Roman"/>
          <w:szCs w:val="32"/>
          <w:lang w:val="en-US" w:eastAsia="zh-CN"/>
        </w:rPr>
        <w:t>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350545</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w:t>
      </w:r>
      <w:r>
        <w:rPr>
          <w:rFonts w:hint="eastAsia" w:ascii="方正仿宋_GBK" w:hAnsi="方正仿宋_GBK" w:eastAsia="方正仿宋_GBK" w:cs="方正仿宋_GBK"/>
          <w:szCs w:val="32"/>
          <w:lang w:val="en-US" w:eastAsia="zh-CN"/>
        </w:rPr>
        <w:t xml:space="preserve">                                                                                                                                                                                                                                                                                                                                                                                                                                                                                                                                                                                                                                                                                                                                                                                                                                                                                                                                                                                                                                                                                              </w:t>
      </w:r>
      <w:r>
        <w:rPr>
          <w:rFonts w:hint="eastAsia" w:ascii="方正仿宋_GBK" w:hAnsi="方正仿宋_GBK" w:eastAsia="方正仿宋_GBK" w:cs="方正仿宋_GBK"/>
          <w:szCs w:val="32"/>
        </w:rPr>
        <w:t>如下：</w:t>
      </w:r>
    </w:p>
    <w:p w14:paraId="7E8C3AEC">
      <w:p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：黔江区沙坝镇人民政府</w:t>
      </w:r>
    </w:p>
    <w:p w14:paraId="70A19457">
      <w:pPr>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沙坝镇</w:t>
      </w:r>
    </w:p>
    <w:p w14:paraId="002E9D81">
      <w:pPr>
        <w:keepNext w:val="0"/>
        <w:keepLines w:val="0"/>
        <w:pageBreakBefore w:val="0"/>
        <w:kinsoku/>
        <w:wordWrap/>
        <w:overflowPunct/>
        <w:topLinePunct w:val="0"/>
        <w:autoSpaceDE w:val="0"/>
        <w:autoSpaceDN w:val="0"/>
        <w:bidi w:val="0"/>
        <w:adjustRightInd w:val="0"/>
        <w:spacing w:line="595"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w:t>
      </w:r>
      <w:r>
        <w:rPr>
          <w:rFonts w:hint="default" w:ascii="Times New Roman" w:hAnsi="Times New Roman" w:eastAsia="方正仿宋_GBK" w:cs="Times New Roman"/>
          <w:kern w:val="2"/>
          <w:sz w:val="32"/>
          <w:szCs w:val="32"/>
          <w:lang w:val="en-US" w:eastAsia="zh-CN" w:bidi="ar-SA"/>
        </w:rPr>
        <w:t>全长1.418公里，共涉及2条路段，主线起于老鹰岩，止于王岗青林，全长1.158公里，支线1起于现状道路，止于现状道路，全长0.260公里。对该项目全线硬化，路基宽度4.5米，20厘米厚C25水泥混凝土</w:t>
      </w:r>
      <w:r>
        <w:rPr>
          <w:rFonts w:hint="eastAsia" w:ascii="方正仿宋_GBK" w:hAnsi="方正仿宋_GBK" w:eastAsia="方正仿宋_GBK" w:cs="方正仿宋_GBK"/>
          <w:kern w:val="2"/>
          <w:sz w:val="32"/>
          <w:szCs w:val="32"/>
          <w:lang w:val="en-US" w:eastAsia="zh-CN" w:bidi="ar-SA"/>
        </w:rPr>
        <w:t>路面。</w:t>
      </w:r>
    </w:p>
    <w:p w14:paraId="096F4F22">
      <w:pPr>
        <w:spacing w:line="500" w:lineRule="exact"/>
        <w:ind w:firstLine="640" w:firstLineChars="200"/>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3</w:t>
      </w:r>
      <w:r>
        <w:rPr>
          <w:rFonts w:eastAsia="方正仿宋_GBK"/>
          <w:sz w:val="32"/>
          <w:szCs w:val="32"/>
        </w:rPr>
        <w:t>个月。</w:t>
      </w:r>
    </w:p>
    <w:p w14:paraId="358954C0">
      <w:pPr>
        <w:autoSpaceDE w:val="0"/>
        <w:autoSpaceDN w:val="0"/>
        <w:adjustRightInd w:val="0"/>
        <w:spacing w:line="595" w:lineRule="exact"/>
        <w:ind w:firstLine="675" w:firstLineChars="211"/>
        <w:rPr>
          <w:rFonts w:hint="eastAsia" w:ascii="方正仿宋_GBK" w:hAnsi="方正仿宋_GBK" w:eastAsia="方正仿宋_GBK" w:cs="方正仿宋_GBK"/>
          <w:kern w:val="2"/>
          <w:sz w:val="32"/>
          <w:szCs w:val="32"/>
          <w:lang w:val="zh-CN" w:eastAsia="zh-CN" w:bidi="ar-SA"/>
        </w:rPr>
      </w:pPr>
      <w:r>
        <w:rPr>
          <w:rFonts w:hint="eastAsia" w:ascii="Times New Roman" w:hAnsi="Times New Roman" w:eastAsia="方正黑体_GBK" w:cs="Times New Roman"/>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项目估算</w:t>
      </w:r>
      <w:r>
        <w:rPr>
          <w:rFonts w:hint="default" w:ascii="Times New Roman" w:hAnsi="Times New Roman" w:eastAsia="方正仿宋_GBK" w:cs="Times New Roman"/>
          <w:kern w:val="2"/>
          <w:sz w:val="32"/>
          <w:szCs w:val="32"/>
          <w:lang w:val="en-US" w:eastAsia="zh-CN" w:bidi="ar-SA"/>
        </w:rPr>
        <w:t>总投资82.11万元，其中：</w:t>
      </w:r>
      <w:bookmarkStart w:id="0" w:name="_Hlk133242824"/>
      <w:r>
        <w:rPr>
          <w:rFonts w:hint="default" w:ascii="Times New Roman" w:hAnsi="Times New Roman" w:eastAsia="方正仿宋_GBK" w:cs="Times New Roman"/>
          <w:kern w:val="2"/>
          <w:sz w:val="32"/>
          <w:szCs w:val="32"/>
          <w:lang w:val="en-US" w:eastAsia="zh-CN" w:bidi="ar-SA"/>
        </w:rPr>
        <w:t>工程费用75.63万元，</w:t>
      </w:r>
      <w:bookmarkEnd w:id="0"/>
      <w:r>
        <w:rPr>
          <w:rFonts w:hint="default" w:ascii="Times New Roman" w:hAnsi="Times New Roman" w:eastAsia="方正仿宋_GBK" w:cs="Times New Roman"/>
          <w:kern w:val="2"/>
          <w:sz w:val="32"/>
          <w:szCs w:val="32"/>
          <w:lang w:val="en-US" w:eastAsia="zh-CN" w:bidi="ar-SA"/>
        </w:rPr>
        <w:t>工程建设其他费4.09万元，基本预备费2.39万元。资金来</w:t>
      </w:r>
      <w:r>
        <w:rPr>
          <w:rFonts w:hint="eastAsia" w:ascii="方正仿宋_GBK" w:hAnsi="方正仿宋_GBK" w:eastAsia="方正仿宋_GBK" w:cs="方正仿宋_GBK"/>
          <w:kern w:val="2"/>
          <w:sz w:val="32"/>
          <w:szCs w:val="32"/>
          <w:lang w:val="en-US" w:eastAsia="zh-CN" w:bidi="ar-SA"/>
        </w:rPr>
        <w:t>源为中央专项补助资金，不足部分由业主自筹。</w:t>
      </w:r>
    </w:p>
    <w:p w14:paraId="074F5C9B">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354A62DC">
      <w:pPr>
        <w:pStyle w:val="5"/>
        <w:spacing w:line="52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512D6AD5">
      <w:pPr>
        <w:pStyle w:val="5"/>
        <w:spacing w:line="520" w:lineRule="exact"/>
        <w:ind w:firstLine="640" w:firstLineChars="200"/>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工程超过审定投资。</w:t>
      </w:r>
    </w:p>
    <w:p w14:paraId="33155544">
      <w:pPr>
        <w:ind w:firstLine="640" w:firstLineChars="2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r>
        <w:rPr>
          <w:rFonts w:hint="eastAsia" w:eastAsia="方正仿宋_GBK" w:cs="Times New Roman"/>
          <w:color w:val="auto"/>
          <w:spacing w:val="0"/>
          <w:kern w:val="2"/>
          <w:position w:val="0"/>
          <w:sz w:val="32"/>
          <w:szCs w:val="22"/>
          <w:shd w:val="clear" w:color="auto" w:fill="auto"/>
          <w:lang w:val="en-US" w:eastAsia="zh-CN" w:bidi="ar-SA"/>
        </w:rPr>
        <w:t>二</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切实加强项目实施过程监管，严格执行推广以工代赈项目劳务用工和报酬发放有关规定，本项目实施过程中要最大限度吸纳当地农民工参与工程建设，项目累计用工人数不得少于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40人，发放劳务报酬金额不得低于工程费用的20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w:t>
      </w:r>
    </w:p>
    <w:p w14:paraId="70C157AF">
      <w:pPr>
        <w:pStyle w:val="5"/>
        <w:spacing w:line="500" w:lineRule="exact"/>
        <w:rPr>
          <w:rFonts w:hint="eastAsia" w:ascii="Times New Roman" w:hAnsi="Times New Roman" w:eastAsia="方正仿宋_GBK"/>
          <w:sz w:val="32"/>
          <w:szCs w:val="32"/>
        </w:rPr>
      </w:pPr>
    </w:p>
    <w:p w14:paraId="4A7EB0EC">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附件：黔江区2026年“四好农村路”建设项目沙坝镇脉东社区2组老鹰岩至王岗青林道路硬化工程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7D653930">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10360AFE">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0DDDFE6A">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496B2706">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26</w:t>
      </w:r>
      <w:r>
        <w:rPr>
          <w:rFonts w:eastAsia="方正仿宋_GBK"/>
        </w:rPr>
        <w:t>日</w:t>
      </w:r>
    </w:p>
    <w:p w14:paraId="1CE96713">
      <w:pPr>
        <w:pStyle w:val="5"/>
        <w:spacing w:line="500" w:lineRule="exact"/>
        <w:rPr>
          <w:rFonts w:ascii="Times New Roman" w:hAnsi="Times New Roman" w:eastAsia="方正仿宋_GBK"/>
          <w:sz w:val="28"/>
          <w:szCs w:val="28"/>
        </w:rPr>
      </w:pPr>
    </w:p>
    <w:p w14:paraId="0C6D77E5">
      <w:pPr>
        <w:pStyle w:val="5"/>
        <w:spacing w:line="500" w:lineRule="exact"/>
        <w:rPr>
          <w:rFonts w:ascii="Times New Roman" w:hAnsi="Times New Roman" w:eastAsia="方正仿宋_GBK"/>
          <w:sz w:val="28"/>
          <w:szCs w:val="28"/>
        </w:rPr>
      </w:pPr>
    </w:p>
    <w:p w14:paraId="52143BD0">
      <w:pPr>
        <w:pStyle w:val="5"/>
        <w:spacing w:line="500" w:lineRule="exact"/>
        <w:rPr>
          <w:rFonts w:ascii="Times New Roman" w:hAnsi="Times New Roman" w:eastAsia="方正仿宋_GBK"/>
          <w:sz w:val="28"/>
          <w:szCs w:val="28"/>
        </w:rPr>
      </w:pPr>
    </w:p>
    <w:p w14:paraId="0FFC9EE4">
      <w:pPr>
        <w:pStyle w:val="5"/>
        <w:spacing w:line="500" w:lineRule="exact"/>
        <w:rPr>
          <w:rFonts w:ascii="Times New Roman" w:hAnsi="Times New Roman" w:eastAsia="方正仿宋_GBK"/>
          <w:sz w:val="28"/>
          <w:szCs w:val="28"/>
        </w:rPr>
      </w:pPr>
    </w:p>
    <w:p w14:paraId="7BB22A05">
      <w:pPr>
        <w:pStyle w:val="5"/>
        <w:spacing w:line="500" w:lineRule="exact"/>
        <w:rPr>
          <w:rFonts w:ascii="Times New Roman" w:hAnsi="Times New Roman" w:eastAsia="方正仿宋_GBK"/>
          <w:sz w:val="28"/>
          <w:szCs w:val="28"/>
        </w:rPr>
      </w:pPr>
    </w:p>
    <w:p w14:paraId="442BEE60">
      <w:pPr>
        <w:pStyle w:val="5"/>
        <w:spacing w:line="500" w:lineRule="exact"/>
        <w:rPr>
          <w:rFonts w:ascii="Times New Roman" w:hAnsi="Times New Roman" w:eastAsia="方正仿宋_GBK"/>
          <w:sz w:val="28"/>
          <w:szCs w:val="28"/>
        </w:rPr>
      </w:pPr>
    </w:p>
    <w:p w14:paraId="46C9E2FD">
      <w:pPr>
        <w:pStyle w:val="5"/>
        <w:spacing w:line="500" w:lineRule="exact"/>
        <w:rPr>
          <w:rFonts w:ascii="Times New Roman" w:hAnsi="Times New Roman" w:eastAsia="方正仿宋_GBK"/>
          <w:sz w:val="28"/>
          <w:szCs w:val="28"/>
        </w:rPr>
      </w:pPr>
    </w:p>
    <w:p w14:paraId="35DAC959">
      <w:pPr>
        <w:pStyle w:val="5"/>
        <w:spacing w:line="500" w:lineRule="exact"/>
        <w:rPr>
          <w:rFonts w:ascii="Times New Roman" w:hAnsi="Times New Roman" w:eastAsia="方正仿宋_GBK"/>
          <w:sz w:val="28"/>
          <w:szCs w:val="28"/>
        </w:rPr>
      </w:pPr>
    </w:p>
    <w:p w14:paraId="508D9C47">
      <w:pPr>
        <w:pStyle w:val="5"/>
        <w:spacing w:line="500" w:lineRule="exact"/>
        <w:rPr>
          <w:rFonts w:ascii="Times New Roman" w:hAnsi="Times New Roman" w:eastAsia="方正仿宋_GBK"/>
          <w:sz w:val="28"/>
          <w:szCs w:val="28"/>
        </w:rPr>
      </w:pPr>
    </w:p>
    <w:p w14:paraId="6719C14E">
      <w:pPr>
        <w:pStyle w:val="5"/>
        <w:spacing w:line="500" w:lineRule="exact"/>
        <w:rPr>
          <w:rFonts w:ascii="Times New Roman" w:hAnsi="Times New Roman" w:eastAsia="方正仿宋_GBK"/>
          <w:sz w:val="28"/>
          <w:szCs w:val="28"/>
        </w:rPr>
      </w:pPr>
    </w:p>
    <w:p w14:paraId="77D227D9">
      <w:pPr>
        <w:pStyle w:val="5"/>
        <w:spacing w:line="500" w:lineRule="exact"/>
        <w:rPr>
          <w:rFonts w:ascii="Times New Roman" w:hAnsi="Times New Roman" w:eastAsia="方正仿宋_GBK"/>
          <w:sz w:val="28"/>
          <w:szCs w:val="28"/>
        </w:rPr>
      </w:pPr>
    </w:p>
    <w:p w14:paraId="45EC9874">
      <w:pPr>
        <w:pStyle w:val="5"/>
        <w:spacing w:line="500" w:lineRule="exact"/>
        <w:rPr>
          <w:rFonts w:ascii="Times New Roman" w:hAnsi="Times New Roman" w:eastAsia="方正仿宋_GBK"/>
          <w:sz w:val="28"/>
          <w:szCs w:val="28"/>
        </w:rPr>
      </w:pPr>
    </w:p>
    <w:p w14:paraId="418BBDF0">
      <w:pPr>
        <w:pStyle w:val="5"/>
        <w:spacing w:line="500" w:lineRule="exact"/>
        <w:rPr>
          <w:rFonts w:ascii="Times New Roman" w:hAnsi="Times New Roman" w:eastAsia="方正仿宋_GBK"/>
          <w:sz w:val="28"/>
          <w:szCs w:val="28"/>
        </w:rPr>
      </w:pPr>
    </w:p>
    <w:p w14:paraId="0CB5E937">
      <w:pPr>
        <w:pStyle w:val="5"/>
        <w:spacing w:line="500" w:lineRule="exact"/>
        <w:rPr>
          <w:rFonts w:hint="eastAsia" w:ascii="Times New Roman" w:hAnsi="Times New Roman" w:eastAsia="方正仿宋_GBK"/>
          <w:sz w:val="28"/>
          <w:szCs w:val="28"/>
        </w:rPr>
      </w:pPr>
    </w:p>
    <w:p w14:paraId="6213D432">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BD5E78">
      <w:pPr>
        <w:pStyle w:val="5"/>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黔江区2026年“四好农村路”建设项目沙坝镇脉东社区2组</w:t>
      </w:r>
    </w:p>
    <w:p w14:paraId="13BCC5E7">
      <w:pPr>
        <w:pStyle w:val="5"/>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老鹰岩至王岗青林道路硬化工程投资估算表</w:t>
      </w:r>
    </w:p>
    <w:p w14:paraId="52D1AB2F">
      <w:pPr>
        <w:pStyle w:val="5"/>
        <w:jc w:val="center"/>
        <w:rPr>
          <w:rFonts w:hint="eastAsia" w:ascii="方正黑体_GBK" w:hAnsi="方正黑体_GBK" w:eastAsia="方正黑体_GBK" w:cs="方正黑体_GBK"/>
          <w:sz w:val="32"/>
          <w:szCs w:val="32"/>
        </w:rPr>
      </w:pPr>
    </w:p>
    <w:tbl>
      <w:tblPr>
        <w:tblStyle w:val="10"/>
        <w:tblW w:w="89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2"/>
        <w:gridCol w:w="5850"/>
        <w:gridCol w:w="2115"/>
      </w:tblGrid>
      <w:tr w14:paraId="6913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60AA6A1">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850" w:type="dxa"/>
            <w:tcBorders>
              <w:top w:val="single" w:color="000000" w:sz="4" w:space="0"/>
              <w:left w:val="single" w:color="000000" w:sz="4" w:space="0"/>
              <w:bottom w:val="single" w:color="000000" w:sz="4" w:space="0"/>
              <w:right w:val="single" w:color="000000" w:sz="4" w:space="0"/>
            </w:tcBorders>
            <w:noWrap w:val="0"/>
            <w:vAlign w:val="center"/>
          </w:tcPr>
          <w:p w14:paraId="28D0482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A28528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60F0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CC3F06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850" w:type="dxa"/>
            <w:tcBorders>
              <w:top w:val="single" w:color="000000" w:sz="4" w:space="0"/>
              <w:left w:val="single" w:color="000000" w:sz="4" w:space="0"/>
              <w:bottom w:val="single" w:color="000000" w:sz="4" w:space="0"/>
              <w:right w:val="single" w:color="000000" w:sz="4" w:space="0"/>
            </w:tcBorders>
            <w:noWrap w:val="0"/>
            <w:vAlign w:val="center"/>
          </w:tcPr>
          <w:p w14:paraId="4639AB7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73BF94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75.63 </w:t>
            </w:r>
          </w:p>
        </w:tc>
      </w:tr>
      <w:tr w14:paraId="7249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exact"/>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4F7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33978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黔江区2026年“四好农村路”建设项目沙坝镇脉东社区2组老鹰岩至王岗青林道路硬化工程</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7E39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75.63 </w:t>
            </w:r>
          </w:p>
        </w:tc>
      </w:tr>
      <w:tr w14:paraId="0E17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28AAAB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850" w:type="dxa"/>
            <w:tcBorders>
              <w:top w:val="single" w:color="000000" w:sz="4" w:space="0"/>
              <w:left w:val="single" w:color="000000" w:sz="4" w:space="0"/>
              <w:bottom w:val="single" w:color="000000" w:sz="4" w:space="0"/>
              <w:right w:val="single" w:color="000000" w:sz="4" w:space="0"/>
            </w:tcBorders>
            <w:noWrap w:val="0"/>
            <w:vAlign w:val="center"/>
          </w:tcPr>
          <w:p w14:paraId="1AC17D4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7C1006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4.09 </w:t>
            </w:r>
          </w:p>
        </w:tc>
      </w:tr>
      <w:tr w14:paraId="4127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717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8DFCF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D312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1.77 </w:t>
            </w:r>
          </w:p>
        </w:tc>
      </w:tr>
      <w:tr w14:paraId="4C64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702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5630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38CC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1.96 </w:t>
            </w:r>
          </w:p>
        </w:tc>
      </w:tr>
      <w:tr w14:paraId="4E2D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187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A6BFC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29A1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0.06 </w:t>
            </w:r>
          </w:p>
        </w:tc>
      </w:tr>
      <w:tr w14:paraId="6C55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F51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DA853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0355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0.30 </w:t>
            </w:r>
          </w:p>
        </w:tc>
      </w:tr>
      <w:tr w14:paraId="3E0B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AF1A7F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850" w:type="dxa"/>
            <w:tcBorders>
              <w:top w:val="single" w:color="000000" w:sz="4" w:space="0"/>
              <w:left w:val="single" w:color="000000" w:sz="4" w:space="0"/>
              <w:bottom w:val="single" w:color="000000" w:sz="4" w:space="0"/>
              <w:right w:val="single" w:color="000000" w:sz="4" w:space="0"/>
            </w:tcBorders>
            <w:noWrap w:val="0"/>
            <w:vAlign w:val="center"/>
          </w:tcPr>
          <w:p w14:paraId="0338875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2BE889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2.39 </w:t>
            </w:r>
          </w:p>
        </w:tc>
      </w:tr>
      <w:tr w14:paraId="7899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6E4A08A">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850" w:type="dxa"/>
            <w:tcBorders>
              <w:top w:val="single" w:color="000000" w:sz="4" w:space="0"/>
              <w:left w:val="single" w:color="000000" w:sz="4" w:space="0"/>
              <w:bottom w:val="single" w:color="000000" w:sz="4" w:space="0"/>
              <w:right w:val="single" w:color="000000" w:sz="4" w:space="0"/>
            </w:tcBorders>
            <w:noWrap w:val="0"/>
            <w:vAlign w:val="center"/>
          </w:tcPr>
          <w:p w14:paraId="2C9B896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6FA39E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82.11</w:t>
            </w:r>
          </w:p>
        </w:tc>
      </w:tr>
    </w:tbl>
    <w:p w14:paraId="0555D95B">
      <w:pPr>
        <w:pStyle w:val="5"/>
        <w:rPr>
          <w:rFonts w:hint="eastAsia" w:ascii="方正黑体_GBK" w:hAnsi="方正黑体_GBK" w:eastAsia="方正黑体_GBK" w:cs="方正黑体_GBK"/>
          <w:sz w:val="32"/>
          <w:szCs w:val="32"/>
        </w:rPr>
      </w:pPr>
    </w:p>
    <w:p w14:paraId="4D576834">
      <w:pPr>
        <w:pStyle w:val="2"/>
        <w:rPr>
          <w:rFonts w:hint="eastAsia" w:eastAsia="宋体"/>
          <w:lang w:eastAsia="zh-CN"/>
        </w:rPr>
      </w:pPr>
    </w:p>
    <w:p w14:paraId="1363451B">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eastAsia="宋体"/>
          <w:lang w:eastAsia="zh-CN"/>
        </w:rPr>
      </w:pPr>
    </w:p>
    <w:p w14:paraId="029E158A">
      <w:pPr>
        <w:pStyle w:val="2"/>
        <w:rPr>
          <w:rFonts w:hint="eastAsia" w:eastAsia="宋体"/>
          <w:lang w:eastAsia="zh-CN"/>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1</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51FD1797-73A0-4F15-A431-1D92FAF8F1A9}"/>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25F7E22D-D3A1-426D-9944-04701F293FB0}"/>
  </w:font>
  <w:font w:name="方正楷体_GBK">
    <w:panose1 w:val="03000509000000000000"/>
    <w:charset w:val="86"/>
    <w:family w:val="auto"/>
    <w:pitch w:val="default"/>
    <w:sig w:usb0="00000001" w:usb1="080E0000" w:usb2="00000000" w:usb3="00000000" w:csb0="00040000" w:csb1="00000000"/>
    <w:embedRegular r:id="rId3" w:fontKey="{7193F699-E57C-4B22-88A6-B99FD5F3E37A}"/>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868FA060-9360-426B-8949-B8240FE2F7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1FEE"/>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6D7B85"/>
    <w:rsid w:val="04BB474E"/>
    <w:rsid w:val="08107DC8"/>
    <w:rsid w:val="09FA769E"/>
    <w:rsid w:val="0B7A378A"/>
    <w:rsid w:val="0C443D5D"/>
    <w:rsid w:val="0C4A4FFD"/>
    <w:rsid w:val="0CFC0645"/>
    <w:rsid w:val="0D37421D"/>
    <w:rsid w:val="0E090617"/>
    <w:rsid w:val="119A3908"/>
    <w:rsid w:val="130467CA"/>
    <w:rsid w:val="140137CB"/>
    <w:rsid w:val="14423DE3"/>
    <w:rsid w:val="14CA633F"/>
    <w:rsid w:val="15636F5B"/>
    <w:rsid w:val="1695469E"/>
    <w:rsid w:val="175C5702"/>
    <w:rsid w:val="181B2628"/>
    <w:rsid w:val="193E59D1"/>
    <w:rsid w:val="1A261065"/>
    <w:rsid w:val="1F013809"/>
    <w:rsid w:val="1F950368"/>
    <w:rsid w:val="1FF64E71"/>
    <w:rsid w:val="208F215E"/>
    <w:rsid w:val="240E783E"/>
    <w:rsid w:val="250D18ED"/>
    <w:rsid w:val="25195CAD"/>
    <w:rsid w:val="254A0970"/>
    <w:rsid w:val="25922771"/>
    <w:rsid w:val="27F93F48"/>
    <w:rsid w:val="28D139F4"/>
    <w:rsid w:val="2AD46A97"/>
    <w:rsid w:val="2DA1246C"/>
    <w:rsid w:val="2F7B047E"/>
    <w:rsid w:val="31A87524"/>
    <w:rsid w:val="32B06690"/>
    <w:rsid w:val="37A75B88"/>
    <w:rsid w:val="39705D78"/>
    <w:rsid w:val="397671E0"/>
    <w:rsid w:val="3C1557B6"/>
    <w:rsid w:val="3DF02037"/>
    <w:rsid w:val="3E011B99"/>
    <w:rsid w:val="3EF47EDA"/>
    <w:rsid w:val="3F27452A"/>
    <w:rsid w:val="3FB84DD6"/>
    <w:rsid w:val="40537816"/>
    <w:rsid w:val="40A351EE"/>
    <w:rsid w:val="47DB5B06"/>
    <w:rsid w:val="487D33E1"/>
    <w:rsid w:val="4EC477AE"/>
    <w:rsid w:val="4F735634"/>
    <w:rsid w:val="4FFB4CF6"/>
    <w:rsid w:val="5130612A"/>
    <w:rsid w:val="534E1E00"/>
    <w:rsid w:val="53DA4EC3"/>
    <w:rsid w:val="555A2A20"/>
    <w:rsid w:val="5726180C"/>
    <w:rsid w:val="57A8352A"/>
    <w:rsid w:val="58B55EFF"/>
    <w:rsid w:val="5A6A3D0A"/>
    <w:rsid w:val="5F75634D"/>
    <w:rsid w:val="5FCF3911"/>
    <w:rsid w:val="5FFE1A79"/>
    <w:rsid w:val="61404AB6"/>
    <w:rsid w:val="616F605C"/>
    <w:rsid w:val="63190D5F"/>
    <w:rsid w:val="653B0AE4"/>
    <w:rsid w:val="66560D21"/>
    <w:rsid w:val="678D70A8"/>
    <w:rsid w:val="685D3010"/>
    <w:rsid w:val="69A54713"/>
    <w:rsid w:val="6A143A55"/>
    <w:rsid w:val="6A1D3904"/>
    <w:rsid w:val="6A6C1DE8"/>
    <w:rsid w:val="6AF30A16"/>
    <w:rsid w:val="6BAE6A0F"/>
    <w:rsid w:val="6C68355C"/>
    <w:rsid w:val="6CE440E0"/>
    <w:rsid w:val="6DAE50AD"/>
    <w:rsid w:val="6EF05082"/>
    <w:rsid w:val="6EF61234"/>
    <w:rsid w:val="6F321C00"/>
    <w:rsid w:val="71D92335"/>
    <w:rsid w:val="72141C90"/>
    <w:rsid w:val="732C4748"/>
    <w:rsid w:val="74BA4923"/>
    <w:rsid w:val="764E6BC5"/>
    <w:rsid w:val="77E85551"/>
    <w:rsid w:val="78624336"/>
    <w:rsid w:val="79052133"/>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995</Words>
  <Characters>1116</Characters>
  <Lines>11</Lines>
  <Paragraphs>3</Paragraphs>
  <TotalTime>3</TotalTime>
  <ScaleCrop>false</ScaleCrop>
  <LinksUpToDate>false</LinksUpToDate>
  <CharactersWithSpaces>2310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2026-05-08T08:11:00Z</cp:lastPrinted>
  <dcterms:modified xsi:type="dcterms:W3CDTF">2026-06-01T02:03:44Z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