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177</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1CF24648">
      <w:pPr>
        <w:keepNext w:val="0"/>
        <w:keepLines w:val="0"/>
        <w:pageBreakBefore w:val="0"/>
        <w:kinsoku/>
        <w:wordWrap/>
        <w:overflowPunct/>
        <w:topLinePunct w:val="0"/>
        <w:bidi w:val="0"/>
        <w:snapToGrid w:val="0"/>
        <w:spacing w:line="575" w:lineRule="exact"/>
        <w:ind w:firstLine="200"/>
        <w:jc w:val="center"/>
        <w:textAlignment w:val="auto"/>
        <w:rPr>
          <w:rFonts w:eastAsia="方正小标宋_GBK"/>
          <w:sz w:val="44"/>
          <w:szCs w:val="44"/>
        </w:rPr>
      </w:pPr>
      <w:r>
        <w:rPr>
          <w:rFonts w:eastAsia="方正小标宋_GBK"/>
          <w:sz w:val="44"/>
          <w:szCs w:val="44"/>
        </w:rPr>
        <w:t>关于黔江区2026年</w:t>
      </w:r>
      <w:r>
        <w:rPr>
          <w:rFonts w:hint="eastAsia" w:ascii="方正小标宋_GBK" w:hAnsi="方正小标宋_GBK" w:eastAsia="方正小标宋_GBK" w:cs="方正小标宋_GBK"/>
          <w:sz w:val="44"/>
          <w:szCs w:val="44"/>
        </w:rPr>
        <w:t>“四好农村路”</w:t>
      </w:r>
      <w:r>
        <w:rPr>
          <w:rFonts w:eastAsia="方正小标宋_GBK"/>
          <w:sz w:val="44"/>
          <w:szCs w:val="44"/>
        </w:rPr>
        <w:t>建设项目</w:t>
      </w:r>
    </w:p>
    <w:p w14:paraId="0696BB10">
      <w:pPr>
        <w:keepNext w:val="0"/>
        <w:keepLines w:val="0"/>
        <w:pageBreakBefore w:val="0"/>
        <w:kinsoku/>
        <w:wordWrap/>
        <w:overflowPunct/>
        <w:topLinePunct w:val="0"/>
        <w:bidi w:val="0"/>
        <w:snapToGrid w:val="0"/>
        <w:spacing w:line="575" w:lineRule="exact"/>
        <w:ind w:firstLine="200"/>
        <w:jc w:val="center"/>
        <w:textAlignment w:val="auto"/>
        <w:rPr>
          <w:rFonts w:eastAsia="方正小标宋_GBK"/>
          <w:sz w:val="44"/>
          <w:szCs w:val="44"/>
        </w:rPr>
      </w:pPr>
      <w:r>
        <w:rPr>
          <w:rFonts w:eastAsia="方正小标宋_GBK"/>
          <w:sz w:val="44"/>
          <w:szCs w:val="44"/>
        </w:rPr>
        <w:t>白土乡安堡村便民服务中心至陶家垭口公路拓宽工程</w:t>
      </w:r>
      <w:r>
        <w:rPr>
          <w:rFonts w:hint="eastAsia" w:eastAsia="方正小标宋_GBK"/>
          <w:sz w:val="44"/>
          <w:szCs w:val="44"/>
        </w:rPr>
        <w:t>可行性研究报告</w:t>
      </w:r>
      <w:r>
        <w:rPr>
          <w:rFonts w:eastAsia="方正小标宋_GBK"/>
          <w:sz w:val="44"/>
          <w:szCs w:val="44"/>
        </w:rPr>
        <w:t>的批复</w:t>
      </w:r>
    </w:p>
    <w:p w14:paraId="07E68395">
      <w:pPr>
        <w:keepNext w:val="0"/>
        <w:keepLines w:val="0"/>
        <w:pageBreakBefore w:val="0"/>
        <w:kinsoku/>
        <w:wordWrap/>
        <w:overflowPunct/>
        <w:topLinePunct w:val="0"/>
        <w:bidi w:val="0"/>
        <w:spacing w:line="575" w:lineRule="exact"/>
        <w:textAlignment w:val="auto"/>
        <w:rPr>
          <w:szCs w:val="32"/>
        </w:rPr>
      </w:pPr>
    </w:p>
    <w:p w14:paraId="1ACD6FE0">
      <w:pPr>
        <w:keepNext w:val="0"/>
        <w:keepLines w:val="0"/>
        <w:pageBreakBefore w:val="0"/>
        <w:kinsoku/>
        <w:wordWrap/>
        <w:overflowPunct/>
        <w:topLinePunct w:val="0"/>
        <w:bidi w:val="0"/>
        <w:spacing w:line="575" w:lineRule="exact"/>
        <w:textAlignment w:val="auto"/>
        <w:rPr>
          <w:rFonts w:eastAsia="方正仿宋_GBK"/>
          <w:sz w:val="32"/>
          <w:szCs w:val="32"/>
        </w:rPr>
      </w:pPr>
      <w:r>
        <w:rPr>
          <w:rFonts w:hint="eastAsia" w:eastAsia="方正仿宋_GBK"/>
          <w:sz w:val="32"/>
          <w:szCs w:val="32"/>
          <w:lang w:eastAsia="zh-CN"/>
        </w:rPr>
        <w:t>黔江区白土乡人民政府</w:t>
      </w:r>
      <w:r>
        <w:rPr>
          <w:rFonts w:eastAsia="方正仿宋_GBK"/>
          <w:sz w:val="32"/>
          <w:szCs w:val="32"/>
        </w:rPr>
        <w:t>：</w:t>
      </w:r>
    </w:p>
    <w:p w14:paraId="4DD25B39">
      <w:pPr>
        <w:pStyle w:val="11"/>
        <w:keepNext w:val="0"/>
        <w:keepLines w:val="0"/>
        <w:pageBreakBefore w:val="0"/>
        <w:widowControl/>
        <w:suppressLineNumbers w:val="0"/>
        <w:kinsoku/>
        <w:wordWrap/>
        <w:overflowPunct/>
        <w:topLinePunct w:val="0"/>
        <w:bidi w:val="0"/>
        <w:spacing w:before="0" w:beforeAutospacing="0" w:after="0" w:afterAutospacing="0" w:line="575" w:lineRule="exact"/>
        <w:ind w:left="0" w:right="0" w:firstLine="640"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val="en-US" w:eastAsia="zh-CN" w:bidi="ar-SA"/>
        </w:rPr>
        <w:t>你单位《关于审批黔江</w:t>
      </w:r>
      <w:r>
        <w:rPr>
          <w:rFonts w:hint="default" w:ascii="Times New Roman" w:hAnsi="Times New Roman" w:eastAsia="方正仿宋_GBK" w:cs="Times New Roman"/>
          <w:kern w:val="2"/>
          <w:sz w:val="32"/>
          <w:szCs w:val="32"/>
          <w:lang w:val="en-US" w:eastAsia="zh-CN" w:bidi="ar-SA"/>
        </w:rPr>
        <w:t>区2026年</w:t>
      </w:r>
      <w:r>
        <w:rPr>
          <w:rFonts w:hint="eastAsia" w:ascii="方正仿宋_GBK" w:hAnsi="方正仿宋_GBK" w:eastAsia="方正仿宋_GBK" w:cs="方正仿宋_GBK"/>
          <w:kern w:val="2"/>
          <w:sz w:val="32"/>
          <w:szCs w:val="32"/>
          <w:lang w:val="en-US" w:eastAsia="zh-CN" w:bidi="ar-SA"/>
        </w:rPr>
        <w:t>“四好农村路”建设项目白土乡安堡村便民服务中心至陶家垭口公路拓宽工程可行性研究报告的</w:t>
      </w:r>
      <w:bookmarkStart w:id="1" w:name="_GoBack"/>
      <w:bookmarkEnd w:id="1"/>
      <w:r>
        <w:rPr>
          <w:rFonts w:hint="eastAsia" w:ascii="方正仿宋_GBK" w:hAnsi="方正仿宋_GBK" w:eastAsia="方正仿宋_GBK" w:cs="方正仿宋_GBK"/>
          <w:kern w:val="2"/>
          <w:sz w:val="32"/>
          <w:szCs w:val="32"/>
          <w:lang w:val="en-US" w:eastAsia="zh-CN" w:bidi="ar-SA"/>
        </w:rPr>
        <w:t>函》（白土府函</w:t>
      </w:r>
      <w:r>
        <w:rPr>
          <w:rFonts w:hint="default" w:ascii="Times New Roman" w:hAnsi="Times New Roman" w:eastAsia="方正仿宋_GBK" w:cs="Times New Roman"/>
          <w:kern w:val="2"/>
          <w:sz w:val="32"/>
          <w:szCs w:val="32"/>
          <w:lang w:val="en-US" w:eastAsia="zh-CN" w:bidi="ar-SA"/>
        </w:rPr>
        <w:t>〔2026〕28</w:t>
      </w:r>
      <w:r>
        <w:rPr>
          <w:rFonts w:hint="eastAsia" w:ascii="方正仿宋_GBK" w:hAnsi="方正仿宋_GBK" w:eastAsia="方正仿宋_GBK" w:cs="方正仿宋_GBK"/>
          <w:kern w:val="2"/>
          <w:sz w:val="32"/>
          <w:szCs w:val="32"/>
          <w:lang w:val="en-US" w:eastAsia="zh-CN" w:bidi="ar-SA"/>
        </w:rPr>
        <w:t>号）收悉。结合黔江区政府投资项目前期工作服务中心的评审意见，经研究，同意实施黔江</w:t>
      </w:r>
      <w:r>
        <w:rPr>
          <w:rFonts w:hint="default" w:ascii="Times New Roman" w:hAnsi="Times New Roman" w:eastAsia="方正仿宋_GBK" w:cs="Times New Roman"/>
          <w:kern w:val="2"/>
          <w:sz w:val="32"/>
          <w:szCs w:val="32"/>
          <w:lang w:val="en-US" w:eastAsia="zh-CN" w:bidi="ar-SA"/>
        </w:rPr>
        <w:t>区2026年</w:t>
      </w:r>
      <w:r>
        <w:rPr>
          <w:rFonts w:hint="eastAsia" w:ascii="方正仿宋_GBK" w:hAnsi="方正仿宋_GBK" w:eastAsia="方正仿宋_GBK" w:cs="方正仿宋_GBK"/>
          <w:kern w:val="2"/>
          <w:sz w:val="32"/>
          <w:szCs w:val="32"/>
          <w:lang w:val="en-US" w:eastAsia="zh-CN" w:bidi="ar-SA"/>
        </w:rPr>
        <w:t>“四好农村路”建设项目白土乡安堡村便民服务中心至陶家垭口公路拓宽工程（项目代码：</w:t>
      </w:r>
      <w:r>
        <w:rPr>
          <w:rFonts w:hint="default" w:ascii="Times New Roman" w:hAnsi="Times New Roman" w:eastAsia="方正仿宋_GBK" w:cs="Times New Roman"/>
          <w:kern w:val="2"/>
          <w:sz w:val="32"/>
          <w:szCs w:val="32"/>
          <w:lang w:val="en-US" w:eastAsia="zh-CN" w:bidi="ar-SA"/>
        </w:rPr>
        <w:t>2605</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500114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01</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897495）</w:t>
      </w:r>
      <w:r>
        <w:rPr>
          <w:rFonts w:hint="eastAsia" w:ascii="方正仿宋_GBK" w:hAnsi="方正仿宋_GBK" w:eastAsia="方正仿宋_GBK" w:cs="方正仿宋_GBK"/>
          <w:kern w:val="2"/>
          <w:sz w:val="32"/>
          <w:szCs w:val="32"/>
          <w:lang w:val="en-US" w:eastAsia="zh-CN" w:bidi="ar-SA"/>
        </w:rPr>
        <w:t xml:space="preserve">。现将项目可行性研究报告批复如下：                                                           </w:t>
      </w:r>
      <w:r>
        <w:rPr>
          <w:rFonts w:hint="eastAsia" w:ascii="方正仿宋_GBK" w:hAnsi="方正仿宋_GBK" w:eastAsia="方正仿宋_GBK" w:cs="方正仿宋_GBK"/>
          <w:szCs w:val="32"/>
          <w:lang w:val="en-US" w:eastAsia="zh-CN"/>
        </w:rPr>
        <w:t xml:space="preserve">                                                                                                                                                                                                                                                                                                                                                                                                                                                                                                                                                                                                                                                                                                                                                                                                                                                                                                                                                                                                                    </w:t>
      </w:r>
    </w:p>
    <w:p w14:paraId="09AEE14C">
      <w:pPr>
        <w:keepNext w:val="0"/>
        <w:keepLines w:val="0"/>
        <w:pageBreakBefore w:val="0"/>
        <w:numPr>
          <w:ilvl w:val="0"/>
          <w:numId w:val="0"/>
        </w:numPr>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rPr>
        <w:t>项目法人</w:t>
      </w:r>
      <w:r>
        <w:rPr>
          <w:rFonts w:hint="eastAsia" w:ascii="方正仿宋_GBK" w:hAnsi="方正仿宋_GBK" w:eastAsia="方正仿宋_GBK" w:cs="方正仿宋_GBK"/>
          <w:kern w:val="2"/>
          <w:sz w:val="32"/>
          <w:szCs w:val="32"/>
          <w:lang w:val="en-US" w:eastAsia="zh-CN" w:bidi="ar-SA"/>
        </w:rPr>
        <w:t>：黔江区白土乡人民政府</w:t>
      </w:r>
    </w:p>
    <w:p w14:paraId="0A92A3CF">
      <w:pPr>
        <w:keepNext w:val="0"/>
        <w:keepLines w:val="0"/>
        <w:pageBreakBefore w:val="0"/>
        <w:numPr>
          <w:ilvl w:val="0"/>
          <w:numId w:val="0"/>
        </w:numPr>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白土乡</w:t>
      </w:r>
    </w:p>
    <w:p w14:paraId="3FAE1F2C">
      <w:pPr>
        <w:keepNext w:val="0"/>
        <w:keepLines w:val="0"/>
        <w:pageBreakBefore w:val="0"/>
        <w:kinsoku/>
        <w:wordWrap/>
        <w:overflowPunct/>
        <w:topLinePunct w:val="0"/>
        <w:autoSpaceDE w:val="0"/>
        <w:autoSpaceDN w:val="0"/>
        <w:bidi w:val="0"/>
        <w:adjustRightInd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：项目路线全长</w:t>
      </w:r>
      <w:r>
        <w:rPr>
          <w:rFonts w:hint="default" w:ascii="Times New Roman" w:hAnsi="Times New Roman" w:eastAsia="方正仿宋_GBK" w:cs="Times New Roman"/>
          <w:kern w:val="2"/>
          <w:sz w:val="32"/>
          <w:szCs w:val="32"/>
          <w:lang w:val="en-US" w:eastAsia="zh-CN" w:bidi="ar-SA"/>
        </w:rPr>
        <w:t>4.5公里，路线起点起于白土乡安堡村陶家垭口，途径大树坪、庙子坪、猴李树坪，止于白土乡安堡村活动室。根据现场地质情况及调查时土地协调情况进行拓宽改造，增设错车道，并对加宽路段铺设20厘米厚C25</w:t>
      </w:r>
      <w:r>
        <w:rPr>
          <w:rFonts w:hint="eastAsia" w:ascii="方正仿宋_GBK" w:hAnsi="方正仿宋_GBK" w:eastAsia="方正仿宋_GBK" w:cs="方正仿宋_GBK"/>
          <w:kern w:val="2"/>
          <w:sz w:val="32"/>
          <w:szCs w:val="32"/>
          <w:lang w:val="en-US" w:eastAsia="zh-CN" w:bidi="ar-SA"/>
        </w:rPr>
        <w:t>水泥混凝土路面。</w:t>
      </w:r>
    </w:p>
    <w:p w14:paraId="71D64D72">
      <w:pPr>
        <w:keepNext w:val="0"/>
        <w:keepLines w:val="0"/>
        <w:pageBreakBefore w:val="0"/>
        <w:kinsoku/>
        <w:wordWrap/>
        <w:overflowPunct/>
        <w:topLinePunct w:val="0"/>
        <w:bidi w:val="0"/>
        <w:spacing w:line="575"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7</w:t>
      </w:r>
      <w:r>
        <w:rPr>
          <w:rFonts w:eastAsia="方正仿宋_GBK"/>
          <w:sz w:val="32"/>
          <w:szCs w:val="32"/>
        </w:rPr>
        <w:t>个月。</w:t>
      </w:r>
    </w:p>
    <w:p w14:paraId="0D06D265">
      <w:pPr>
        <w:keepNext w:val="0"/>
        <w:keepLines w:val="0"/>
        <w:pageBreakBefore w:val="0"/>
        <w:kinsoku/>
        <w:wordWrap/>
        <w:overflowPunct/>
        <w:topLinePunct w:val="0"/>
        <w:autoSpaceDE w:val="0"/>
        <w:autoSpaceDN w:val="0"/>
        <w:bidi w:val="0"/>
        <w:adjustRightInd w:val="0"/>
        <w:spacing w:line="575" w:lineRule="exact"/>
        <w:ind w:firstLine="675" w:firstLineChars="211"/>
        <w:textAlignment w:val="auto"/>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黑体_GBK" w:cs="Times New Roman"/>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w:t>
      </w:r>
      <w:r>
        <w:rPr>
          <w:rFonts w:hint="default" w:ascii="Times New Roman" w:hAnsi="Times New Roman" w:eastAsia="方正仿宋_GBK" w:cs="Times New Roman"/>
          <w:kern w:val="2"/>
          <w:sz w:val="32"/>
          <w:szCs w:val="32"/>
          <w:lang w:val="en-US" w:eastAsia="zh-CN" w:bidi="ar-SA"/>
        </w:rPr>
        <w:t>算总投资129.65万元，其中：</w:t>
      </w:r>
      <w:bookmarkStart w:id="0" w:name="_Hlk133242824"/>
      <w:r>
        <w:rPr>
          <w:rFonts w:hint="default" w:ascii="Times New Roman" w:hAnsi="Times New Roman" w:eastAsia="方正仿宋_GBK" w:cs="Times New Roman"/>
          <w:kern w:val="2"/>
          <w:sz w:val="32"/>
          <w:szCs w:val="32"/>
          <w:lang w:val="en-US" w:eastAsia="zh-CN" w:bidi="ar-SA"/>
        </w:rPr>
        <w:t>工程费用118.30万元，</w:t>
      </w:r>
      <w:bookmarkEnd w:id="0"/>
      <w:r>
        <w:rPr>
          <w:rFonts w:hint="default" w:ascii="Times New Roman" w:hAnsi="Times New Roman" w:eastAsia="方正仿宋_GBK" w:cs="Times New Roman"/>
          <w:kern w:val="2"/>
          <w:sz w:val="32"/>
          <w:szCs w:val="32"/>
          <w:lang w:val="en-US" w:eastAsia="zh-CN" w:bidi="ar-SA"/>
        </w:rPr>
        <w:t>工程建设其他费7.57万元，基本预备费3.78万元。资金来源为</w:t>
      </w:r>
      <w:r>
        <w:rPr>
          <w:rFonts w:hint="eastAsia" w:ascii="方正仿宋_GBK" w:hAnsi="方正仿宋_GBK" w:eastAsia="方正仿宋_GBK" w:cs="方正仿宋_GBK"/>
          <w:kern w:val="2"/>
          <w:sz w:val="32"/>
          <w:szCs w:val="32"/>
          <w:lang w:val="en-US" w:eastAsia="zh-CN" w:bidi="ar-SA"/>
        </w:rPr>
        <w:t>中央专项补助资金，不足部分由业主自筹。</w:t>
      </w:r>
    </w:p>
    <w:p w14:paraId="500D4E3C">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27EFC508">
      <w:pPr>
        <w:pStyle w:val="6"/>
        <w:keepNext w:val="0"/>
        <w:keepLines w:val="0"/>
        <w:pageBreakBefore w:val="0"/>
        <w:kinsoku/>
        <w:wordWrap/>
        <w:overflowPunct/>
        <w:topLinePunct w:val="0"/>
        <w:bidi w:val="0"/>
        <w:spacing w:line="575"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548E34D5">
      <w:pPr>
        <w:pStyle w:val="6"/>
        <w:keepNext w:val="0"/>
        <w:keepLines w:val="0"/>
        <w:pageBreakBefore w:val="0"/>
        <w:kinsoku/>
        <w:wordWrap/>
        <w:overflowPunct/>
        <w:topLinePunct w:val="0"/>
        <w:bidi w:val="0"/>
        <w:spacing w:line="575" w:lineRule="exact"/>
        <w:ind w:firstLine="640" w:firstLineChars="200"/>
        <w:textAlignment w:val="auto"/>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（一）</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请你</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单位根据本批复，结合项目可行性研究报告评估意见，抓紧开展下步工作。要严格执行项目法人责任制、招标投标制、工程监理制、合同管理制，严格控制工程投资标准，防止工程超过审定投资。</w:t>
      </w:r>
    </w:p>
    <w:p w14:paraId="22B984AF">
      <w:pPr>
        <w:keepNext w:val="0"/>
        <w:keepLines w:val="0"/>
        <w:pageBreakBefore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切实加</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25人，发放劳务报酬金额不得低于工程费用的20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7A17B723">
      <w:pPr>
        <w:pStyle w:val="6"/>
        <w:keepNext w:val="0"/>
        <w:keepLines w:val="0"/>
        <w:pageBreakBefore w:val="0"/>
        <w:kinsoku/>
        <w:wordWrap/>
        <w:overflowPunct/>
        <w:topLinePunct w:val="0"/>
        <w:bidi w:val="0"/>
        <w:spacing w:line="575" w:lineRule="exact"/>
        <w:textAlignment w:val="auto"/>
        <w:rPr>
          <w:rFonts w:hint="eastAsia" w:ascii="Times New Roman" w:hAnsi="Times New Roman" w:eastAsia="方正仿宋_GBK"/>
          <w:sz w:val="32"/>
          <w:szCs w:val="32"/>
        </w:rPr>
      </w:pPr>
    </w:p>
    <w:p w14:paraId="500F9C17">
      <w:pPr>
        <w:pStyle w:val="6"/>
        <w:keepNext w:val="0"/>
        <w:keepLines w:val="0"/>
        <w:pageBreakBefore w:val="0"/>
        <w:kinsoku/>
        <w:wordWrap/>
        <w:overflowPunct/>
        <w:topLinePunct w:val="0"/>
        <w:bidi w:val="0"/>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附件：黔江区2026年“四好农村路”建设项目白土乡安堡村便民服务中心至陶家垭口公路拓宽工</w:t>
      </w:r>
      <w:r>
        <w:rPr>
          <w:rFonts w:hint="eastAsia" w:ascii="Times New Roman" w:hAnsi="Times New Roman" w:eastAsia="方正仿宋_GBK"/>
          <w:sz w:val="32"/>
          <w:szCs w:val="32"/>
          <w:lang w:eastAsia="zh-CN"/>
        </w:rPr>
        <w:t>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537BB537">
      <w:pPr>
        <w:pStyle w:val="6"/>
        <w:spacing w:line="520" w:lineRule="exact"/>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7B4046ED">
      <w:pPr>
        <w:pStyle w:val="6"/>
        <w:spacing w:line="520" w:lineRule="exact"/>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0020860D">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6BB870E0">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6</w:t>
      </w:r>
      <w:r>
        <w:rPr>
          <w:rFonts w:eastAsia="方正仿宋_GBK"/>
        </w:rPr>
        <w:t>月</w:t>
      </w:r>
      <w:r>
        <w:rPr>
          <w:rFonts w:hint="eastAsia" w:eastAsia="方正仿宋_GBK"/>
          <w:lang w:val="en-US" w:eastAsia="zh-CN"/>
        </w:rPr>
        <w:t>12</w:t>
      </w:r>
      <w:r>
        <w:rPr>
          <w:rFonts w:eastAsia="方正仿宋_GBK"/>
        </w:rPr>
        <w:t>日</w:t>
      </w:r>
    </w:p>
    <w:p w14:paraId="53DEC391">
      <w:pPr>
        <w:pStyle w:val="4"/>
        <w:spacing w:line="500" w:lineRule="exact"/>
        <w:ind w:firstLine="640" w:firstLineChars="200"/>
        <w:rPr>
          <w:rFonts w:eastAsia="方正仿宋_GBK"/>
        </w:rPr>
      </w:pPr>
    </w:p>
    <w:p w14:paraId="311B569E">
      <w:pPr>
        <w:pStyle w:val="4"/>
        <w:spacing w:line="500" w:lineRule="exact"/>
        <w:ind w:firstLine="640" w:firstLineChars="200"/>
        <w:rPr>
          <w:rFonts w:eastAsia="方正仿宋_GBK"/>
        </w:rPr>
      </w:pPr>
    </w:p>
    <w:p w14:paraId="59E4DBF7">
      <w:pPr>
        <w:pStyle w:val="4"/>
        <w:spacing w:line="500" w:lineRule="exact"/>
        <w:ind w:firstLine="640" w:firstLineChars="200"/>
        <w:rPr>
          <w:rFonts w:eastAsia="方正仿宋_GBK"/>
        </w:rPr>
      </w:pPr>
    </w:p>
    <w:p w14:paraId="5F8DCCB4">
      <w:pPr>
        <w:pStyle w:val="4"/>
        <w:spacing w:line="500" w:lineRule="exact"/>
        <w:ind w:firstLine="640" w:firstLineChars="200"/>
        <w:rPr>
          <w:rFonts w:eastAsia="方正仿宋_GBK"/>
        </w:rPr>
      </w:pPr>
    </w:p>
    <w:p w14:paraId="10C079F0">
      <w:pPr>
        <w:pStyle w:val="4"/>
        <w:spacing w:line="500" w:lineRule="exact"/>
        <w:ind w:firstLine="640" w:firstLineChars="200"/>
        <w:rPr>
          <w:rFonts w:eastAsia="方正仿宋_GBK"/>
        </w:rPr>
      </w:pPr>
    </w:p>
    <w:p w14:paraId="3AFC16B8">
      <w:pPr>
        <w:pStyle w:val="4"/>
        <w:spacing w:line="500" w:lineRule="exact"/>
        <w:ind w:firstLine="640" w:firstLineChars="200"/>
        <w:rPr>
          <w:rFonts w:eastAsia="方正仿宋_GBK"/>
        </w:rPr>
      </w:pPr>
    </w:p>
    <w:p w14:paraId="351DE1D3">
      <w:pPr>
        <w:pStyle w:val="4"/>
        <w:spacing w:line="500" w:lineRule="exact"/>
        <w:ind w:firstLine="640" w:firstLineChars="200"/>
        <w:rPr>
          <w:rFonts w:eastAsia="方正仿宋_GBK"/>
        </w:rPr>
      </w:pPr>
    </w:p>
    <w:p w14:paraId="0A0F2569">
      <w:pPr>
        <w:pStyle w:val="4"/>
        <w:spacing w:line="500" w:lineRule="exact"/>
        <w:ind w:firstLine="640" w:firstLineChars="200"/>
        <w:rPr>
          <w:rFonts w:eastAsia="方正仿宋_GBK"/>
        </w:rPr>
      </w:pPr>
    </w:p>
    <w:p w14:paraId="1C439783">
      <w:pPr>
        <w:pStyle w:val="4"/>
        <w:spacing w:line="500" w:lineRule="exact"/>
        <w:ind w:firstLine="640" w:firstLineChars="200"/>
        <w:rPr>
          <w:rFonts w:eastAsia="方正仿宋_GBK"/>
        </w:rPr>
      </w:pPr>
    </w:p>
    <w:p w14:paraId="6528FE76">
      <w:pPr>
        <w:pStyle w:val="4"/>
        <w:spacing w:line="500" w:lineRule="exact"/>
        <w:ind w:firstLine="640" w:firstLineChars="200"/>
        <w:rPr>
          <w:rFonts w:eastAsia="方正仿宋_GBK"/>
        </w:rPr>
      </w:pPr>
    </w:p>
    <w:p w14:paraId="5376E177">
      <w:pPr>
        <w:pStyle w:val="4"/>
        <w:spacing w:line="500" w:lineRule="exact"/>
        <w:ind w:firstLine="640" w:firstLineChars="200"/>
        <w:rPr>
          <w:rFonts w:eastAsia="方正仿宋_GBK"/>
        </w:rPr>
      </w:pPr>
    </w:p>
    <w:p w14:paraId="3D8402F1">
      <w:pPr>
        <w:pStyle w:val="6"/>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56939581">
      <w:pPr>
        <w:pStyle w:val="6"/>
        <w:jc w:val="left"/>
        <w:rPr>
          <w:rFonts w:hint="eastAsia" w:ascii="方正黑体_GBK" w:hAnsi="方正黑体_GBK" w:eastAsia="方正黑体_GBK" w:cs="方正黑体_GBK"/>
          <w:sz w:val="32"/>
          <w:szCs w:val="32"/>
        </w:rPr>
      </w:pPr>
    </w:p>
    <w:p w14:paraId="07AAE567">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黔江区2026年“四好农村路”建设项目白土乡安堡村便民服务中心至陶家垭口公路拓宽工程投资估算表</w:t>
      </w:r>
    </w:p>
    <w:p w14:paraId="70ED8958">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2"/>
        <w:tblW w:w="896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7"/>
        <w:gridCol w:w="5835"/>
        <w:gridCol w:w="2055"/>
      </w:tblGrid>
      <w:tr w14:paraId="762F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C94BE0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324D4134">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5670BF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60D8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F2C928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37FD54E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67D324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118.30 </w:t>
            </w:r>
          </w:p>
        </w:tc>
      </w:tr>
      <w:tr w14:paraId="2E9A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618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91477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黔江区2026年“四好农村路”建设项目白土乡安堡村便民服务中心至陶家垭口公路拓宽工程</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83DF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118.30 </w:t>
            </w:r>
          </w:p>
        </w:tc>
      </w:tr>
      <w:tr w14:paraId="2DB1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547C377">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62C7630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0645E9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7.57 </w:t>
            </w:r>
          </w:p>
        </w:tc>
      </w:tr>
      <w:tr w14:paraId="46FD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1E8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9A2ED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73BA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3.63 </w:t>
            </w:r>
          </w:p>
        </w:tc>
      </w:tr>
      <w:tr w14:paraId="687F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F4F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C2D31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19CA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3.38 </w:t>
            </w:r>
          </w:p>
        </w:tc>
      </w:tr>
      <w:tr w14:paraId="676E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5F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D943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B28C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0.09 </w:t>
            </w:r>
          </w:p>
        </w:tc>
      </w:tr>
      <w:tr w14:paraId="0BE3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29C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8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17E1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1469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0.47 </w:t>
            </w:r>
          </w:p>
        </w:tc>
      </w:tr>
      <w:tr w14:paraId="3557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D49C55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614EDEB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1BD861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3.78 </w:t>
            </w:r>
          </w:p>
        </w:tc>
      </w:tr>
      <w:tr w14:paraId="5063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5CDF27B">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6921C24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703083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129.65</w:t>
            </w:r>
          </w:p>
        </w:tc>
      </w:tr>
    </w:tbl>
    <w:p w14:paraId="20EB08DC">
      <w:pPr>
        <w:pStyle w:val="6"/>
        <w:rPr>
          <w:rFonts w:hint="eastAsia" w:ascii="方正黑体_GBK" w:hAnsi="方正黑体_GBK" w:eastAsia="方正黑体_GBK" w:cs="方正黑体_GBK"/>
          <w:sz w:val="32"/>
          <w:szCs w:val="32"/>
        </w:rPr>
      </w:pPr>
    </w:p>
    <w:p w14:paraId="00230446">
      <w:pPr>
        <w:pStyle w:val="2"/>
        <w:rPr>
          <w:rFonts w:hint="eastAsia" w:eastAsia="宋体"/>
          <w:lang w:eastAsia="zh-CN"/>
        </w:rPr>
      </w:pPr>
    </w:p>
    <w:p w14:paraId="4288F261">
      <w:pPr>
        <w:pStyle w:val="3"/>
        <w:rPr>
          <w:rFonts w:hint="eastAsia" w:eastAsia="宋体"/>
          <w:lang w:eastAsia="zh-CN"/>
        </w:rPr>
      </w:pPr>
    </w:p>
    <w:p w14:paraId="029E158A">
      <w:pPr>
        <w:pStyle w:val="2"/>
        <w:rPr>
          <w:rFonts w:hint="eastAsia" w:eastAsia="宋体"/>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12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B4891D8A-8F32-4832-873F-AD2D6A255067}"/>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901CBAD0-344D-49FB-884E-C47C0780CC7B}"/>
  </w:font>
  <w:font w:name="方正楷体_GBK">
    <w:panose1 w:val="03000509000000000000"/>
    <w:charset w:val="86"/>
    <w:family w:val="auto"/>
    <w:pitch w:val="default"/>
    <w:sig w:usb0="00000001" w:usb1="080E0000" w:usb2="00000000" w:usb3="00000000" w:csb0="00040000" w:csb1="00000000"/>
    <w:embedRegular r:id="rId3" w:fontKey="{03897AF4-F5CE-4C81-9F64-30069E3BD888}"/>
  </w:font>
  <w:font w:name="方正小标宋_GBK">
    <w:panose1 w:val="03000509000000000000"/>
    <w:charset w:val="86"/>
    <w:family w:val="script"/>
    <w:pitch w:val="default"/>
    <w:sig w:usb0="00000001" w:usb1="080E0000" w:usb2="00000000" w:usb3="00000000" w:csb0="00040000" w:csb1="00000000"/>
    <w:embedRegular r:id="rId4" w:fontKey="{53BE41E2-5E3B-432F-8E5C-EB6CC59EC0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9"/>
      <w:framePr w:wrap="around" w:vAnchor="text" w:hAnchor="margin" w:xAlign="outside" w:y="1"/>
      <w:rPr>
        <w:rStyle w:val="14"/>
        <w:rFonts w:hint="eastAsia" w:ascii="宋体" w:hAnsi="宋体" w:cs="宋体"/>
        <w:sz w:val="28"/>
        <w:szCs w:val="28"/>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p w14:paraId="74BECCB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2DEE"/>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8107DC8"/>
    <w:rsid w:val="09FA769E"/>
    <w:rsid w:val="0B7A378A"/>
    <w:rsid w:val="0C443D5D"/>
    <w:rsid w:val="0C4A4FFD"/>
    <w:rsid w:val="0CFC0645"/>
    <w:rsid w:val="0D37421D"/>
    <w:rsid w:val="0E090617"/>
    <w:rsid w:val="10FE5AB9"/>
    <w:rsid w:val="119A3908"/>
    <w:rsid w:val="130467CA"/>
    <w:rsid w:val="140137CB"/>
    <w:rsid w:val="14423DE3"/>
    <w:rsid w:val="14CA633F"/>
    <w:rsid w:val="15636F5B"/>
    <w:rsid w:val="1695469E"/>
    <w:rsid w:val="175C5702"/>
    <w:rsid w:val="181B2628"/>
    <w:rsid w:val="193E59D1"/>
    <w:rsid w:val="1A261065"/>
    <w:rsid w:val="1F013809"/>
    <w:rsid w:val="1F950368"/>
    <w:rsid w:val="1FF64E71"/>
    <w:rsid w:val="208F215E"/>
    <w:rsid w:val="240E783E"/>
    <w:rsid w:val="250D18ED"/>
    <w:rsid w:val="25195CAD"/>
    <w:rsid w:val="254A0970"/>
    <w:rsid w:val="25922771"/>
    <w:rsid w:val="27F93F48"/>
    <w:rsid w:val="28D139F4"/>
    <w:rsid w:val="2AD46A97"/>
    <w:rsid w:val="2F7B047E"/>
    <w:rsid w:val="31A87524"/>
    <w:rsid w:val="32B06690"/>
    <w:rsid w:val="37A75B88"/>
    <w:rsid w:val="39705D78"/>
    <w:rsid w:val="397671E0"/>
    <w:rsid w:val="3E011B99"/>
    <w:rsid w:val="3EF47EDA"/>
    <w:rsid w:val="3F27452A"/>
    <w:rsid w:val="3FB84DD6"/>
    <w:rsid w:val="40537816"/>
    <w:rsid w:val="40A351EE"/>
    <w:rsid w:val="47DB5B06"/>
    <w:rsid w:val="487D33E1"/>
    <w:rsid w:val="4EC477AE"/>
    <w:rsid w:val="4F735634"/>
    <w:rsid w:val="4FFB4CF6"/>
    <w:rsid w:val="5130612A"/>
    <w:rsid w:val="534E1E00"/>
    <w:rsid w:val="53DA4EC3"/>
    <w:rsid w:val="555A2A20"/>
    <w:rsid w:val="5726180C"/>
    <w:rsid w:val="57A8352A"/>
    <w:rsid w:val="5A6A3D0A"/>
    <w:rsid w:val="5DB449D7"/>
    <w:rsid w:val="5F75634D"/>
    <w:rsid w:val="5FCF3911"/>
    <w:rsid w:val="5FFE1A79"/>
    <w:rsid w:val="616F605C"/>
    <w:rsid w:val="653B0AE4"/>
    <w:rsid w:val="66560D21"/>
    <w:rsid w:val="678D70A8"/>
    <w:rsid w:val="685D3010"/>
    <w:rsid w:val="69A54713"/>
    <w:rsid w:val="6A143A55"/>
    <w:rsid w:val="6A1D3904"/>
    <w:rsid w:val="6A6C1DE8"/>
    <w:rsid w:val="6AF30A16"/>
    <w:rsid w:val="6BA469D1"/>
    <w:rsid w:val="6BAE6A0F"/>
    <w:rsid w:val="6C68355C"/>
    <w:rsid w:val="6CE440E0"/>
    <w:rsid w:val="6D237483"/>
    <w:rsid w:val="6DAE50AD"/>
    <w:rsid w:val="6EF05082"/>
    <w:rsid w:val="6EF61234"/>
    <w:rsid w:val="6F321C00"/>
    <w:rsid w:val="71D92335"/>
    <w:rsid w:val="72141C90"/>
    <w:rsid w:val="732C4748"/>
    <w:rsid w:val="74BA4923"/>
    <w:rsid w:val="764E6BC5"/>
    <w:rsid w:val="77E85551"/>
    <w:rsid w:val="78624336"/>
    <w:rsid w:val="79052133"/>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2"/>
    <w:basedOn w:val="13"/>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3"/>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3"/>
    <w:qFormat/>
    <w:uiPriority w:val="0"/>
    <w:rPr>
      <w:rFonts w:ascii="方正仿宋_GBK" w:hAnsi="方正仿宋_GBK" w:eastAsia="方正仿宋_GBK" w:cs="方正仿宋_GBK"/>
      <w:color w:val="000000"/>
      <w:sz w:val="24"/>
      <w:szCs w:val="24"/>
      <w:u w:val="none"/>
    </w:rPr>
  </w:style>
  <w:style w:type="character" w:customStyle="1" w:styleId="30">
    <w:name w:val="font131"/>
    <w:basedOn w:val="13"/>
    <w:qFormat/>
    <w:uiPriority w:val="0"/>
    <w:rPr>
      <w:rFonts w:hint="eastAsia" w:ascii="方正仿宋_GBK" w:hAnsi="方正仿宋_GBK" w:eastAsia="方正仿宋_GBK" w:cs="方正仿宋_GBK"/>
      <w:color w:val="000000"/>
      <w:sz w:val="20"/>
      <w:szCs w:val="20"/>
      <w:u w:val="none"/>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1067</Words>
  <Characters>1181</Characters>
  <Lines>11</Lines>
  <Paragraphs>3</Paragraphs>
  <TotalTime>3</TotalTime>
  <ScaleCrop>false</ScaleCrop>
  <LinksUpToDate>false</LinksUpToDate>
  <CharactersWithSpaces>2359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2026-06-12T06:24:00Z</cp:lastPrinted>
  <dcterms:modified xsi:type="dcterms:W3CDTF">2026-06-12T07:42:13Z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