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F4746">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1312"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1312;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60288;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6433F6AC">
      <w:pPr>
        <w:tabs>
          <w:tab w:val="left" w:pos="8181"/>
          <w:tab w:val="left" w:pos="8733"/>
        </w:tabs>
        <w:spacing w:line="580" w:lineRule="exact"/>
        <w:ind w:right="-193" w:rightChars="-92" w:firstLine="160" w:firstLineChars="50"/>
        <w:rPr>
          <w:rFonts w:hint="eastAsia" w:eastAsia="方正仿宋_GBK"/>
          <w:sz w:val="32"/>
          <w:szCs w:val="32"/>
        </w:rPr>
      </w:pPr>
    </w:p>
    <w:p w14:paraId="2BA6BBF9">
      <w:pPr>
        <w:tabs>
          <w:tab w:val="left" w:pos="8181"/>
          <w:tab w:val="left" w:pos="8733"/>
        </w:tabs>
        <w:spacing w:line="580" w:lineRule="exact"/>
        <w:ind w:right="-193" w:rightChars="-92" w:firstLine="160" w:firstLineChars="50"/>
        <w:rPr>
          <w:rFonts w:hint="eastAsia" w:eastAsia="方正仿宋_GBK"/>
          <w:sz w:val="32"/>
          <w:szCs w:val="32"/>
        </w:rPr>
      </w:pPr>
    </w:p>
    <w:p w14:paraId="55916680">
      <w:pPr>
        <w:tabs>
          <w:tab w:val="left" w:pos="8181"/>
          <w:tab w:val="left" w:pos="8733"/>
        </w:tabs>
        <w:spacing w:line="580" w:lineRule="exact"/>
        <w:ind w:right="-193" w:rightChars="-92" w:firstLine="160" w:firstLineChars="50"/>
        <w:rPr>
          <w:rFonts w:hint="eastAsia" w:eastAsia="方正仿宋_GBK"/>
          <w:sz w:val="32"/>
          <w:szCs w:val="32"/>
        </w:rPr>
      </w:pPr>
    </w:p>
    <w:p w14:paraId="6F1C145D">
      <w:pPr>
        <w:tabs>
          <w:tab w:val="left" w:pos="8181"/>
          <w:tab w:val="left" w:pos="8733"/>
        </w:tabs>
        <w:spacing w:line="580" w:lineRule="exact"/>
        <w:ind w:right="-193" w:rightChars="-92" w:firstLine="160" w:firstLineChars="50"/>
        <w:rPr>
          <w:rFonts w:hint="eastAsia" w:eastAsia="方正仿宋_GBK"/>
          <w:sz w:val="32"/>
          <w:szCs w:val="32"/>
        </w:rPr>
      </w:pPr>
    </w:p>
    <w:p w14:paraId="20F2A9AC">
      <w:pPr>
        <w:keepNext w:val="0"/>
        <w:keepLines w:val="0"/>
        <w:pageBreakBefore w:val="0"/>
        <w:widowControl w:val="0"/>
        <w:tabs>
          <w:tab w:val="left" w:pos="8181"/>
          <w:tab w:val="left" w:pos="8733"/>
        </w:tabs>
        <w:kinsoku/>
        <w:wordWrap/>
        <w:overflowPunct/>
        <w:topLinePunct w:val="0"/>
        <w:autoSpaceDE/>
        <w:autoSpaceDN/>
        <w:bidi w:val="0"/>
        <w:adjustRightInd/>
        <w:snapToGrid/>
        <w:spacing w:line="400" w:lineRule="exact"/>
        <w:ind w:right="-193" w:rightChars="-92" w:firstLine="160" w:firstLineChars="50"/>
        <w:textAlignment w:val="auto"/>
        <w:rPr>
          <w:rFonts w:hint="eastAsia" w:eastAsia="方正仿宋_GBK"/>
          <w:sz w:val="32"/>
          <w:szCs w:val="32"/>
        </w:rPr>
      </w:pPr>
      <w:r>
        <w:rPr>
          <w:rFonts w:hint="eastAsia" w:eastAsia="方正仿宋_GBK"/>
          <w:sz w:val="32"/>
          <w:szCs w:val="32"/>
        </w:rPr>
        <w:t xml:space="preserve"> </w:t>
      </w:r>
    </w:p>
    <w:p w14:paraId="2390BC2F">
      <w:pPr>
        <w:tabs>
          <w:tab w:val="left" w:pos="8181"/>
          <w:tab w:val="left" w:pos="8733"/>
        </w:tabs>
        <w:spacing w:line="580" w:lineRule="exact"/>
        <w:ind w:right="-193" w:rightChars="-92" w:firstLine="160" w:firstLineChars="50"/>
        <w:rPr>
          <w:rFonts w:hint="eastAsia" w:eastAsia="方正仿宋_GBK"/>
          <w:sz w:val="32"/>
          <w:szCs w:val="32"/>
        </w:rPr>
      </w:pPr>
    </w:p>
    <w:p w14:paraId="7F06AB31">
      <w:pPr>
        <w:tabs>
          <w:tab w:val="left" w:pos="8181"/>
          <w:tab w:val="left" w:pos="8733"/>
        </w:tabs>
        <w:spacing w:line="200" w:lineRule="exact"/>
        <w:ind w:right="-193" w:rightChars="-92" w:firstLine="160" w:firstLineChars="50"/>
        <w:rPr>
          <w:rFonts w:hint="eastAsia" w:eastAsia="方正仿宋_GBK"/>
          <w:sz w:val="32"/>
          <w:szCs w:val="32"/>
        </w:rPr>
      </w:pPr>
    </w:p>
    <w:p w14:paraId="13D2010D">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195</w:t>
      </w:r>
      <w:r>
        <w:rPr>
          <w:rFonts w:eastAsia="方正仿宋_GBK"/>
          <w:sz w:val="32"/>
          <w:szCs w:val="32"/>
        </w:rPr>
        <w:t>号</w:t>
      </w:r>
    </w:p>
    <w:p w14:paraId="7CF4385E">
      <w:pPr>
        <w:spacing w:line="520" w:lineRule="exact"/>
        <w:rPr>
          <w:rFonts w:hint="eastAsia" w:eastAsia="方正仿宋_GBK"/>
          <w:sz w:val="32"/>
          <w:szCs w:val="32"/>
        </w:rPr>
      </w:pPr>
      <w:r>
        <w:rPr>
          <w:rFonts w:hint="eastAsia" w:eastAsia="方正仿宋_GBK"/>
          <w:sz w:val="32"/>
          <w:szCs w:val="32"/>
        </w:rPr>
        <w:t xml:space="preserve"> </w:t>
      </w:r>
    </w:p>
    <w:p w14:paraId="41DC9EB3">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eastAsia="方正仿宋_GBK"/>
          <w:sz w:val="32"/>
          <w:szCs w:val="32"/>
        </w:rPr>
      </w:pPr>
    </w:p>
    <w:p w14:paraId="7061C34D">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重庆市黔江区发展和改革委员会</w:t>
      </w:r>
    </w:p>
    <w:p w14:paraId="2F35E007">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eastAsia="方正小标宋_GBK"/>
          <w:sz w:val="44"/>
          <w:szCs w:val="44"/>
        </w:rPr>
      </w:pPr>
      <w:r>
        <w:rPr>
          <w:rFonts w:eastAsia="方正小标宋_GBK"/>
          <w:sz w:val="44"/>
          <w:szCs w:val="44"/>
        </w:rPr>
        <w:t>关于黔江区2026年</w:t>
      </w:r>
      <w:r>
        <w:rPr>
          <w:rFonts w:hint="eastAsia" w:ascii="方正小标宋_GBK" w:hAnsi="方正小标宋_GBK" w:eastAsia="方正小标宋_GBK" w:cs="方正小标宋_GBK"/>
          <w:sz w:val="44"/>
          <w:szCs w:val="44"/>
        </w:rPr>
        <w:t>“四好农村路”建设</w:t>
      </w:r>
      <w:r>
        <w:rPr>
          <w:rFonts w:eastAsia="方正小标宋_GBK"/>
          <w:sz w:val="44"/>
          <w:szCs w:val="44"/>
        </w:rPr>
        <w:t>项目</w:t>
      </w:r>
    </w:p>
    <w:p w14:paraId="6631C76F">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eastAsia="方正小标宋_GBK"/>
          <w:sz w:val="44"/>
          <w:szCs w:val="44"/>
        </w:rPr>
      </w:pPr>
      <w:bookmarkStart w:id="1" w:name="_GoBack"/>
      <w:bookmarkEnd w:id="1"/>
      <w:r>
        <w:rPr>
          <w:rFonts w:eastAsia="方正小标宋_GBK"/>
          <w:sz w:val="44"/>
          <w:szCs w:val="44"/>
        </w:rPr>
        <w:t>城南街道一心社区3组碑跟前至菱角社区7组大茶园联网路硬化工程</w:t>
      </w:r>
      <w:r>
        <w:rPr>
          <w:rFonts w:hint="eastAsia" w:eastAsia="方正小标宋_GBK"/>
          <w:sz w:val="44"/>
          <w:szCs w:val="44"/>
        </w:rPr>
        <w:t>可行性研究报告</w:t>
      </w:r>
      <w:r>
        <w:rPr>
          <w:rFonts w:eastAsia="方正小标宋_GBK"/>
          <w:sz w:val="44"/>
          <w:szCs w:val="44"/>
        </w:rPr>
        <w:t>的批复</w:t>
      </w:r>
    </w:p>
    <w:p w14:paraId="2EE5DD30">
      <w:pPr>
        <w:spacing w:line="595" w:lineRule="exact"/>
        <w:rPr>
          <w:szCs w:val="32"/>
        </w:rPr>
      </w:pPr>
    </w:p>
    <w:p w14:paraId="5663D14D">
      <w:pPr>
        <w:spacing w:line="500" w:lineRule="exact"/>
        <w:rPr>
          <w:rFonts w:eastAsia="方正仿宋_GBK"/>
          <w:sz w:val="32"/>
          <w:szCs w:val="32"/>
        </w:rPr>
      </w:pPr>
      <w:r>
        <w:rPr>
          <w:rFonts w:hint="eastAsia" w:eastAsia="方正仿宋_GBK"/>
          <w:sz w:val="32"/>
          <w:szCs w:val="32"/>
          <w:lang w:eastAsia="zh-CN"/>
        </w:rPr>
        <w:t>黔江区人民政府城南街道办事处</w:t>
      </w:r>
      <w:r>
        <w:rPr>
          <w:rFonts w:eastAsia="方正仿宋_GBK"/>
          <w:sz w:val="32"/>
          <w:szCs w:val="32"/>
        </w:rPr>
        <w:t>：</w:t>
      </w:r>
    </w:p>
    <w:p w14:paraId="190AEEEC">
      <w:pPr>
        <w:pStyle w:val="11"/>
        <w:keepNext w:val="0"/>
        <w:keepLines w:val="0"/>
        <w:widowControl/>
        <w:suppressLineNumbers w:val="0"/>
        <w:spacing w:before="0" w:beforeAutospacing="0" w:after="0" w:afterAutospacing="0"/>
        <w:ind w:left="0" w:right="0" w:firstLine="640" w:firstLineChars="200"/>
        <w:jc w:val="both"/>
        <w:rPr>
          <w:rFonts w:hint="eastAsia" w:ascii="方正仿宋_GBK" w:hAnsi="方正仿宋_GBK" w:eastAsia="方正仿宋_GBK" w:cs="方正仿宋_GBK"/>
          <w:szCs w:val="32"/>
        </w:rPr>
      </w:pPr>
      <w:r>
        <w:rPr>
          <w:rFonts w:hint="eastAsia" w:ascii="方正仿宋_GBK" w:hAnsi="方正仿宋_GBK" w:eastAsia="方正仿宋_GBK" w:cs="方正仿宋_GBK"/>
          <w:kern w:val="2"/>
          <w:sz w:val="32"/>
          <w:szCs w:val="32"/>
          <w:lang w:val="en-US" w:eastAsia="zh-CN" w:bidi="ar-SA"/>
        </w:rPr>
        <w:t>你单位《关于审批黔江</w:t>
      </w:r>
      <w:r>
        <w:rPr>
          <w:rFonts w:hint="default" w:ascii="Times New Roman" w:hAnsi="Times New Roman" w:eastAsia="方正仿宋_GBK" w:cs="Times New Roman"/>
          <w:kern w:val="2"/>
          <w:sz w:val="32"/>
          <w:szCs w:val="32"/>
          <w:lang w:val="en-US" w:eastAsia="zh-CN" w:bidi="ar-SA"/>
        </w:rPr>
        <w:t>区2026</w:t>
      </w:r>
      <w:r>
        <w:rPr>
          <w:rFonts w:hint="eastAsia" w:ascii="方正仿宋_GBK" w:hAnsi="方正仿宋_GBK" w:eastAsia="方正仿宋_GBK" w:cs="方正仿宋_GBK"/>
          <w:kern w:val="2"/>
          <w:sz w:val="32"/>
          <w:szCs w:val="32"/>
          <w:lang w:val="en-US" w:eastAsia="zh-CN" w:bidi="ar-SA"/>
        </w:rPr>
        <w:t>年“四好农村路”建设项目城南街道一心社</w:t>
      </w:r>
      <w:r>
        <w:rPr>
          <w:rFonts w:hint="default" w:ascii="Times New Roman" w:hAnsi="Times New Roman" w:eastAsia="方正仿宋_GBK" w:cs="Times New Roman"/>
          <w:kern w:val="2"/>
          <w:sz w:val="32"/>
          <w:szCs w:val="32"/>
          <w:lang w:val="en-US" w:eastAsia="zh-CN" w:bidi="ar-SA"/>
        </w:rPr>
        <w:t>区3组碑跟前至菱角社区7组大茶园联网路硬化工程可行性研究报告的函》（城南办事处函〔2026〕56号）</w:t>
      </w:r>
      <w:r>
        <w:rPr>
          <w:rFonts w:hint="eastAsia" w:ascii="方正仿宋_GBK" w:hAnsi="方正仿宋_GBK" w:eastAsia="方正仿宋_GBK" w:cs="方正仿宋_GBK"/>
          <w:kern w:val="2"/>
          <w:sz w:val="32"/>
          <w:szCs w:val="32"/>
          <w:lang w:val="en-US" w:eastAsia="zh-CN" w:bidi="ar-SA"/>
        </w:rPr>
        <w:t>收悉。结合黔江区政府投资项目前期工作服务中心的评审意见，经研究，同意实施黔江</w:t>
      </w:r>
      <w:r>
        <w:rPr>
          <w:rFonts w:hint="default" w:ascii="Times New Roman" w:hAnsi="Times New Roman" w:eastAsia="方正仿宋_GBK" w:cs="Times New Roman"/>
          <w:kern w:val="2"/>
          <w:sz w:val="32"/>
          <w:szCs w:val="32"/>
          <w:lang w:val="en-US" w:eastAsia="zh-CN" w:bidi="ar-SA"/>
        </w:rPr>
        <w:t>区2026</w:t>
      </w:r>
      <w:r>
        <w:rPr>
          <w:rFonts w:hint="eastAsia" w:ascii="方正仿宋_GBK" w:hAnsi="方正仿宋_GBK" w:eastAsia="方正仿宋_GBK" w:cs="方正仿宋_GBK"/>
          <w:kern w:val="2"/>
          <w:sz w:val="32"/>
          <w:szCs w:val="32"/>
          <w:lang w:val="en-US" w:eastAsia="zh-CN" w:bidi="ar-SA"/>
        </w:rPr>
        <w:t>年“四好农村路”建设项目城南街道一心</w:t>
      </w:r>
      <w:r>
        <w:rPr>
          <w:rFonts w:hint="default" w:ascii="Times New Roman" w:hAnsi="Times New Roman" w:eastAsia="方正仿宋_GBK" w:cs="Times New Roman"/>
          <w:kern w:val="2"/>
          <w:sz w:val="32"/>
          <w:szCs w:val="32"/>
          <w:lang w:val="en-US" w:eastAsia="zh-CN" w:bidi="ar-SA"/>
        </w:rPr>
        <w:t>社区3组</w:t>
      </w:r>
      <w:r>
        <w:rPr>
          <w:rFonts w:hint="eastAsia" w:ascii="方正仿宋_GBK" w:hAnsi="方正仿宋_GBK" w:eastAsia="方正仿宋_GBK" w:cs="方正仿宋_GBK"/>
          <w:kern w:val="2"/>
          <w:sz w:val="32"/>
          <w:szCs w:val="32"/>
          <w:lang w:val="en-US" w:eastAsia="zh-CN" w:bidi="ar-SA"/>
        </w:rPr>
        <w:t>碑跟前至菱角社</w:t>
      </w:r>
      <w:r>
        <w:rPr>
          <w:rFonts w:hint="default" w:ascii="Times New Roman" w:hAnsi="Times New Roman" w:eastAsia="方正仿宋_GBK" w:cs="Times New Roman"/>
          <w:kern w:val="2"/>
          <w:sz w:val="32"/>
          <w:szCs w:val="32"/>
          <w:lang w:val="en-US" w:eastAsia="zh-CN" w:bidi="ar-SA"/>
        </w:rPr>
        <w:t>区7组大</w:t>
      </w:r>
      <w:r>
        <w:rPr>
          <w:rFonts w:hint="eastAsia" w:ascii="方正仿宋_GBK" w:hAnsi="方正仿宋_GBK" w:eastAsia="方正仿宋_GBK" w:cs="方正仿宋_GBK"/>
          <w:kern w:val="2"/>
          <w:sz w:val="32"/>
          <w:szCs w:val="32"/>
          <w:lang w:val="en-US" w:eastAsia="zh-CN" w:bidi="ar-SA"/>
        </w:rPr>
        <w:t>茶园联网路硬化工程（项目代码：</w:t>
      </w:r>
      <w:r>
        <w:rPr>
          <w:rFonts w:hint="default" w:ascii="Times New Roman" w:hAnsi="Times New Roman" w:eastAsia="方正仿宋_GBK" w:cs="Times New Roman"/>
          <w:kern w:val="2"/>
          <w:sz w:val="32"/>
          <w:szCs w:val="32"/>
          <w:lang w:val="en-US" w:eastAsia="zh-CN" w:bidi="ar-SA"/>
        </w:rPr>
        <w:t>2510</w:t>
      </w:r>
      <w:r>
        <w:rPr>
          <w:rFonts w:hint="eastAsia" w:ascii="方正仿宋_GBK" w:hAnsi="方正仿宋_GBK" w:eastAsia="方正仿宋_GBK" w:cs="方正仿宋_GBK"/>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500114</w:t>
      </w:r>
      <w:r>
        <w:rPr>
          <w:rFonts w:hint="eastAsia" w:ascii="方正仿宋_GBK" w:hAnsi="方正仿宋_GBK" w:eastAsia="方正仿宋_GBK" w:cs="方正仿宋_GBK"/>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04</w:t>
      </w:r>
      <w:r>
        <w:rPr>
          <w:rFonts w:hint="eastAsia" w:ascii="方正仿宋_GBK" w:hAnsi="方正仿宋_GBK" w:eastAsia="方正仿宋_GBK" w:cs="方正仿宋_GBK"/>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01</w:t>
      </w:r>
      <w:r>
        <w:rPr>
          <w:rFonts w:hint="eastAsia" w:ascii="方正仿宋_GBK" w:hAnsi="方正仿宋_GBK" w:eastAsia="方正仿宋_GBK" w:cs="方正仿宋_GBK"/>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680236）</w:t>
      </w:r>
      <w:r>
        <w:rPr>
          <w:rFonts w:hint="eastAsia" w:ascii="方正仿宋_GBK" w:hAnsi="方正仿宋_GBK" w:eastAsia="方正仿宋_GBK" w:cs="方正仿宋_GBK"/>
          <w:kern w:val="2"/>
          <w:sz w:val="32"/>
          <w:szCs w:val="32"/>
          <w:lang w:val="en-US" w:eastAsia="zh-CN" w:bidi="ar-SA"/>
        </w:rPr>
        <w:t xml:space="preserve">。现将项目可行性研究报告批复如下：                                                           </w:t>
      </w:r>
      <w:r>
        <w:rPr>
          <w:rFonts w:hint="eastAsia" w:ascii="方正仿宋_GBK" w:hAnsi="方正仿宋_GBK" w:eastAsia="方正仿宋_GBK" w:cs="方正仿宋_GBK"/>
          <w:szCs w:val="32"/>
          <w:lang w:val="en-US" w:eastAsia="zh-CN"/>
        </w:rPr>
        <w:t xml:space="preserve">                                                                                                                                                                                                                                                                                                                                                                                                                                                                                                                                                                                                                                                                                                                                                                                                                                                                                                                                                                                                                    </w:t>
      </w:r>
    </w:p>
    <w:p w14:paraId="12D2ACEB">
      <w:pPr>
        <w:numPr>
          <w:ilvl w:val="0"/>
          <w:numId w:val="0"/>
        </w:numPr>
        <w:spacing w:line="595"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eastAsia="方正黑体_GBK"/>
          <w:sz w:val="32"/>
          <w:szCs w:val="32"/>
          <w:lang w:eastAsia="zh-CN"/>
        </w:rPr>
        <w:t>一、</w:t>
      </w:r>
      <w:r>
        <w:rPr>
          <w:rFonts w:hint="eastAsia" w:eastAsia="方正黑体_GBK"/>
          <w:sz w:val="32"/>
          <w:szCs w:val="32"/>
        </w:rPr>
        <w:t>项目法人</w:t>
      </w:r>
      <w:r>
        <w:rPr>
          <w:rFonts w:hint="eastAsia" w:ascii="方正仿宋_GBK" w:hAnsi="方正仿宋_GBK" w:eastAsia="方正仿宋_GBK" w:cs="方正仿宋_GBK"/>
          <w:kern w:val="2"/>
          <w:sz w:val="32"/>
          <w:szCs w:val="32"/>
          <w:lang w:val="en-US" w:eastAsia="zh-CN" w:bidi="ar-SA"/>
        </w:rPr>
        <w:t>：黔江区人民政府城南街道办事处</w:t>
      </w:r>
    </w:p>
    <w:p w14:paraId="07E03A63">
      <w:pPr>
        <w:numPr>
          <w:ilvl w:val="0"/>
          <w:numId w:val="0"/>
        </w:numPr>
        <w:spacing w:line="595" w:lineRule="exact"/>
        <w:ind w:firstLine="640" w:firstLineChars="200"/>
        <w:rPr>
          <w:rFonts w:hint="eastAsia" w:ascii="方正仿宋_GBK" w:hAnsi="方正仿宋_GBK" w:eastAsia="方正仿宋_GBK" w:cs="方正仿宋_GBK"/>
          <w:kern w:val="2"/>
          <w:sz w:val="32"/>
          <w:szCs w:val="32"/>
          <w:lang w:val="zh-CN" w:eastAsia="zh-CN" w:bidi="ar-SA"/>
        </w:rPr>
      </w:pPr>
      <w:r>
        <w:rPr>
          <w:rFonts w:hint="eastAsia" w:eastAsia="方正黑体_GBK"/>
          <w:sz w:val="32"/>
          <w:szCs w:val="32"/>
        </w:rPr>
        <w:t>二、建设地点：</w:t>
      </w:r>
      <w:r>
        <w:rPr>
          <w:rFonts w:hint="eastAsia" w:ascii="方正仿宋_GBK" w:hAnsi="方正仿宋_GBK" w:eastAsia="方正仿宋_GBK" w:cs="方正仿宋_GBK"/>
          <w:kern w:val="2"/>
          <w:sz w:val="32"/>
          <w:szCs w:val="32"/>
          <w:lang w:val="en-US" w:eastAsia="zh-CN" w:bidi="ar-SA"/>
        </w:rPr>
        <w:t>城南街道</w:t>
      </w:r>
    </w:p>
    <w:p w14:paraId="345B866A">
      <w:pPr>
        <w:keepNext w:val="0"/>
        <w:keepLines w:val="0"/>
        <w:pageBreakBefore w:val="0"/>
        <w:kinsoku/>
        <w:wordWrap/>
        <w:overflowPunct/>
        <w:topLinePunct w:val="0"/>
        <w:autoSpaceDE w:val="0"/>
        <w:autoSpaceDN w:val="0"/>
        <w:bidi w:val="0"/>
        <w:adjustRightInd w:val="0"/>
        <w:spacing w:line="595" w:lineRule="exact"/>
        <w:ind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eastAsia="方正黑体_GBK"/>
          <w:sz w:val="32"/>
          <w:szCs w:val="32"/>
        </w:rPr>
        <w:t>三、主要建设内容及规模</w:t>
      </w:r>
      <w:r>
        <w:rPr>
          <w:rFonts w:hint="eastAsia" w:ascii="方正仿宋_GBK" w:hAnsi="方正仿宋_GBK" w:eastAsia="方正仿宋_GBK" w:cs="方正仿宋_GBK"/>
          <w:kern w:val="2"/>
          <w:sz w:val="32"/>
          <w:szCs w:val="32"/>
          <w:lang w:val="en-US" w:eastAsia="zh-CN" w:bidi="ar-SA"/>
        </w:rPr>
        <w:t>：项目</w:t>
      </w:r>
      <w:r>
        <w:rPr>
          <w:rFonts w:hint="default" w:ascii="Times New Roman" w:hAnsi="Times New Roman" w:eastAsia="方正仿宋_GBK" w:cs="Times New Roman"/>
          <w:kern w:val="2"/>
          <w:sz w:val="32"/>
          <w:szCs w:val="32"/>
          <w:lang w:val="en-US" w:eastAsia="zh-CN" w:bidi="ar-SA"/>
        </w:rPr>
        <w:t>路线全长2.48公里。主线起于一心社区3组碑跟前，止于菱角社区7组大茶园，全长1.561公里；支线1起于主线K0+535处，止于支线1K0+528处，全长0.528公里；支线2起于菱角社区7组大茶园处，止于支线2K0+152处，全长0.152公里；支线3起于支线2K0+047处，止于支线3K0+141处，全长0.141公里；支线4起于支线3K0+056处，止于支线4K0+095处，全长0.095公里。对该项目全线硬化，路基宽度4.5米，20厘米厚C25水泥混凝土路面</w:t>
      </w:r>
      <w:r>
        <w:rPr>
          <w:rFonts w:hint="eastAsia" w:ascii="方正仿宋_GBK" w:hAnsi="方正仿宋_GBK" w:eastAsia="方正仿宋_GBK" w:cs="方正仿宋_GBK"/>
          <w:kern w:val="2"/>
          <w:sz w:val="32"/>
          <w:szCs w:val="32"/>
          <w:lang w:val="en-US" w:eastAsia="zh-CN" w:bidi="ar-SA"/>
        </w:rPr>
        <w:t>。</w:t>
      </w:r>
    </w:p>
    <w:p w14:paraId="1260688A">
      <w:pPr>
        <w:spacing w:line="500" w:lineRule="exact"/>
        <w:ind w:firstLine="640" w:firstLineChars="200"/>
        <w:rPr>
          <w:rFonts w:hint="eastAsia" w:eastAsia="方正仿宋_GBK"/>
          <w:sz w:val="32"/>
          <w:szCs w:val="32"/>
        </w:rPr>
      </w:pPr>
      <w:r>
        <w:rPr>
          <w:rFonts w:hint="eastAsia" w:eastAsia="方正黑体_GBK"/>
          <w:sz w:val="32"/>
          <w:szCs w:val="32"/>
        </w:rPr>
        <w:t>四、</w:t>
      </w:r>
      <w:r>
        <w:rPr>
          <w:rFonts w:eastAsia="方正黑体_GBK"/>
          <w:sz w:val="32"/>
          <w:szCs w:val="32"/>
        </w:rPr>
        <w:t>建设工期：</w:t>
      </w:r>
      <w:r>
        <w:rPr>
          <w:rFonts w:hint="eastAsia" w:eastAsia="方正黑体_GBK"/>
          <w:sz w:val="32"/>
          <w:szCs w:val="32"/>
          <w:lang w:val="en-US" w:eastAsia="zh-CN"/>
        </w:rPr>
        <w:t>3</w:t>
      </w:r>
      <w:r>
        <w:rPr>
          <w:rFonts w:eastAsia="方正仿宋_GBK"/>
          <w:sz w:val="32"/>
          <w:szCs w:val="32"/>
        </w:rPr>
        <w:t>个月。</w:t>
      </w:r>
    </w:p>
    <w:p w14:paraId="5543C297">
      <w:pPr>
        <w:autoSpaceDE w:val="0"/>
        <w:autoSpaceDN w:val="0"/>
        <w:adjustRightInd w:val="0"/>
        <w:spacing w:line="595" w:lineRule="exact"/>
        <w:ind w:firstLine="675" w:firstLineChars="211"/>
        <w:rPr>
          <w:rFonts w:hint="eastAsia" w:ascii="方正仿宋_GBK" w:hAnsi="方正仿宋_GBK" w:eastAsia="方正仿宋_GBK" w:cs="方正仿宋_GBK"/>
          <w:kern w:val="2"/>
          <w:sz w:val="32"/>
          <w:szCs w:val="32"/>
          <w:lang w:val="zh-CN" w:eastAsia="zh-CN" w:bidi="ar-SA"/>
        </w:rPr>
      </w:pPr>
      <w:r>
        <w:rPr>
          <w:rFonts w:hint="eastAsia" w:ascii="Times New Roman" w:hAnsi="Times New Roman" w:eastAsia="方正黑体_GBK" w:cs="Times New Roman"/>
          <w:sz w:val="32"/>
          <w:szCs w:val="32"/>
          <w:lang w:val="en-US" w:eastAsia="zh-CN"/>
        </w:rPr>
        <w:t>五、项目总投资及资金来源：</w:t>
      </w:r>
      <w:r>
        <w:rPr>
          <w:rFonts w:hint="eastAsia" w:ascii="方正仿宋_GBK" w:hAnsi="方正仿宋_GBK" w:eastAsia="方正仿宋_GBK" w:cs="方正仿宋_GBK"/>
          <w:kern w:val="2"/>
          <w:sz w:val="32"/>
          <w:szCs w:val="32"/>
          <w:lang w:val="en-US" w:eastAsia="zh-CN" w:bidi="ar-SA"/>
        </w:rPr>
        <w:t>项目估算</w:t>
      </w:r>
      <w:r>
        <w:rPr>
          <w:rFonts w:hint="default" w:ascii="Times New Roman" w:hAnsi="Times New Roman" w:eastAsia="方正仿宋_GBK" w:cs="Times New Roman"/>
          <w:kern w:val="2"/>
          <w:sz w:val="32"/>
          <w:szCs w:val="32"/>
          <w:lang w:val="en-US" w:eastAsia="zh-CN" w:bidi="ar-SA"/>
        </w:rPr>
        <w:t>总投资144.18万元，其中：</w:t>
      </w:r>
      <w:bookmarkStart w:id="0" w:name="_Hlk133242824"/>
      <w:r>
        <w:rPr>
          <w:rFonts w:hint="default" w:ascii="Times New Roman" w:hAnsi="Times New Roman" w:eastAsia="方正仿宋_GBK" w:cs="Times New Roman"/>
          <w:kern w:val="2"/>
          <w:sz w:val="32"/>
          <w:szCs w:val="32"/>
          <w:lang w:val="en-US" w:eastAsia="zh-CN" w:bidi="ar-SA"/>
        </w:rPr>
        <w:t>工程费用133.53万元，</w:t>
      </w:r>
      <w:bookmarkEnd w:id="0"/>
      <w:r>
        <w:rPr>
          <w:rFonts w:hint="default" w:ascii="Times New Roman" w:hAnsi="Times New Roman" w:eastAsia="方正仿宋_GBK" w:cs="Times New Roman"/>
          <w:kern w:val="2"/>
          <w:sz w:val="32"/>
          <w:szCs w:val="32"/>
          <w:lang w:val="en-US" w:eastAsia="zh-CN" w:bidi="ar-SA"/>
        </w:rPr>
        <w:t>工程建设其他费6.45万元，基本预备费4.20万元。资金来</w:t>
      </w:r>
      <w:r>
        <w:rPr>
          <w:rFonts w:hint="eastAsia" w:ascii="方正仿宋_GBK" w:hAnsi="方正仿宋_GBK" w:eastAsia="方正仿宋_GBK" w:cs="方正仿宋_GBK"/>
          <w:kern w:val="2"/>
          <w:sz w:val="32"/>
          <w:szCs w:val="32"/>
          <w:lang w:val="en-US" w:eastAsia="zh-CN" w:bidi="ar-SA"/>
        </w:rPr>
        <w:t>源为中央专项补助资金，不足部分由业主自筹。</w:t>
      </w:r>
    </w:p>
    <w:p w14:paraId="35CBAF6B">
      <w:pPr>
        <w:keepNext w:val="0"/>
        <w:keepLines w:val="0"/>
        <w:pageBreakBefore w:val="0"/>
        <w:widowControl w:val="0"/>
        <w:kinsoku/>
        <w:wordWrap/>
        <w:overflowPunct/>
        <w:topLinePunct w:val="0"/>
        <w:autoSpaceDE/>
        <w:autoSpaceDN/>
        <w:bidi w:val="0"/>
        <w:adjustRightInd/>
        <w:snapToGrid/>
        <w:spacing w:line="600" w:lineRule="exact"/>
        <w:ind w:left="0" w:right="0" w:rightChars="0" w:firstLine="640"/>
        <w:jc w:val="both"/>
        <w:textAlignment w:val="auto"/>
        <w:outlineLvl w:val="9"/>
        <w:rPr>
          <w:rFonts w:hint="eastAsia" w:ascii="Times New Roman" w:hAnsi="Times New Roman" w:eastAsia="方正仿宋_GBK"/>
          <w:sz w:val="32"/>
          <w:szCs w:val="32"/>
        </w:rPr>
      </w:pPr>
      <w:r>
        <w:rPr>
          <w:rFonts w:hint="eastAsia" w:ascii="方正黑体_GBK" w:hAnsi="方正黑体_GBK" w:eastAsia="方正黑体_GBK" w:cs="方正黑体_GBK"/>
          <w:sz w:val="32"/>
          <w:szCs w:val="32"/>
        </w:rPr>
        <w:t>六、招标核准：</w:t>
      </w:r>
      <w:r>
        <w:rPr>
          <w:rFonts w:ascii="方正仿宋_GBK" w:hAnsi="方正仿宋_GBK" w:eastAsia="方正仿宋_GBK" w:cs="方正仿宋_GBK"/>
          <w:color w:val="auto"/>
          <w:spacing w:val="0"/>
          <w:position w:val="0"/>
          <w:sz w:val="32"/>
          <w:shd w:val="clear" w:color="auto" w:fill="auto"/>
        </w:rPr>
        <w:t>招标范围、招标方式及招标组织形式严格按照《中华人民共和国招标投标法实施条例》</w:t>
      </w:r>
      <w:r>
        <w:rPr>
          <w:rFonts w:hint="eastAsia" w:ascii="方正仿宋_GBK" w:hAnsi="方正仿宋_GBK" w:eastAsia="方正仿宋_GBK" w:cs="方正仿宋_GBK"/>
          <w:color w:val="auto"/>
          <w:spacing w:val="0"/>
          <w:position w:val="0"/>
          <w:sz w:val="32"/>
          <w:shd w:val="clear" w:color="auto" w:fill="auto"/>
          <w:lang w:eastAsia="zh-CN"/>
        </w:rPr>
        <w:t>《重庆市招标投标条例》《重庆市黔江区限额以下工程建设项目发包管理暂行办法》</w:t>
      </w:r>
      <w:r>
        <w:rPr>
          <w:rFonts w:ascii="方正仿宋_GBK" w:hAnsi="方正仿宋_GBK" w:eastAsia="方正仿宋_GBK" w:cs="方正仿宋_GBK"/>
          <w:color w:val="auto"/>
          <w:spacing w:val="0"/>
          <w:position w:val="0"/>
          <w:sz w:val="32"/>
          <w:shd w:val="clear" w:color="auto" w:fill="auto"/>
        </w:rPr>
        <w:t>及相关法律规定组织实施。</w:t>
      </w:r>
    </w:p>
    <w:p w14:paraId="69A63FB5">
      <w:pPr>
        <w:pStyle w:val="6"/>
        <w:spacing w:line="52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七、有关事项：</w:t>
      </w:r>
    </w:p>
    <w:p w14:paraId="7DC8772C">
      <w:pPr>
        <w:pStyle w:val="6"/>
        <w:spacing w:line="520" w:lineRule="exact"/>
        <w:ind w:firstLine="640" w:firstLineChars="200"/>
        <w:rPr>
          <w:rFonts w:hint="default" w:ascii="方正仿宋_GBK" w:hAnsi="方正仿宋_GBK" w:eastAsia="方正仿宋_GBK" w:cs="方正仿宋_GBK"/>
          <w:color w:val="auto"/>
          <w:spacing w:val="0"/>
          <w:kern w:val="2"/>
          <w:position w:val="0"/>
          <w:sz w:val="32"/>
          <w:szCs w:val="22"/>
          <w:shd w:val="clear" w:color="auto" w:fill="auto"/>
          <w:lang w:val="en-US" w:eastAsia="zh-CN" w:bidi="ar-SA"/>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eastAsia="zh-CN"/>
        </w:rPr>
        <w:t>）</w:t>
      </w:r>
      <w:r>
        <w:rPr>
          <w:rFonts w:hint="default" w:ascii="方正仿宋_GBK" w:hAnsi="方正仿宋_GBK" w:eastAsia="方正仿宋_GBK" w:cs="方正仿宋_GBK"/>
          <w:color w:val="auto"/>
          <w:spacing w:val="0"/>
          <w:kern w:val="2"/>
          <w:position w:val="0"/>
          <w:sz w:val="32"/>
          <w:szCs w:val="22"/>
          <w:shd w:val="clear" w:color="auto" w:fill="auto"/>
          <w:lang w:val="en-US" w:eastAsia="zh-CN" w:bidi="ar-SA"/>
        </w:rPr>
        <w:t>请你单位根据本批复，结合项目可行性研究报告评估意见，抓紧开展下步工作。要严格执行项目法人责任制、招标投标制、工程监理制、合同管理制，严格控制工程投资标准，防止工程超过审定投资。</w:t>
      </w:r>
    </w:p>
    <w:p w14:paraId="6B220B88">
      <w:pPr>
        <w:ind w:firstLine="640" w:firstLineChars="200"/>
        <w:rPr>
          <w:rFonts w:hint="default" w:ascii="Times New Roman" w:hAnsi="Times New Roman" w:eastAsia="方正仿宋_GBK" w:cs="Times New Roman"/>
          <w:color w:val="auto"/>
          <w:spacing w:val="0"/>
          <w:kern w:val="2"/>
          <w:position w:val="0"/>
          <w:sz w:val="32"/>
          <w:szCs w:val="22"/>
          <w:shd w:val="clear" w:color="auto" w:fill="auto"/>
          <w:lang w:val="en-US" w:eastAsia="zh-CN" w:bidi="ar-SA"/>
        </w:rPr>
      </w:pPr>
      <w:r>
        <w:rPr>
          <w:rFonts w:hint="eastAsia" w:ascii="方正仿宋_GBK" w:hAnsi="方正仿宋_GBK" w:eastAsia="方正仿宋_GBK" w:cs="方正仿宋_GBK"/>
          <w:kern w:val="2"/>
          <w:sz w:val="32"/>
          <w:szCs w:val="32"/>
          <w:lang w:val="en-US" w:eastAsia="zh-CN" w:bidi="ar-SA"/>
        </w:rPr>
        <w:t>（二）</w:t>
      </w:r>
      <w:r>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t>切实加强项目实施过程监管，严格执行推广以工代赈项目劳务用工和报酬发放有关规定，本项目实施过程中要最大限度吸纳当地农民工参与工程建设，项目累计用工人数不得少于</w:t>
      </w:r>
      <w:r>
        <w:rPr>
          <w:rFonts w:hint="default" w:ascii="Times New Roman" w:hAnsi="Times New Roman" w:eastAsia="方正仿宋_GBK" w:cs="Times New Roman"/>
          <w:color w:val="auto"/>
          <w:spacing w:val="0"/>
          <w:kern w:val="2"/>
          <w:position w:val="0"/>
          <w:sz w:val="32"/>
          <w:szCs w:val="22"/>
          <w:shd w:val="clear" w:color="auto" w:fill="auto"/>
          <w:lang w:val="en-US" w:eastAsia="zh-CN" w:bidi="ar-SA"/>
        </w:rPr>
        <w:t>30人，发放劳务报酬金额不得低于工程费用的20</w:t>
      </w:r>
      <w:r>
        <w:rPr>
          <w:rFonts w:hint="default" w:ascii="Times New Roman" w:hAnsi="Times New Roman" w:eastAsia="宋体" w:cs="Times New Roman"/>
          <w:color w:val="auto"/>
          <w:spacing w:val="0"/>
          <w:kern w:val="2"/>
          <w:position w:val="0"/>
          <w:sz w:val="32"/>
          <w:szCs w:val="22"/>
          <w:shd w:val="clear" w:color="auto" w:fill="auto"/>
          <w:lang w:val="en-US" w:eastAsia="zh-CN" w:bidi="ar-SA"/>
        </w:rPr>
        <w:t>％</w:t>
      </w:r>
      <w:r>
        <w:rPr>
          <w:rFonts w:hint="default" w:ascii="Times New Roman" w:hAnsi="Times New Roman" w:eastAsia="方正仿宋_GBK" w:cs="Times New Roman"/>
          <w:color w:val="auto"/>
          <w:spacing w:val="0"/>
          <w:kern w:val="2"/>
          <w:position w:val="0"/>
          <w:sz w:val="32"/>
          <w:szCs w:val="22"/>
          <w:shd w:val="clear" w:color="auto" w:fill="auto"/>
          <w:lang w:val="en-US" w:eastAsia="zh-CN" w:bidi="ar-SA"/>
        </w:rPr>
        <w:t>。</w:t>
      </w:r>
    </w:p>
    <w:p w14:paraId="72E66588">
      <w:pPr>
        <w:pStyle w:val="6"/>
        <w:spacing w:line="500" w:lineRule="exact"/>
        <w:rPr>
          <w:rFonts w:hint="eastAsia" w:ascii="Times New Roman" w:hAnsi="Times New Roman" w:eastAsia="方正仿宋_GBK"/>
          <w:sz w:val="32"/>
          <w:szCs w:val="32"/>
        </w:rPr>
      </w:pPr>
    </w:p>
    <w:p w14:paraId="42236419">
      <w:pPr>
        <w:pStyle w:val="6"/>
        <w:spacing w:line="520" w:lineRule="exact"/>
        <w:ind w:left="1598" w:leftChars="304" w:hanging="960" w:hangingChars="300"/>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pPr>
      <w:r>
        <w:rPr>
          <w:rFonts w:hint="eastAsia" w:ascii="Times New Roman" w:hAnsi="Times New Roman" w:eastAsia="方正仿宋_GBK"/>
          <w:sz w:val="32"/>
          <w:szCs w:val="32"/>
        </w:rPr>
        <w:t>附件：黔江区2026年“四好农村路”建设项目城南街道一心社区3组碑跟前至菱角社区7组大茶园联网路硬化工程</w:t>
      </w:r>
      <w:r>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t>投资估算表</w:t>
      </w:r>
    </w:p>
    <w:p w14:paraId="1B32EBCD">
      <w:pPr>
        <w:pStyle w:val="6"/>
        <w:spacing w:line="520" w:lineRule="exact"/>
        <w:ind w:left="1598" w:leftChars="304" w:hanging="960" w:hangingChars="300"/>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pPr>
    </w:p>
    <w:p w14:paraId="0FA286FB">
      <w:pPr>
        <w:pStyle w:val="6"/>
        <w:spacing w:line="520" w:lineRule="exact"/>
        <w:ind w:left="1598" w:leftChars="304" w:hanging="960" w:hangingChars="300"/>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pPr>
    </w:p>
    <w:p w14:paraId="399E5702">
      <w:pPr>
        <w:spacing w:line="500" w:lineRule="exact"/>
        <w:ind w:firstLine="3520" w:firstLineChars="1100"/>
        <w:rPr>
          <w:rFonts w:eastAsia="方正仿宋_GBK"/>
          <w:sz w:val="32"/>
          <w:szCs w:val="32"/>
        </w:rPr>
      </w:pPr>
      <w:r>
        <w:rPr>
          <w:rFonts w:eastAsia="方正仿宋_GBK"/>
          <w:sz w:val="32"/>
          <w:szCs w:val="32"/>
        </w:rPr>
        <w:t>重庆市黔江区发展和改革委员会</w:t>
      </w:r>
    </w:p>
    <w:p w14:paraId="6BE652D6">
      <w:pPr>
        <w:pStyle w:val="4"/>
        <w:spacing w:line="500" w:lineRule="exact"/>
        <w:ind w:firstLine="640" w:firstLineChars="200"/>
        <w:rPr>
          <w:rFonts w:eastAsia="方正仿宋_GBK"/>
        </w:rPr>
      </w:pPr>
      <w:r>
        <w:rPr>
          <w:rFonts w:eastAsia="方正仿宋_GBK"/>
          <w:szCs w:val="32"/>
        </w:rPr>
        <w:t xml:space="preserve">                </w:t>
      </w:r>
      <w:r>
        <w:rPr>
          <w:rFonts w:hint="eastAsia" w:eastAsia="方正仿宋_GBK"/>
          <w:szCs w:val="32"/>
        </w:rPr>
        <w:t xml:space="preserve">        202</w:t>
      </w:r>
      <w:r>
        <w:rPr>
          <w:rFonts w:hint="eastAsia" w:eastAsia="方正仿宋_GBK"/>
          <w:szCs w:val="32"/>
          <w:lang w:val="en-US" w:eastAsia="zh-CN"/>
        </w:rPr>
        <w:t>6</w:t>
      </w:r>
      <w:r>
        <w:rPr>
          <w:rFonts w:eastAsia="方正仿宋_GBK"/>
        </w:rPr>
        <w:t>年</w:t>
      </w:r>
      <w:r>
        <w:rPr>
          <w:rFonts w:hint="eastAsia" w:eastAsia="方正仿宋_GBK"/>
          <w:lang w:val="en-US" w:eastAsia="zh-CN"/>
        </w:rPr>
        <w:t>6</w:t>
      </w:r>
      <w:r>
        <w:rPr>
          <w:rFonts w:eastAsia="方正仿宋_GBK"/>
        </w:rPr>
        <w:t>月</w:t>
      </w:r>
      <w:r>
        <w:rPr>
          <w:rFonts w:hint="eastAsia" w:eastAsia="方正仿宋_GBK"/>
          <w:lang w:val="en-US" w:eastAsia="zh-CN"/>
        </w:rPr>
        <w:t>25</w:t>
      </w:r>
      <w:r>
        <w:rPr>
          <w:rFonts w:eastAsia="方正仿宋_GBK"/>
        </w:rPr>
        <w:t>日</w:t>
      </w:r>
    </w:p>
    <w:p w14:paraId="1E56B3A7">
      <w:pPr>
        <w:pStyle w:val="4"/>
        <w:spacing w:line="500" w:lineRule="exact"/>
        <w:ind w:firstLine="640" w:firstLineChars="200"/>
        <w:rPr>
          <w:rFonts w:eastAsia="方正仿宋_GBK"/>
        </w:rPr>
      </w:pPr>
    </w:p>
    <w:p w14:paraId="43511D6A">
      <w:pPr>
        <w:pStyle w:val="4"/>
        <w:spacing w:line="500" w:lineRule="exact"/>
        <w:ind w:firstLine="640" w:firstLineChars="200"/>
        <w:rPr>
          <w:rFonts w:eastAsia="方正仿宋_GBK"/>
        </w:rPr>
      </w:pPr>
    </w:p>
    <w:p w14:paraId="18E28E4B">
      <w:pPr>
        <w:pStyle w:val="4"/>
        <w:spacing w:line="500" w:lineRule="exact"/>
        <w:ind w:firstLine="640" w:firstLineChars="200"/>
        <w:rPr>
          <w:rFonts w:eastAsia="方正仿宋_GBK"/>
        </w:rPr>
      </w:pPr>
    </w:p>
    <w:p w14:paraId="63703262">
      <w:pPr>
        <w:pStyle w:val="4"/>
        <w:spacing w:line="500" w:lineRule="exact"/>
        <w:ind w:firstLine="640" w:firstLineChars="200"/>
        <w:rPr>
          <w:rFonts w:eastAsia="方正仿宋_GBK"/>
        </w:rPr>
      </w:pPr>
    </w:p>
    <w:p w14:paraId="3CEF1B49">
      <w:pPr>
        <w:pStyle w:val="4"/>
        <w:spacing w:line="500" w:lineRule="exact"/>
        <w:ind w:firstLine="640" w:firstLineChars="200"/>
        <w:rPr>
          <w:rFonts w:eastAsia="方正仿宋_GBK"/>
        </w:rPr>
      </w:pPr>
    </w:p>
    <w:p w14:paraId="75CFA63B">
      <w:pPr>
        <w:pStyle w:val="4"/>
        <w:spacing w:line="500" w:lineRule="exact"/>
        <w:ind w:firstLine="640" w:firstLineChars="200"/>
        <w:rPr>
          <w:rFonts w:eastAsia="方正仿宋_GBK"/>
        </w:rPr>
      </w:pPr>
    </w:p>
    <w:p w14:paraId="2C33DCB3">
      <w:pPr>
        <w:pStyle w:val="4"/>
        <w:spacing w:line="500" w:lineRule="exact"/>
        <w:ind w:firstLine="640" w:firstLineChars="200"/>
        <w:rPr>
          <w:rFonts w:eastAsia="方正仿宋_GBK"/>
        </w:rPr>
      </w:pPr>
    </w:p>
    <w:p w14:paraId="6DC2FC3C">
      <w:pPr>
        <w:pStyle w:val="6"/>
        <w:jc w:val="left"/>
        <w:rPr>
          <w:rFonts w:hint="eastAsia" w:ascii="方正仿宋_GBK" w:hAnsi="方正仿宋_GBK" w:eastAsia="方正仿宋_GBK" w:cs="方正仿宋_GBK"/>
          <w:sz w:val="32"/>
          <w:szCs w:val="32"/>
        </w:rPr>
      </w:pPr>
    </w:p>
    <w:p w14:paraId="1E2D8104">
      <w:pPr>
        <w:pStyle w:val="6"/>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14C3F363">
      <w:pPr>
        <w:pStyle w:val="6"/>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黑体_GBK" w:hAnsi="方正黑体_GBK" w:eastAsia="方正黑体_GBK" w:cs="方正黑体_GBK"/>
          <w:sz w:val="32"/>
          <w:szCs w:val="32"/>
        </w:rPr>
      </w:pPr>
    </w:p>
    <w:p w14:paraId="15F5029A">
      <w:pPr>
        <w:pStyle w:val="6"/>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黔江区2026年“四好农村路”建设项目城南街道一心社区3组碑跟前至菱角社区7组大茶园联网路硬化工程投资估算表</w:t>
      </w:r>
    </w:p>
    <w:p w14:paraId="1EFB31C3">
      <w:pPr>
        <w:pStyle w:val="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_GBK" w:hAnsi="方正小标宋_GBK" w:eastAsia="方正小标宋_GBK" w:cs="方正小标宋_GBK"/>
          <w:sz w:val="32"/>
          <w:szCs w:val="32"/>
        </w:rPr>
      </w:pPr>
    </w:p>
    <w:tbl>
      <w:tblPr>
        <w:tblStyle w:val="12"/>
        <w:tblW w:w="8832"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07"/>
        <w:gridCol w:w="5955"/>
        <w:gridCol w:w="1770"/>
      </w:tblGrid>
      <w:tr w14:paraId="2DE5A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107" w:type="dxa"/>
            <w:tcBorders>
              <w:top w:val="single" w:color="000000" w:sz="4" w:space="0"/>
              <w:left w:val="single" w:color="000000" w:sz="4" w:space="0"/>
              <w:bottom w:val="single" w:color="000000" w:sz="4" w:space="0"/>
              <w:right w:val="single" w:color="000000" w:sz="4" w:space="0"/>
            </w:tcBorders>
            <w:noWrap w:val="0"/>
            <w:vAlign w:val="center"/>
          </w:tcPr>
          <w:p w14:paraId="31638CBE">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8"/>
                <w:szCs w:val="28"/>
                <w:u w:val="none"/>
              </w:rPr>
            </w:pPr>
            <w:r>
              <w:rPr>
                <w:rFonts w:hint="default" w:ascii="Times New Roman" w:hAnsi="Times New Roman" w:eastAsia="方正黑体_GBK" w:cs="Times New Roman"/>
                <w:i w:val="0"/>
                <w:iCs w:val="0"/>
                <w:color w:val="000000"/>
                <w:kern w:val="0"/>
                <w:sz w:val="28"/>
                <w:szCs w:val="28"/>
                <w:u w:val="none"/>
                <w:lang w:val="en-US" w:eastAsia="zh-CN" w:bidi="ar"/>
              </w:rPr>
              <w:t>序 号</w:t>
            </w:r>
          </w:p>
        </w:tc>
        <w:tc>
          <w:tcPr>
            <w:tcW w:w="5955" w:type="dxa"/>
            <w:tcBorders>
              <w:top w:val="single" w:color="000000" w:sz="4" w:space="0"/>
              <w:left w:val="single" w:color="000000" w:sz="4" w:space="0"/>
              <w:bottom w:val="single" w:color="000000" w:sz="4" w:space="0"/>
              <w:right w:val="single" w:color="000000" w:sz="4" w:space="0"/>
            </w:tcBorders>
            <w:noWrap w:val="0"/>
            <w:vAlign w:val="center"/>
          </w:tcPr>
          <w:p w14:paraId="2E144B35">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8"/>
                <w:szCs w:val="28"/>
                <w:u w:val="none"/>
              </w:rPr>
            </w:pPr>
            <w:r>
              <w:rPr>
                <w:rFonts w:hint="default" w:ascii="Times New Roman" w:hAnsi="Times New Roman" w:eastAsia="方正黑体_GBK" w:cs="Times New Roman"/>
                <w:i w:val="0"/>
                <w:iCs w:val="0"/>
                <w:color w:val="000000"/>
                <w:kern w:val="0"/>
                <w:sz w:val="28"/>
                <w:szCs w:val="28"/>
                <w:u w:val="none"/>
                <w:lang w:val="en-US" w:eastAsia="zh-CN" w:bidi="ar"/>
              </w:rPr>
              <w:t>工程或费用名称</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349E1C8">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8"/>
                <w:szCs w:val="28"/>
                <w:u w:val="none"/>
              </w:rPr>
            </w:pPr>
            <w:r>
              <w:rPr>
                <w:rFonts w:hint="default" w:ascii="Times New Roman" w:hAnsi="Times New Roman" w:eastAsia="方正黑体_GBK" w:cs="Times New Roman"/>
                <w:i w:val="0"/>
                <w:iCs w:val="0"/>
                <w:color w:val="000000"/>
                <w:kern w:val="0"/>
                <w:sz w:val="28"/>
                <w:szCs w:val="28"/>
                <w:u w:val="none"/>
                <w:lang w:val="en-US" w:eastAsia="zh-CN" w:bidi="ar"/>
              </w:rPr>
              <w:t>金额（万元）</w:t>
            </w:r>
          </w:p>
        </w:tc>
      </w:tr>
      <w:tr w14:paraId="7B400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107" w:type="dxa"/>
            <w:tcBorders>
              <w:top w:val="single" w:color="000000" w:sz="4" w:space="0"/>
              <w:left w:val="single" w:color="000000" w:sz="4" w:space="0"/>
              <w:bottom w:val="single" w:color="000000" w:sz="4" w:space="0"/>
              <w:right w:val="single" w:color="000000" w:sz="4" w:space="0"/>
            </w:tcBorders>
            <w:noWrap w:val="0"/>
            <w:vAlign w:val="center"/>
          </w:tcPr>
          <w:p w14:paraId="046E9283">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一</w:t>
            </w:r>
          </w:p>
        </w:tc>
        <w:tc>
          <w:tcPr>
            <w:tcW w:w="5955" w:type="dxa"/>
            <w:tcBorders>
              <w:top w:val="single" w:color="000000" w:sz="4" w:space="0"/>
              <w:left w:val="single" w:color="000000" w:sz="4" w:space="0"/>
              <w:bottom w:val="single" w:color="000000" w:sz="4" w:space="0"/>
              <w:right w:val="single" w:color="000000" w:sz="4" w:space="0"/>
            </w:tcBorders>
            <w:noWrap w:val="0"/>
            <w:vAlign w:val="center"/>
          </w:tcPr>
          <w:p w14:paraId="77D17E90">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工程费用</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E4DAEB6">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 xml:space="preserve">133.53 </w:t>
            </w:r>
          </w:p>
        </w:tc>
      </w:tr>
      <w:tr w14:paraId="54454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1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F3846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59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D108F3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黔江区2026年“四好农村路”建设项目城南街道一心社区3组碑跟前至菱角社区7组大茶园联网路硬化工程</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11667C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133.53 </w:t>
            </w:r>
          </w:p>
        </w:tc>
      </w:tr>
      <w:tr w14:paraId="697D1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107" w:type="dxa"/>
            <w:tcBorders>
              <w:top w:val="single" w:color="000000" w:sz="4" w:space="0"/>
              <w:left w:val="single" w:color="000000" w:sz="4" w:space="0"/>
              <w:bottom w:val="single" w:color="000000" w:sz="4" w:space="0"/>
              <w:right w:val="single" w:color="000000" w:sz="4" w:space="0"/>
            </w:tcBorders>
            <w:noWrap w:val="0"/>
            <w:vAlign w:val="center"/>
          </w:tcPr>
          <w:p w14:paraId="7CB4B2DC">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二</w:t>
            </w:r>
          </w:p>
        </w:tc>
        <w:tc>
          <w:tcPr>
            <w:tcW w:w="5955" w:type="dxa"/>
            <w:tcBorders>
              <w:top w:val="single" w:color="000000" w:sz="4" w:space="0"/>
              <w:left w:val="single" w:color="000000" w:sz="4" w:space="0"/>
              <w:bottom w:val="single" w:color="000000" w:sz="4" w:space="0"/>
              <w:right w:val="single" w:color="000000" w:sz="4" w:space="0"/>
            </w:tcBorders>
            <w:noWrap w:val="0"/>
            <w:vAlign w:val="center"/>
          </w:tcPr>
          <w:p w14:paraId="75CC784E">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工程建设其他费</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959FB70">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 xml:space="preserve">6.45 </w:t>
            </w:r>
          </w:p>
        </w:tc>
      </w:tr>
      <w:tr w14:paraId="2B88C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1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A4612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59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7F6A94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工程建设监理费</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5368CE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3.06 </w:t>
            </w:r>
          </w:p>
        </w:tc>
      </w:tr>
      <w:tr w14:paraId="12C65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1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A2E53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w:t>
            </w:r>
          </w:p>
        </w:tc>
        <w:tc>
          <w:tcPr>
            <w:tcW w:w="59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87E88E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建设项目前期工作费</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C4693C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2.76 </w:t>
            </w:r>
          </w:p>
        </w:tc>
      </w:tr>
      <w:tr w14:paraId="7DD29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1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ADCE7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w:t>
            </w:r>
          </w:p>
        </w:tc>
        <w:tc>
          <w:tcPr>
            <w:tcW w:w="59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C2C6A0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设计文件审查费</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E5501B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0.10 </w:t>
            </w:r>
          </w:p>
        </w:tc>
      </w:tr>
      <w:tr w14:paraId="40DEB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1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CB70F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4</w:t>
            </w:r>
          </w:p>
        </w:tc>
        <w:tc>
          <w:tcPr>
            <w:tcW w:w="59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0F76F3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工程保险费</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737986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0.53 </w:t>
            </w:r>
          </w:p>
        </w:tc>
      </w:tr>
      <w:tr w14:paraId="6A0DE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107" w:type="dxa"/>
            <w:tcBorders>
              <w:top w:val="single" w:color="000000" w:sz="4" w:space="0"/>
              <w:left w:val="single" w:color="000000" w:sz="4" w:space="0"/>
              <w:bottom w:val="single" w:color="000000" w:sz="4" w:space="0"/>
              <w:right w:val="single" w:color="000000" w:sz="4" w:space="0"/>
            </w:tcBorders>
            <w:noWrap w:val="0"/>
            <w:vAlign w:val="center"/>
          </w:tcPr>
          <w:p w14:paraId="12C7FCBF">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三</w:t>
            </w:r>
          </w:p>
        </w:tc>
        <w:tc>
          <w:tcPr>
            <w:tcW w:w="5955" w:type="dxa"/>
            <w:tcBorders>
              <w:top w:val="single" w:color="000000" w:sz="4" w:space="0"/>
              <w:left w:val="single" w:color="000000" w:sz="4" w:space="0"/>
              <w:bottom w:val="single" w:color="000000" w:sz="4" w:space="0"/>
              <w:right w:val="single" w:color="000000" w:sz="4" w:space="0"/>
            </w:tcBorders>
            <w:noWrap w:val="0"/>
            <w:vAlign w:val="center"/>
          </w:tcPr>
          <w:p w14:paraId="02E94526">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基本预备费</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1779EF1">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 xml:space="preserve">4.20 </w:t>
            </w:r>
          </w:p>
        </w:tc>
      </w:tr>
      <w:tr w14:paraId="1CB4A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107" w:type="dxa"/>
            <w:tcBorders>
              <w:top w:val="single" w:color="000000" w:sz="4" w:space="0"/>
              <w:left w:val="single" w:color="000000" w:sz="4" w:space="0"/>
              <w:bottom w:val="single" w:color="000000" w:sz="4" w:space="0"/>
              <w:right w:val="single" w:color="000000" w:sz="4" w:space="0"/>
            </w:tcBorders>
            <w:noWrap w:val="0"/>
            <w:vAlign w:val="center"/>
          </w:tcPr>
          <w:p w14:paraId="0173EDBF">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四</w:t>
            </w:r>
          </w:p>
        </w:tc>
        <w:tc>
          <w:tcPr>
            <w:tcW w:w="5955" w:type="dxa"/>
            <w:tcBorders>
              <w:top w:val="single" w:color="000000" w:sz="4" w:space="0"/>
              <w:left w:val="single" w:color="000000" w:sz="4" w:space="0"/>
              <w:bottom w:val="single" w:color="000000" w:sz="4" w:space="0"/>
              <w:right w:val="single" w:color="000000" w:sz="4" w:space="0"/>
            </w:tcBorders>
            <w:noWrap w:val="0"/>
            <w:vAlign w:val="center"/>
          </w:tcPr>
          <w:p w14:paraId="3ED5CDE4">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建设项目总投资估算</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7E009D3C">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144.18</w:t>
            </w:r>
          </w:p>
        </w:tc>
      </w:tr>
    </w:tbl>
    <w:p w14:paraId="65627FFB">
      <w:pPr>
        <w:pStyle w:val="6"/>
        <w:rPr>
          <w:rFonts w:hint="eastAsia" w:ascii="方正黑体_GBK" w:hAnsi="方正黑体_GBK" w:eastAsia="方正黑体_GBK" w:cs="方正黑体_GBK"/>
          <w:sz w:val="32"/>
          <w:szCs w:val="32"/>
        </w:rPr>
      </w:pPr>
    </w:p>
    <w:p w14:paraId="4A51FCF3">
      <w:pPr>
        <w:pStyle w:val="6"/>
        <w:spacing w:line="500" w:lineRule="exac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p>
    <w:p w14:paraId="78FAA6D7">
      <w:pPr>
        <w:pStyle w:val="6"/>
        <w:spacing w:line="500" w:lineRule="exact"/>
        <w:rPr>
          <w:rFonts w:hint="eastAsia" w:ascii="Times New Roman" w:hAnsi="Times New Roman" w:eastAsia="方正仿宋_GBK" w:cs="Times New Roman"/>
          <w:sz w:val="32"/>
          <w:szCs w:val="32"/>
          <w:lang w:val="en-US" w:eastAsia="zh-CN"/>
        </w:rPr>
      </w:pPr>
    </w:p>
    <w:p w14:paraId="7C2B9B07">
      <w:pPr>
        <w:pStyle w:val="6"/>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32"/>
          <w:szCs w:val="32"/>
          <w:lang w:val="en-US" w:eastAsia="zh-CN"/>
        </w:rPr>
      </w:pPr>
    </w:p>
    <w:p w14:paraId="41BFECC6">
      <w:pPr>
        <w:keepNext w:val="0"/>
        <w:keepLines w:val="0"/>
        <w:pageBreakBefore w:val="0"/>
        <w:widowControl w:val="0"/>
        <w:kinsoku/>
        <w:wordWrap/>
        <w:overflowPunct/>
        <w:topLinePunct w:val="0"/>
        <w:autoSpaceDE/>
        <w:autoSpaceDN/>
        <w:bidi w:val="0"/>
        <w:adjustRightInd/>
        <w:snapToGrid/>
        <w:spacing w:line="240" w:lineRule="exact"/>
        <w:textAlignment w:val="auto"/>
      </w:pPr>
    </w:p>
    <w:p w14:paraId="68036EEA"/>
    <w:p w14:paraId="0D7F96B5">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4E696F5E">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w:t>
      </w:r>
      <w:r>
        <w:rPr>
          <w:rFonts w:hint="eastAsia" w:eastAsia="方正仿宋_GBK"/>
          <w:sz w:val="28"/>
          <w:szCs w:val="28"/>
          <w:u w:val="single"/>
          <w:lang w:eastAsia="zh-CN"/>
        </w:rPr>
        <w:t>纪委监委、区财政局、区审计局</w:t>
      </w:r>
      <w:r>
        <w:rPr>
          <w:rFonts w:hint="eastAsia" w:eastAsia="方正仿宋_GBK"/>
          <w:sz w:val="28"/>
          <w:szCs w:val="28"/>
          <w:u w:val="single"/>
        </w:rPr>
        <w:t xml:space="preserve">。  </w:t>
      </w:r>
      <w:r>
        <w:rPr>
          <w:rFonts w:hint="eastAsia" w:eastAsia="方正仿宋_GBK"/>
          <w:sz w:val="28"/>
          <w:szCs w:val="28"/>
          <w:u w:val="single"/>
          <w:lang w:val="en-US" w:eastAsia="zh-CN"/>
        </w:rPr>
        <w:t xml:space="preserve">                  </w:t>
      </w:r>
      <w:r>
        <w:rPr>
          <w:rFonts w:hint="eastAsia" w:eastAsia="方正仿宋_GBK"/>
          <w:sz w:val="28"/>
          <w:szCs w:val="28"/>
          <w:u w:val="single"/>
        </w:rPr>
        <w:t xml:space="preserve">      </w:t>
      </w:r>
    </w:p>
    <w:p w14:paraId="2B2DF0F7">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6</w:t>
      </w:r>
      <w:r>
        <w:rPr>
          <w:rFonts w:eastAsia="方正仿宋_GBK"/>
          <w:sz w:val="28"/>
          <w:szCs w:val="28"/>
          <w:u w:val="thick"/>
        </w:rPr>
        <w:t>月</w:t>
      </w:r>
      <w:r>
        <w:rPr>
          <w:rFonts w:hint="eastAsia" w:eastAsia="方正仿宋_GBK"/>
          <w:sz w:val="28"/>
          <w:szCs w:val="28"/>
          <w:u w:val="thick"/>
          <w:lang w:val="en-US" w:eastAsia="zh-CN"/>
        </w:rPr>
        <w:t>25</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5" w:type="default"/>
      <w:headerReference r:id="rId4" w:type="even"/>
      <w:footerReference r:id="rId6" w:type="even"/>
      <w:pgSz w:w="11907" w:h="16840"/>
      <w:pgMar w:top="2098" w:right="1474" w:bottom="1985" w:left="1588" w:header="851" w:footer="1134" w:gutter="0"/>
      <w:pgNumType w:fmt="decimal"/>
      <w:cols w:space="720" w:num="1"/>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panose1 w:val="020B0504020202030204"/>
    <w:charset w:val="00"/>
    <w:family w:val="swiss"/>
    <w:pitch w:val="default"/>
    <w:sig w:usb0="00000007" w:usb1="00000000" w:usb2="00000000" w:usb3="00000000" w:csb0="00000093"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9E8639A2-B88B-44A6-8124-850FD644BF5E}"/>
  </w:font>
  <w:font w:name="Verdana">
    <w:panose1 w:val="020B0604030504040204"/>
    <w:charset w:val="00"/>
    <w:family w:val="swiss"/>
    <w:pitch w:val="default"/>
    <w:sig w:usb0="A1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embedRegular r:id="rId2" w:fontKey="{0C81BF7F-40C3-478A-87C8-EADDB44E2359}"/>
  </w:font>
  <w:font w:name="方正楷体_GBK">
    <w:panose1 w:val="03000509000000000000"/>
    <w:charset w:val="86"/>
    <w:family w:val="auto"/>
    <w:pitch w:val="default"/>
    <w:sig w:usb0="00000001" w:usb1="080E0000" w:usb2="00000000" w:usb3="00000000" w:csb0="00040000" w:csb1="00000000"/>
    <w:embedRegular r:id="rId3" w:fontKey="{9AEF9E2B-0AFC-4C6E-9D19-7EC1C9195A67}"/>
  </w:font>
  <w:font w:name="方正小标宋_GBK">
    <w:panose1 w:val="03000509000000000000"/>
    <w:charset w:val="86"/>
    <w:family w:val="script"/>
    <w:pitch w:val="default"/>
    <w:sig w:usb0="00000001" w:usb1="080E0000" w:usb2="00000000" w:usb3="00000000" w:csb0="00040000" w:csb1="00000000"/>
    <w:embedRegular r:id="rId4" w:fontKey="{69A68EF5-8A8C-4431-A9AC-14804FBB623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ECCB4">
    <w:pPr>
      <w:pStyle w:val="9"/>
      <w:ind w:right="360" w:firstLine="360"/>
      <w:rPr>
        <w:rFonts w:hint="eastAsia" w:ascii="宋体" w:hAnsi="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4308FA">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44308FA">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E2246">
    <w:pPr>
      <w:framePr w:wrap="around" w:vAnchor="text" w:hAnchor="margin" w:xAlign="outside" w:y="1"/>
      <w:rPr>
        <w:b/>
        <w:bCs/>
        <w:sz w:val="24"/>
      </w:rPr>
    </w:pPr>
    <w:r>
      <w:rPr>
        <w:b/>
        <w:bCs/>
        <w:sz w:val="24"/>
      </w:rPr>
      <w:t>-</w:t>
    </w:r>
    <w:r>
      <w:rPr>
        <w:b/>
        <w:bCs/>
        <w:sz w:val="24"/>
      </w:rPr>
      <w:fldChar w:fldCharType="begin"/>
    </w:r>
    <w:r>
      <w:rPr>
        <w:b/>
        <w:bCs/>
        <w:sz w:val="24"/>
      </w:rPr>
      <w:instrText xml:space="preserve">PAGE  </w:instrText>
    </w:r>
    <w:r>
      <w:rPr>
        <w:b/>
        <w:bCs/>
        <w:sz w:val="24"/>
      </w:rPr>
      <w:fldChar w:fldCharType="separate"/>
    </w:r>
    <w:r>
      <w:rPr>
        <w:b/>
        <w:bCs/>
        <w:sz w:val="24"/>
      </w:rPr>
      <w:t>2</w:t>
    </w:r>
    <w:r>
      <w:rPr>
        <w:b/>
        <w:bCs/>
        <w:sz w:val="24"/>
      </w:rPr>
      <w:fldChar w:fldCharType="end"/>
    </w:r>
    <w:r>
      <w:rPr>
        <w:b/>
        <w:bCs/>
        <w:sz w:val="24"/>
      </w:rPr>
      <w:t>-</w:t>
    </w:r>
  </w:p>
  <w:p w14:paraId="71C08DFA">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CE84A">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61D41">
    <w:pPr>
      <w:pStyle w:val="10"/>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4619"/>
    <w:rsid w:val="00524DDD"/>
    <w:rsid w:val="00533EEC"/>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25089"/>
    <w:rsid w:val="00830A3C"/>
    <w:rsid w:val="00831F42"/>
    <w:rsid w:val="00834164"/>
    <w:rsid w:val="008443C6"/>
    <w:rsid w:val="008520DD"/>
    <w:rsid w:val="0085214D"/>
    <w:rsid w:val="00864418"/>
    <w:rsid w:val="0086784B"/>
    <w:rsid w:val="00892405"/>
    <w:rsid w:val="008A532E"/>
    <w:rsid w:val="008B1E98"/>
    <w:rsid w:val="008B7A16"/>
    <w:rsid w:val="008E0EBC"/>
    <w:rsid w:val="008E704A"/>
    <w:rsid w:val="00913D61"/>
    <w:rsid w:val="00957973"/>
    <w:rsid w:val="00964278"/>
    <w:rsid w:val="0097005A"/>
    <w:rsid w:val="00974520"/>
    <w:rsid w:val="0099306D"/>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1BE3"/>
    <w:rsid w:val="00FB1403"/>
    <w:rsid w:val="00FC6354"/>
    <w:rsid w:val="00FD1DE0"/>
    <w:rsid w:val="00FD56D1"/>
    <w:rsid w:val="00FE11B7"/>
    <w:rsid w:val="04BB474E"/>
    <w:rsid w:val="077A3CEC"/>
    <w:rsid w:val="09FA769E"/>
    <w:rsid w:val="0B7A378A"/>
    <w:rsid w:val="0C443D5D"/>
    <w:rsid w:val="0C4A4FFD"/>
    <w:rsid w:val="0CFC0645"/>
    <w:rsid w:val="0D37421D"/>
    <w:rsid w:val="0E090617"/>
    <w:rsid w:val="0F79319A"/>
    <w:rsid w:val="111B3704"/>
    <w:rsid w:val="11994C17"/>
    <w:rsid w:val="119A3908"/>
    <w:rsid w:val="14CA633F"/>
    <w:rsid w:val="15636F5B"/>
    <w:rsid w:val="175C5702"/>
    <w:rsid w:val="181B2628"/>
    <w:rsid w:val="193E59D1"/>
    <w:rsid w:val="1A261065"/>
    <w:rsid w:val="1F013809"/>
    <w:rsid w:val="1F950368"/>
    <w:rsid w:val="208F215E"/>
    <w:rsid w:val="250D18ED"/>
    <w:rsid w:val="25195CAD"/>
    <w:rsid w:val="254A0970"/>
    <w:rsid w:val="27F93F48"/>
    <w:rsid w:val="28D139F4"/>
    <w:rsid w:val="2A57764A"/>
    <w:rsid w:val="2AD46A97"/>
    <w:rsid w:val="2EBC0D41"/>
    <w:rsid w:val="2F7B047E"/>
    <w:rsid w:val="31A87524"/>
    <w:rsid w:val="39705D78"/>
    <w:rsid w:val="397671E0"/>
    <w:rsid w:val="3C3A085B"/>
    <w:rsid w:val="3E011B99"/>
    <w:rsid w:val="3EF47EDA"/>
    <w:rsid w:val="40A351EE"/>
    <w:rsid w:val="459B6D2C"/>
    <w:rsid w:val="47DB5B06"/>
    <w:rsid w:val="487D33E1"/>
    <w:rsid w:val="4EC477AE"/>
    <w:rsid w:val="4F735634"/>
    <w:rsid w:val="4FFB4CF6"/>
    <w:rsid w:val="5130612A"/>
    <w:rsid w:val="534E1E00"/>
    <w:rsid w:val="53F56AAD"/>
    <w:rsid w:val="555A2A20"/>
    <w:rsid w:val="5726180C"/>
    <w:rsid w:val="57A8352A"/>
    <w:rsid w:val="5A6A3D0A"/>
    <w:rsid w:val="5BD23919"/>
    <w:rsid w:val="5E067F26"/>
    <w:rsid w:val="5F75634D"/>
    <w:rsid w:val="5FFE1A79"/>
    <w:rsid w:val="612F609D"/>
    <w:rsid w:val="616F605C"/>
    <w:rsid w:val="635E7EF7"/>
    <w:rsid w:val="653B0AE4"/>
    <w:rsid w:val="66560D21"/>
    <w:rsid w:val="667B707B"/>
    <w:rsid w:val="678D70A8"/>
    <w:rsid w:val="67C75C7F"/>
    <w:rsid w:val="6A6C1DE8"/>
    <w:rsid w:val="6AF30A16"/>
    <w:rsid w:val="6BAE6A0F"/>
    <w:rsid w:val="6C68355C"/>
    <w:rsid w:val="6CE440E0"/>
    <w:rsid w:val="6DAE50AD"/>
    <w:rsid w:val="6EF61234"/>
    <w:rsid w:val="6F321C00"/>
    <w:rsid w:val="72141C90"/>
    <w:rsid w:val="74BA4923"/>
    <w:rsid w:val="74D52025"/>
    <w:rsid w:val="75CB0D5B"/>
    <w:rsid w:val="764E6BC5"/>
    <w:rsid w:val="78624336"/>
    <w:rsid w:val="798F3B70"/>
    <w:rsid w:val="7AED1855"/>
    <w:rsid w:val="7D496A92"/>
    <w:rsid w:val="D7F714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默认"/>
    <w:qFormat/>
    <w:uiPriority w:val="0"/>
    <w:rPr>
      <w:rFonts w:ascii="Helvetica" w:hAnsi="Helvetica" w:eastAsia="Helvetica" w:cs="Helvetica"/>
      <w:color w:val="000000"/>
      <w:sz w:val="22"/>
      <w:szCs w:val="22"/>
      <w:lang w:val="en-US" w:eastAsia="zh-CN" w:bidi="ar-SA"/>
    </w:rPr>
  </w:style>
  <w:style w:type="paragraph" w:styleId="4">
    <w:name w:val="Body Text Indent"/>
    <w:basedOn w:val="1"/>
    <w:qFormat/>
    <w:uiPriority w:val="0"/>
    <w:pPr>
      <w:ind w:firstLine="640" w:firstLineChars="200"/>
    </w:pPr>
    <w:rPr>
      <w:rFonts w:eastAsia="仿宋_GB2312"/>
      <w:sz w:val="32"/>
    </w:rPr>
  </w:style>
  <w:style w:type="paragraph" w:styleId="5">
    <w:name w:val="toc 5"/>
    <w:basedOn w:val="1"/>
    <w:next w:val="1"/>
    <w:qFormat/>
    <w:uiPriority w:val="0"/>
    <w:pPr>
      <w:ind w:left="840"/>
    </w:pPr>
    <w:rPr>
      <w:sz w:val="18"/>
      <w:szCs w:val="18"/>
    </w:rPr>
  </w:style>
  <w:style w:type="paragraph" w:styleId="6">
    <w:name w:val="Plain Text"/>
    <w:basedOn w:val="1"/>
    <w:unhideWhenUsed/>
    <w:qFormat/>
    <w:uiPriority w:val="99"/>
    <w:rPr>
      <w:rFonts w:ascii="宋体" w:hAnsi="Courier New"/>
    </w:rPr>
  </w:style>
  <w:style w:type="paragraph" w:styleId="7">
    <w:name w:val="Body Text Indent 2"/>
    <w:basedOn w:val="1"/>
    <w:qFormat/>
    <w:uiPriority w:val="0"/>
    <w:pPr>
      <w:ind w:firstLine="645"/>
    </w:pPr>
    <w:rPr>
      <w:rFonts w:ascii="黑体" w:eastAsia="黑体"/>
      <w:sz w:val="32"/>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4">
    <w:name w:val="page number"/>
    <w:basedOn w:val="13"/>
    <w:qFormat/>
    <w:uiPriority w:val="0"/>
  </w:style>
  <w:style w:type="character" w:customStyle="1" w:styleId="15">
    <w:name w:val="页眉 Char"/>
    <w:basedOn w:val="13"/>
    <w:link w:val="10"/>
    <w:semiHidden/>
    <w:qFormat/>
    <w:locked/>
    <w:uiPriority w:val="0"/>
    <w:rPr>
      <w:rFonts w:eastAsia="宋体"/>
      <w:kern w:val="2"/>
      <w:sz w:val="18"/>
      <w:szCs w:val="18"/>
      <w:lang w:val="en-US" w:eastAsia="zh-CN" w:bidi="ar-SA"/>
    </w:rPr>
  </w:style>
  <w:style w:type="character" w:customStyle="1" w:styleId="16">
    <w:name w:val="font21"/>
    <w:basedOn w:val="13"/>
    <w:qFormat/>
    <w:uiPriority w:val="0"/>
    <w:rPr>
      <w:rFonts w:hint="eastAsia" w:ascii="宋体" w:hAnsi="宋体" w:eastAsia="宋体" w:cs="宋体"/>
      <w:color w:val="000000"/>
      <w:sz w:val="24"/>
      <w:szCs w:val="24"/>
      <w:u w:val="none"/>
    </w:rPr>
  </w:style>
  <w:style w:type="character" w:customStyle="1" w:styleId="17">
    <w:name w:val="font41"/>
    <w:basedOn w:val="13"/>
    <w:qFormat/>
    <w:uiPriority w:val="0"/>
    <w:rPr>
      <w:rFonts w:hint="eastAsia" w:ascii="方正仿宋_GBK" w:hAnsi="方正仿宋_GBK" w:eastAsia="方正仿宋_GBK" w:cs="方正仿宋_GBK"/>
      <w:color w:val="000000"/>
      <w:sz w:val="28"/>
      <w:szCs w:val="28"/>
      <w:u w:val="none"/>
    </w:rPr>
  </w:style>
  <w:style w:type="paragraph" w:customStyle="1" w:styleId="18">
    <w:name w:val="默认段落字体 Para Char Char Char Char"/>
    <w:basedOn w:val="1"/>
    <w:qFormat/>
    <w:uiPriority w:val="0"/>
    <w:rPr>
      <w:szCs w:val="20"/>
    </w:rPr>
  </w:style>
  <w:style w:type="paragraph" w:customStyle="1" w:styleId="19">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20">
    <w:name w:val="font71"/>
    <w:basedOn w:val="13"/>
    <w:qFormat/>
    <w:uiPriority w:val="0"/>
    <w:rPr>
      <w:rFonts w:ascii="方正黑体_GBK" w:hAnsi="方正黑体_GBK" w:eastAsia="方正黑体_GBK" w:cs="方正黑体_GBK"/>
      <w:color w:val="000000"/>
      <w:sz w:val="28"/>
      <w:szCs w:val="28"/>
      <w:u w:val="none"/>
    </w:rPr>
  </w:style>
  <w:style w:type="character" w:customStyle="1" w:styleId="21">
    <w:name w:val="font81"/>
    <w:basedOn w:val="13"/>
    <w:qFormat/>
    <w:uiPriority w:val="0"/>
    <w:rPr>
      <w:rFonts w:ascii="方正楷体_GBK" w:hAnsi="方正楷体_GBK" w:eastAsia="方正楷体_GBK" w:cs="方正楷体_GBK"/>
      <w:b/>
      <w:bCs/>
      <w:color w:val="000000"/>
      <w:sz w:val="24"/>
      <w:szCs w:val="24"/>
      <w:u w:val="none"/>
    </w:rPr>
  </w:style>
  <w:style w:type="character" w:customStyle="1" w:styleId="22">
    <w:name w:val="font91"/>
    <w:basedOn w:val="13"/>
    <w:qFormat/>
    <w:uiPriority w:val="0"/>
    <w:rPr>
      <w:rFonts w:ascii="方正仿宋_GBK" w:hAnsi="方正仿宋_GBK" w:eastAsia="方正仿宋_GBK" w:cs="方正仿宋_GBK"/>
      <w:color w:val="000000"/>
      <w:sz w:val="24"/>
      <w:szCs w:val="24"/>
      <w:u w:val="none"/>
    </w:rPr>
  </w:style>
  <w:style w:type="character" w:customStyle="1" w:styleId="23">
    <w:name w:val="font101"/>
    <w:basedOn w:val="13"/>
    <w:qFormat/>
    <w:uiPriority w:val="0"/>
    <w:rPr>
      <w:rFonts w:hint="eastAsia" w:ascii="方正仿宋_GBK" w:hAnsi="方正仿宋_GBK" w:eastAsia="方正仿宋_GBK" w:cs="方正仿宋_GBK"/>
      <w:color w:val="000000"/>
      <w:sz w:val="24"/>
      <w:szCs w:val="24"/>
      <w:u w:val="none"/>
    </w:rPr>
  </w:style>
  <w:style w:type="character" w:customStyle="1" w:styleId="24">
    <w:name w:val="font61"/>
    <w:basedOn w:val="13"/>
    <w:qFormat/>
    <w:uiPriority w:val="0"/>
    <w:rPr>
      <w:rFonts w:hint="default" w:ascii="Times New Roman" w:hAnsi="Times New Roman" w:cs="Times New Roman"/>
      <w:color w:val="000000"/>
      <w:sz w:val="24"/>
      <w:szCs w:val="24"/>
      <w:u w:val="none"/>
    </w:rPr>
  </w:style>
  <w:style w:type="paragraph" w:customStyle="1" w:styleId="25">
    <w:name w:val="_Style 5"/>
    <w:basedOn w:val="1"/>
    <w:qFormat/>
    <w:uiPriority w:val="0"/>
  </w:style>
  <w:style w:type="character" w:customStyle="1" w:styleId="26">
    <w:name w:val="font51"/>
    <w:basedOn w:val="13"/>
    <w:qFormat/>
    <w:uiPriority w:val="0"/>
    <w:rPr>
      <w:rFonts w:ascii="方正黑体_GBK" w:hAnsi="方正黑体_GBK" w:eastAsia="方正黑体_GBK" w:cs="方正黑体_GBK"/>
      <w:color w:val="000000"/>
      <w:sz w:val="28"/>
      <w:szCs w:val="28"/>
      <w:u w:val="none"/>
    </w:rPr>
  </w:style>
  <w:style w:type="character" w:customStyle="1" w:styleId="27">
    <w:name w:val="font12"/>
    <w:basedOn w:val="13"/>
    <w:qFormat/>
    <w:uiPriority w:val="0"/>
    <w:rPr>
      <w:rFonts w:hint="eastAsia" w:ascii="方正黑体_GBK" w:hAnsi="方正黑体_GBK" w:eastAsia="方正黑体_GBK" w:cs="方正黑体_GBK"/>
      <w:color w:val="000000"/>
      <w:sz w:val="28"/>
      <w:szCs w:val="28"/>
      <w:u w:val="none"/>
    </w:rPr>
  </w:style>
  <w:style w:type="character" w:customStyle="1" w:styleId="28">
    <w:name w:val="font111"/>
    <w:basedOn w:val="13"/>
    <w:qFormat/>
    <w:uiPriority w:val="0"/>
    <w:rPr>
      <w:rFonts w:ascii="方正楷体_GBK" w:hAnsi="方正楷体_GBK" w:eastAsia="方正楷体_GBK" w:cs="方正楷体_GBK"/>
      <w:b/>
      <w:bCs/>
      <w:color w:val="000000"/>
      <w:sz w:val="24"/>
      <w:szCs w:val="24"/>
      <w:u w:val="none"/>
    </w:rPr>
  </w:style>
  <w:style w:type="character" w:customStyle="1" w:styleId="29">
    <w:name w:val="font122"/>
    <w:basedOn w:val="13"/>
    <w:qFormat/>
    <w:uiPriority w:val="0"/>
    <w:rPr>
      <w:rFonts w:ascii="方正仿宋_GBK" w:hAnsi="方正仿宋_GBK" w:eastAsia="方正仿宋_GBK" w:cs="方正仿宋_GBK"/>
      <w:color w:val="000000"/>
      <w:sz w:val="24"/>
      <w:szCs w:val="24"/>
      <w:u w:val="none"/>
    </w:rPr>
  </w:style>
  <w:style w:type="character" w:customStyle="1" w:styleId="30">
    <w:name w:val="font131"/>
    <w:basedOn w:val="13"/>
    <w:qFormat/>
    <w:uiPriority w:val="0"/>
    <w:rPr>
      <w:rFonts w:hint="eastAsia" w:ascii="方正仿宋_GBK" w:hAnsi="方正仿宋_GBK" w:eastAsia="方正仿宋_GBK" w:cs="方正仿宋_GBK"/>
      <w:color w:val="000000"/>
      <w:sz w:val="20"/>
      <w:szCs w:val="20"/>
      <w:u w:val="none"/>
    </w:rPr>
  </w:style>
  <w:style w:type="character" w:customStyle="1" w:styleId="31">
    <w:name w:val="font31"/>
    <w:basedOn w:val="13"/>
    <w:qFormat/>
    <w:uiPriority w:val="0"/>
    <w:rPr>
      <w:rFonts w:hint="default" w:ascii="Times New Roman" w:hAnsi="Times New Roman" w:cs="Times New Roman"/>
      <w:color w:val="000000"/>
      <w:sz w:val="28"/>
      <w:szCs w:val="28"/>
      <w:u w:val="none"/>
    </w:rPr>
  </w:style>
  <w:style w:type="character" w:customStyle="1" w:styleId="32">
    <w:name w:val="font11"/>
    <w:basedOn w:val="13"/>
    <w:qFormat/>
    <w:uiPriority w:val="0"/>
    <w:rPr>
      <w:rFonts w:hint="eastAsia" w:ascii="方正黑体_GBK" w:hAnsi="方正黑体_GBK" w:eastAsia="方正黑体_GBK" w:cs="方正黑体_GBK"/>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周光</Manager>
  <Company>县发展计划委员会</Company>
  <Pages>4</Pages>
  <Words>1184</Words>
  <Characters>1362</Characters>
  <Lines>11</Lines>
  <Paragraphs>3</Paragraphs>
  <TotalTime>4</TotalTime>
  <ScaleCrop>false</ScaleCrop>
  <LinksUpToDate>false</LinksUpToDate>
  <CharactersWithSpaces>2539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2025-09-21T16:21:00Z</dcterms:created>
  <dc:creator>PSJW</dc:creator>
  <cp:lastModifiedBy>董丽莉</cp:lastModifiedBy>
  <cp:lastPrinted>2026-06-25T07:13:00Z</cp:lastPrinted>
  <dcterms:modified xsi:type="dcterms:W3CDTF">2026-06-26T03:17:11Z</dcterms:modified>
  <dc:title>彭水计文件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54A06C9E23EF4D1787F6BA4192D68853_13</vt:lpwstr>
  </property>
</Properties>
</file>