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B55E1E">
      <w:pPr>
        <w:overflowPunct w:val="0"/>
        <w:adjustRightInd/>
        <w:spacing w:line="240" w:lineRule="auto"/>
        <w:rPr>
          <w:rFonts w:ascii="方正仿宋_GBK" w:hAnsi="方正仿宋_GBK" w:cs="方正仿宋_GBK"/>
          <w:bCs/>
          <w:i w:val="0"/>
          <w:iCs w:val="0"/>
        </w:rPr>
      </w:pPr>
    </w:p>
    <w:p w14:paraId="4308993F">
      <w:pPr>
        <w:overflowPunct w:val="0"/>
        <w:adjustRightInd/>
        <w:spacing w:line="240" w:lineRule="auto"/>
        <w:rPr>
          <w:rFonts w:ascii="方正仿宋_GBK" w:hAnsi="方正仿宋_GBK" w:cs="方正仿宋_GBK"/>
          <w:bCs/>
          <w:i w:val="0"/>
          <w:iCs w:val="0"/>
        </w:rPr>
      </w:pPr>
    </w:p>
    <w:p w14:paraId="474B7692">
      <w:pPr>
        <w:overflowPunct w:val="0"/>
        <w:adjustRightInd/>
        <w:spacing w:line="240" w:lineRule="auto"/>
        <w:rPr>
          <w:rFonts w:ascii="方正仿宋_GBK" w:hAnsi="方正仿宋_GBK" w:cs="方正仿宋_GBK"/>
          <w:bCs/>
          <w:i w:val="0"/>
          <w:iCs w:val="0"/>
        </w:rPr>
      </w:pPr>
    </w:p>
    <w:p w14:paraId="1FEE5A1D">
      <w:pPr>
        <w:overflowPunct w:val="0"/>
        <w:adjustRightInd/>
        <w:spacing w:line="240" w:lineRule="auto"/>
        <w:rPr>
          <w:bCs/>
          <w:i w:val="0"/>
          <w:iCs w:val="0"/>
        </w:rPr>
      </w:pPr>
    </w:p>
    <w:p w14:paraId="086C0281">
      <w:pPr>
        <w:overflowPunct w:val="0"/>
        <w:adjustRightInd/>
        <w:spacing w:line="240" w:lineRule="auto"/>
        <w:rPr>
          <w:bCs/>
          <w:i w:val="0"/>
          <w:iCs w:val="0"/>
        </w:rPr>
      </w:pPr>
      <w:r>
        <w:rPr>
          <w:bCs/>
          <w:i w:val="0"/>
          <w:iCs w:val="0"/>
        </w:rPr>
        <w:pict>
          <v:shape id="_x0000_s1032" o:spid="_x0000_s1032" o:spt="136" type="#_x0000_t136" style="position:absolute;left:0pt;margin-left:7.75pt;margin-top:4.8pt;height:53.85pt;width:425.2pt;z-index:251659264;mso-width-relative:page;mso-height-relative:page;" fillcolor="#FF0000" filled="t" stroked="t" coordsize="21600,21600" adj="10800">
            <v:path/>
            <v:fill on="t" color2="#FFFFFF" focussize="0,0"/>
            <v:stroke color="#FF0000"/>
            <v:imagedata o:title=""/>
            <o:lock v:ext="edit" aspectratio="f"/>
            <v:textpath on="t" fitshape="t" fitpath="t" trim="t" xscale="f" string="重庆市黔江区发展和改革委员会文件" style="font-family:方正小标宋_GBK;font-size:36pt;v-text-align:center;"/>
          </v:shape>
        </w:pict>
      </w:r>
    </w:p>
    <w:p w14:paraId="0B00AF82">
      <w:pPr>
        <w:overflowPunct w:val="0"/>
        <w:adjustRightInd/>
        <w:spacing w:line="240" w:lineRule="auto"/>
        <w:jc w:val="center"/>
        <w:rPr>
          <w:rFonts w:eastAsia="宋体"/>
          <w:i w:val="0"/>
          <w:iCs w:val="0"/>
          <w:kern w:val="2"/>
        </w:rPr>
      </w:pPr>
    </w:p>
    <w:p w14:paraId="09B59DB7">
      <w:pPr>
        <w:overflowPunct w:val="0"/>
        <w:adjustRightInd/>
        <w:spacing w:line="240" w:lineRule="auto"/>
        <w:rPr>
          <w:bCs/>
          <w:i w:val="0"/>
          <w:iCs w:val="0"/>
        </w:rPr>
      </w:pPr>
    </w:p>
    <w:p w14:paraId="2C53E525">
      <w:pPr>
        <w:adjustRightInd/>
        <w:spacing w:line="240" w:lineRule="auto"/>
        <w:jc w:val="center"/>
        <w:rPr>
          <w:i w:val="0"/>
          <w:iCs w:val="0"/>
        </w:rPr>
      </w:pPr>
    </w:p>
    <w:p w14:paraId="71650508">
      <w:pPr>
        <w:tabs>
          <w:tab w:val="left" w:pos="2270"/>
          <w:tab w:val="center" w:pos="4482"/>
        </w:tabs>
        <w:adjustRightInd/>
        <w:spacing w:line="240" w:lineRule="auto"/>
        <w:jc w:val="left"/>
        <w:rPr>
          <w:rFonts w:eastAsia="宋体"/>
          <w:bCs/>
          <w:i w:val="0"/>
          <w:iCs w:val="0"/>
        </w:rPr>
      </w:pPr>
      <w:r>
        <w:rPr>
          <w:i w:val="0"/>
          <w:iCs w:val="0"/>
        </w:rPr>
        <w:pict>
          <v:rect id="_x0000_s1026" o:spid="_x0000_s1026" o:spt="1" style="position:absolute;left:0pt;margin-left:0pt;margin-top:25.95pt;height:2.25pt;width:442.2pt;z-index:251659264;mso-width-relative:page;mso-height-relative:page;" fillcolor="#FF0202" filled="t" stroked="f" coordsize="21600,21600">
            <v:path/>
            <v:fill on="t" focussize="0,0"/>
            <v:stroke on="f"/>
            <v:imagedata o:title=""/>
            <o:lock v:ext="edit"/>
            <v:textbox>
              <w:txbxContent>
                <w:p w14:paraId="7480E1FE">
                  <w:pPr>
                    <w:jc w:val="center"/>
                  </w:pPr>
                </w:p>
              </w:txbxContent>
            </v:textbox>
          </v:rect>
        </w:pict>
      </w:r>
      <w:bookmarkStart w:id="0" w:name="approveNum"/>
      <w:r>
        <w:rPr>
          <w:rFonts w:hint="eastAsia"/>
          <w:i w:val="0"/>
          <w:iCs w:val="0"/>
          <w:lang w:eastAsia="zh-CN"/>
        </w:rPr>
        <w:tab/>
      </w:r>
      <w:r>
        <w:rPr>
          <w:rFonts w:hint="eastAsia"/>
          <w:i w:val="0"/>
          <w:iCs w:val="0"/>
          <w:lang w:eastAsia="zh-CN"/>
        </w:rPr>
        <w:t>黔江发改委发〔2026〕</w:t>
      </w:r>
      <w:r>
        <w:rPr>
          <w:rFonts w:hint="eastAsia"/>
          <w:i w:val="0"/>
          <w:iCs w:val="0"/>
          <w:lang w:val="en-US" w:eastAsia="zh-CN"/>
        </w:rPr>
        <w:t>213</w:t>
      </w:r>
      <w:r>
        <w:rPr>
          <w:rFonts w:ascii="方正仿宋_GBK" w:hAnsi="方正仿宋_GBK" w:cs="方正仿宋_GBK"/>
          <w:i w:val="0"/>
          <w:iCs w:val="0"/>
        </w:rPr>
        <w:t>号</w:t>
      </w:r>
      <w:bookmarkEnd w:id="0"/>
    </w:p>
    <w:p w14:paraId="7D23A695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napToGrid/>
        <w:spacing w:line="520" w:lineRule="exact"/>
        <w:jc w:val="center"/>
        <w:rPr>
          <w:bCs/>
          <w:i w:val="0"/>
          <w:iCs w:val="0"/>
        </w:rPr>
      </w:pPr>
    </w:p>
    <w:p w14:paraId="255C8D2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5" w:lineRule="exact"/>
        <w:jc w:val="both"/>
        <w:textAlignment w:val="auto"/>
        <w:rPr>
          <w:rFonts w:eastAsia="方正小标宋_GBK"/>
          <w:i w:val="0"/>
          <w:iCs w:val="0"/>
          <w:kern w:val="2"/>
          <w:sz w:val="44"/>
          <w:szCs w:val="44"/>
        </w:rPr>
      </w:pPr>
    </w:p>
    <w:p w14:paraId="3131F1B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5" w:lineRule="exact"/>
        <w:jc w:val="center"/>
        <w:textAlignment w:val="auto"/>
        <w:rPr>
          <w:rFonts w:ascii="Times New Roman" w:hAnsi="Times New Roman" w:eastAsia="方正小标宋_GBK" w:cs="Times New Roman"/>
          <w:i w:val="0"/>
          <w:iCs w:val="0"/>
          <w:kern w:val="2"/>
          <w:sz w:val="44"/>
          <w:szCs w:val="44"/>
        </w:rPr>
      </w:pPr>
      <w:bookmarkStart w:id="1" w:name="approveUnit"/>
      <w:r>
        <w:rPr>
          <w:rFonts w:ascii="Times New Roman" w:hAnsi="Times New Roman" w:eastAsia="方正小标宋_GBK" w:cs="Times New Roman"/>
          <w:i w:val="0"/>
          <w:iCs w:val="0"/>
          <w:kern w:val="2"/>
          <w:sz w:val="44"/>
          <w:szCs w:val="44"/>
        </w:rPr>
        <w:t>重庆市</w:t>
      </w:r>
      <w:r>
        <w:rPr>
          <w:rFonts w:hint="eastAsia" w:ascii="Times New Roman" w:hAnsi="Times New Roman" w:eastAsia="方正小标宋_GBK" w:cs="Times New Roman"/>
          <w:i w:val="0"/>
          <w:iCs w:val="0"/>
          <w:kern w:val="2"/>
          <w:sz w:val="44"/>
          <w:szCs w:val="44"/>
          <w:lang w:val="en-US" w:eastAsia="zh-CN"/>
        </w:rPr>
        <w:t>黔江区</w:t>
      </w:r>
      <w:r>
        <w:rPr>
          <w:rFonts w:ascii="Times New Roman" w:hAnsi="Times New Roman" w:eastAsia="方正小标宋_GBK" w:cs="Times New Roman"/>
          <w:i w:val="0"/>
          <w:iCs w:val="0"/>
          <w:kern w:val="2"/>
          <w:sz w:val="44"/>
          <w:szCs w:val="44"/>
        </w:rPr>
        <w:t>发展和改革委员会</w:t>
      </w:r>
      <w:bookmarkEnd w:id="1"/>
    </w:p>
    <w:p w14:paraId="1647D59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5" w:lineRule="exact"/>
        <w:jc w:val="center"/>
        <w:textAlignment w:val="auto"/>
        <w:rPr>
          <w:rFonts w:hint="eastAsia"/>
          <w:i w:val="0"/>
          <w:iCs w:val="0"/>
          <w:kern w:val="2"/>
          <w:lang w:val="en-US" w:eastAsia="zh-CN"/>
        </w:rPr>
      </w:pPr>
      <w:r>
        <w:rPr>
          <w:rFonts w:hint="eastAsia" w:ascii="Times New Roman" w:hAnsi="Times New Roman" w:eastAsia="方正小标宋_GBK" w:cs="Times New Roman"/>
          <w:i w:val="0"/>
          <w:iCs w:val="0"/>
          <w:kern w:val="2"/>
          <w:sz w:val="44"/>
          <w:szCs w:val="44"/>
        </w:rPr>
        <w:t>关于黔江区正阳街道桐坪社区运动场项目可行性研究报告的批复</w:t>
      </w:r>
    </w:p>
    <w:p w14:paraId="152C9EA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5" w:lineRule="exact"/>
        <w:textAlignment w:val="auto"/>
        <w:rPr>
          <w:rFonts w:hint="eastAsia"/>
          <w:i w:val="0"/>
          <w:iCs w:val="0"/>
          <w:kern w:val="2"/>
          <w:lang w:val="en-US" w:eastAsia="zh-CN"/>
        </w:rPr>
      </w:pPr>
    </w:p>
    <w:p w14:paraId="32C64E0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5" w:lineRule="exact"/>
        <w:textAlignment w:val="auto"/>
        <w:rPr>
          <w:i w:val="0"/>
          <w:iCs w:val="0"/>
          <w:kern w:val="2"/>
        </w:rPr>
      </w:pPr>
      <w:r>
        <w:rPr>
          <w:rFonts w:hint="eastAsia"/>
          <w:i w:val="0"/>
          <w:iCs w:val="0"/>
          <w:kern w:val="2"/>
          <w:lang w:val="en-US" w:eastAsia="zh-CN"/>
        </w:rPr>
        <w:t>区委党校</w:t>
      </w:r>
      <w:r>
        <w:rPr>
          <w:rFonts w:hint="eastAsia"/>
          <w:i w:val="0"/>
          <w:iCs w:val="0"/>
          <w:kern w:val="2"/>
        </w:rPr>
        <w:t>：</w:t>
      </w:r>
    </w:p>
    <w:p w14:paraId="00AD9D99">
      <w:pPr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line="575" w:lineRule="exact"/>
        <w:ind w:firstLine="632" w:firstLineChars="200"/>
        <w:textAlignment w:val="auto"/>
        <w:rPr>
          <w:rFonts w:hint="default" w:ascii="Times New Roman" w:hAnsi="Times New Roman" w:cs="Times New Roman"/>
          <w:i w:val="0"/>
          <w:iCs w:val="0"/>
          <w:kern w:val="2"/>
        </w:rPr>
      </w:pPr>
      <w:r>
        <w:rPr>
          <w:rFonts w:hint="default" w:ascii="Times New Roman" w:hAnsi="Times New Roman" w:cs="Times New Roman"/>
          <w:i w:val="0"/>
          <w:iCs w:val="0"/>
          <w:kern w:val="2"/>
        </w:rPr>
        <w:t>你单位《</w:t>
      </w:r>
      <w:r>
        <w:rPr>
          <w:rFonts w:hint="eastAsia" w:cs="Times New Roman"/>
          <w:i w:val="0"/>
          <w:iCs w:val="0"/>
          <w:kern w:val="2"/>
          <w:lang w:val="en-US" w:eastAsia="zh-CN"/>
        </w:rPr>
        <w:t>关于审查黔江区正阳街道桐坪社区运动场项目可行性研究报告的函</w:t>
      </w:r>
      <w:r>
        <w:rPr>
          <w:rFonts w:hint="default" w:ascii="Times New Roman" w:hAnsi="Times New Roman" w:cs="Times New Roman"/>
          <w:i w:val="0"/>
          <w:iCs w:val="0"/>
          <w:kern w:val="2"/>
        </w:rPr>
        <w:t>》（</w:t>
      </w:r>
      <w:r>
        <w:rPr>
          <w:rFonts w:hint="eastAsia" w:cs="Times New Roman"/>
          <w:i w:val="0"/>
          <w:iCs w:val="0"/>
          <w:kern w:val="2"/>
          <w:lang w:val="en-US" w:eastAsia="zh-CN"/>
        </w:rPr>
        <w:t>黔江委校函〔2026〕20号</w:t>
      </w:r>
      <w:r>
        <w:rPr>
          <w:rFonts w:hint="default" w:ascii="Times New Roman" w:hAnsi="Times New Roman" w:cs="Times New Roman"/>
          <w:i w:val="0"/>
          <w:iCs w:val="0"/>
          <w:kern w:val="2"/>
        </w:rPr>
        <w:t>）收悉。</w:t>
      </w:r>
      <w:r>
        <w:rPr>
          <w:rFonts w:hint="eastAsia" w:cs="Times New Roman"/>
          <w:i w:val="0"/>
          <w:iCs w:val="0"/>
          <w:kern w:val="2"/>
          <w:lang w:val="en-US" w:eastAsia="zh-CN"/>
        </w:rPr>
        <w:t>按照区领导的批示意见，</w:t>
      </w:r>
      <w:r>
        <w:rPr>
          <w:rFonts w:hint="default" w:ascii="Times New Roman" w:hAnsi="Times New Roman" w:cs="Times New Roman"/>
          <w:i w:val="0"/>
          <w:iCs w:val="0"/>
          <w:kern w:val="2"/>
        </w:rPr>
        <w:t>结合</w:t>
      </w:r>
      <w:r>
        <w:rPr>
          <w:rFonts w:hint="eastAsia" w:cs="Times New Roman"/>
          <w:i w:val="0"/>
          <w:iCs w:val="0"/>
          <w:kern w:val="2"/>
          <w:lang w:val="en-US" w:eastAsia="zh-CN"/>
        </w:rPr>
        <w:t>区政府投资项目前期工作服务中心</w:t>
      </w:r>
      <w:r>
        <w:rPr>
          <w:rFonts w:hint="default" w:ascii="Times New Roman" w:hAnsi="Times New Roman" w:cs="Times New Roman"/>
          <w:i w:val="0"/>
          <w:iCs w:val="0"/>
          <w:kern w:val="2"/>
        </w:rPr>
        <w:t>的评审意见</w:t>
      </w:r>
      <w:r>
        <w:rPr>
          <w:rFonts w:hint="default" w:ascii="Times New Roman" w:hAnsi="Times New Roman" w:cs="Times New Roman"/>
          <w:i w:val="0"/>
          <w:iCs w:val="0"/>
          <w:kern w:val="2"/>
          <w:lang w:eastAsia="zh-CN"/>
        </w:rPr>
        <w:t>，</w:t>
      </w:r>
      <w:r>
        <w:rPr>
          <w:rFonts w:hint="eastAsia" w:cs="Times New Roman"/>
          <w:i w:val="0"/>
          <w:iCs w:val="0"/>
          <w:kern w:val="2"/>
          <w:lang w:val="en-US" w:eastAsia="zh-CN"/>
        </w:rPr>
        <w:t>以及你单位的《关于变更桐坪社区党校运动场建设项目名称的说明》《关于变更黔江区正阳街道桐坪社区运动场项目建设业主的说明》，</w:t>
      </w:r>
      <w:r>
        <w:rPr>
          <w:rFonts w:hint="default" w:ascii="Times New Roman" w:hAnsi="Times New Roman" w:cs="Times New Roman"/>
          <w:i w:val="0"/>
          <w:iCs w:val="0"/>
          <w:kern w:val="2"/>
        </w:rPr>
        <w:t>经研究，现就</w:t>
      </w:r>
      <w:r>
        <w:rPr>
          <w:rFonts w:hint="default" w:ascii="Times New Roman" w:hAnsi="Times New Roman" w:eastAsia="方正仿宋_GBK" w:cs="Times New Roman"/>
          <w:i w:val="0"/>
          <w:iCs w:val="0"/>
          <w:kern w:val="2"/>
          <w:sz w:val="32"/>
          <w:szCs w:val="32"/>
          <w:lang w:val="en-US" w:eastAsia="zh-CN" w:bidi="ar-SA"/>
        </w:rPr>
        <w:t>黔江区正阳街道桐坪社区运动场项目</w:t>
      </w:r>
      <w:r>
        <w:rPr>
          <w:rFonts w:hint="eastAsia" w:cs="Times New Roman"/>
          <w:i w:val="0"/>
          <w:iCs w:val="0"/>
          <w:kern w:val="2"/>
          <w:sz w:val="32"/>
          <w:szCs w:val="32"/>
          <w:lang w:val="en-US" w:eastAsia="zh-CN" w:bidi="ar-SA"/>
        </w:rPr>
        <w:t>（</w:t>
      </w:r>
      <w:r>
        <w:rPr>
          <w:rFonts w:hint="default" w:ascii="Times New Roman" w:hAnsi="Times New Roman" w:eastAsia="方正仿宋_GBK" w:cs="Times New Roman"/>
          <w:i w:val="0"/>
          <w:iCs w:val="0"/>
          <w:kern w:val="2"/>
          <w:sz w:val="32"/>
          <w:szCs w:val="32"/>
          <w:lang w:val="en-US" w:eastAsia="zh-CN" w:bidi="ar-SA"/>
        </w:rPr>
        <w:t>项目代码：</w:t>
      </w:r>
      <w:r>
        <w:rPr>
          <w:rFonts w:hint="eastAsia" w:cs="Times New Roman"/>
          <w:i w:val="0"/>
          <w:iCs w:val="0"/>
          <w:kern w:val="2"/>
          <w:sz w:val="32"/>
          <w:szCs w:val="32"/>
          <w:lang w:val="en-US" w:eastAsia="zh-CN" w:bidi="ar-SA"/>
        </w:rPr>
        <w:t>2603</w:t>
      </w:r>
      <w:r>
        <w:rPr>
          <w:rFonts w:hint="default" w:ascii="Times New Roman" w:hAnsi="Times New Roman" w:eastAsia="方正仿宋_GBK" w:cs="Times New Roman"/>
          <w:i w:val="0"/>
          <w:iCs w:val="0"/>
          <w:kern w:val="2"/>
          <w:sz w:val="32"/>
          <w:szCs w:val="32"/>
          <w:lang w:val="en-US" w:eastAsia="zh-CN" w:bidi="ar-SA"/>
        </w:rPr>
        <w:t>-500114-04-01-</w:t>
      </w:r>
      <w:r>
        <w:rPr>
          <w:rFonts w:hint="eastAsia" w:cs="Times New Roman"/>
          <w:i w:val="0"/>
          <w:iCs w:val="0"/>
          <w:kern w:val="2"/>
          <w:sz w:val="32"/>
          <w:szCs w:val="32"/>
          <w:lang w:val="en-US" w:eastAsia="zh-CN" w:bidi="ar-SA"/>
        </w:rPr>
        <w:t>305419）</w:t>
      </w:r>
      <w:r>
        <w:rPr>
          <w:rFonts w:hint="default" w:ascii="Times New Roman" w:hAnsi="Times New Roman" w:cs="Times New Roman"/>
          <w:i w:val="0"/>
          <w:iCs w:val="0"/>
          <w:kern w:val="2"/>
        </w:rPr>
        <w:t>可行性研究报告批复如下：</w:t>
      </w:r>
    </w:p>
    <w:p w14:paraId="3F6953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/>
        <w:jc w:val="left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eastAsia="方正黑体_GBK" w:cs="Times New Roman"/>
          <w:i w:val="0"/>
          <w:iCs w:val="0"/>
          <w:kern w:val="2"/>
          <w:lang w:val="en-US" w:eastAsia="zh-CN"/>
        </w:rPr>
        <w:t>一、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为便于项目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管理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及资金使用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，同意将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桐坪社区</w:t>
      </w:r>
      <w:r>
        <w:rPr>
          <w:rFonts w:hint="eastAsia" w:ascii="方正仿宋_GBK" w:hAnsi="方正仿宋_GBK" w:cs="方正仿宋_GBK"/>
          <w:sz w:val="32"/>
          <w:szCs w:val="32"/>
          <w:lang w:val="en-US" w:eastAsia="zh-CN"/>
        </w:rPr>
        <w:t>党校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运动场项目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业主由</w:t>
      </w:r>
      <w:r>
        <w:rPr>
          <w:rFonts w:hint="eastAsia" w:ascii="方正仿宋_GBK" w:hAnsi="方正仿宋_GBK" w:eastAsia="仿宋_GB2312" w:cs="方正仿宋_GBK"/>
          <w:kern w:val="2"/>
          <w:sz w:val="32"/>
          <w:szCs w:val="22"/>
          <w:lang w:val="en-US" w:eastAsia="zh-CN" w:bidi="ar-SA"/>
        </w:rPr>
        <w:t>重庆市</w:t>
      </w:r>
      <w:r>
        <w:rPr>
          <w:rFonts w:hint="eastAsia" w:ascii="方正仿宋_GBK" w:hAnsi="方正仿宋_GBK" w:eastAsia="仿宋_GB2312" w:cs="方正仿宋_GBK"/>
          <w:kern w:val="2"/>
          <w:sz w:val="32"/>
          <w:szCs w:val="22"/>
          <w:lang w:val="zh-CN" w:eastAsia="zh-CN" w:bidi="ar-SA"/>
        </w:rPr>
        <w:t>黔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zh-CN" w:eastAsia="zh-CN" w:bidi="ar-SA"/>
        </w:rPr>
        <w:t>江区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文化和旅游发展委员会</w:t>
      </w:r>
      <w:r>
        <w:rPr>
          <w:rFonts w:hint="eastAsia" w:ascii="方正仿宋_GBK" w:hAnsi="方正仿宋_GBK" w:cs="方正仿宋_GBK"/>
          <w:sz w:val="32"/>
          <w:szCs w:val="32"/>
          <w:lang w:val="en-US" w:eastAsia="zh-CN"/>
        </w:rPr>
        <w:t>变更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为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中共重庆市黔江区委党校，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同意将项目名称变更为黔江区正阳街道桐坪社区运动场项目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 w14:paraId="4FB7366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5" w:lineRule="exact"/>
        <w:ind w:firstLine="632" w:firstLineChars="200"/>
        <w:textAlignment w:val="auto"/>
        <w:rPr>
          <w:rFonts w:hint="default" w:ascii="Times New Roman" w:hAnsi="Times New Roman" w:cs="Times New Roman"/>
          <w:i w:val="0"/>
          <w:iCs w:val="0"/>
          <w:kern w:val="32"/>
        </w:rPr>
      </w:pPr>
      <w:r>
        <w:rPr>
          <w:rFonts w:hint="eastAsia" w:eastAsia="方正黑体_GBK" w:cs="Times New Roman"/>
          <w:i w:val="0"/>
          <w:iCs w:val="0"/>
          <w:kern w:val="2"/>
          <w:lang w:val="en-US" w:eastAsia="zh-CN"/>
        </w:rPr>
        <w:t>二</w:t>
      </w:r>
      <w:r>
        <w:rPr>
          <w:rFonts w:hint="default" w:ascii="Times New Roman" w:hAnsi="Times New Roman" w:eastAsia="方正黑体_GBK" w:cs="Times New Roman"/>
          <w:i w:val="0"/>
          <w:iCs w:val="0"/>
          <w:kern w:val="2"/>
        </w:rPr>
        <w:t>、</w:t>
      </w:r>
      <w:r>
        <w:rPr>
          <w:rFonts w:hint="default" w:ascii="Times New Roman" w:hAnsi="Times New Roman" w:eastAsia="方正黑体_GBK" w:cs="Times New Roman"/>
          <w:i w:val="0"/>
          <w:iCs w:val="0"/>
          <w:kern w:val="32"/>
        </w:rPr>
        <w:t>项目代码：</w:t>
      </w:r>
      <w:r>
        <w:rPr>
          <w:rFonts w:hint="default" w:ascii="Times New Roman" w:hAnsi="Times New Roman" w:eastAsia="方正仿宋_GBK" w:cs="Times New Roman"/>
          <w:i w:val="0"/>
          <w:iCs w:val="0"/>
          <w:kern w:val="2"/>
          <w:sz w:val="32"/>
          <w:szCs w:val="32"/>
          <w:lang w:val="en-US" w:eastAsia="zh-CN" w:bidi="ar-SA"/>
        </w:rPr>
        <w:t>2603-500114-04-01-305419</w:t>
      </w:r>
      <w:r>
        <w:rPr>
          <w:rFonts w:hint="default" w:ascii="Times New Roman" w:hAnsi="Times New Roman" w:cs="Times New Roman"/>
          <w:i w:val="0"/>
          <w:iCs w:val="0"/>
          <w:kern w:val="32"/>
        </w:rPr>
        <w:t>。</w:t>
      </w:r>
    </w:p>
    <w:p w14:paraId="647E41D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5" w:lineRule="exact"/>
        <w:ind w:left="2844" w:leftChars="200" w:hanging="2212" w:hangingChars="700"/>
        <w:textAlignment w:val="auto"/>
        <w:rPr>
          <w:rFonts w:hint="default" w:ascii="Times New Roman" w:hAnsi="Times New Roman" w:cs="Times New Roman"/>
          <w:i w:val="0"/>
          <w:iCs w:val="0"/>
          <w:kern w:val="2"/>
        </w:rPr>
      </w:pPr>
      <w:r>
        <w:rPr>
          <w:rFonts w:hint="eastAsia" w:eastAsia="方正黑体_GBK" w:cs="Times New Roman"/>
          <w:i w:val="0"/>
          <w:iCs w:val="0"/>
          <w:kern w:val="32"/>
          <w:lang w:val="en-US" w:eastAsia="zh-CN"/>
        </w:rPr>
        <w:t>三</w:t>
      </w:r>
      <w:r>
        <w:rPr>
          <w:rFonts w:hint="default" w:ascii="Times New Roman" w:hAnsi="Times New Roman" w:eastAsia="方正黑体_GBK" w:cs="Times New Roman"/>
          <w:i w:val="0"/>
          <w:iCs w:val="0"/>
          <w:kern w:val="32"/>
        </w:rPr>
        <w:t>、项目</w:t>
      </w:r>
      <w:r>
        <w:rPr>
          <w:rFonts w:hint="eastAsia" w:eastAsia="方正黑体_GBK" w:cs="Times New Roman"/>
          <w:i w:val="0"/>
          <w:iCs w:val="0"/>
          <w:kern w:val="32"/>
          <w:lang w:val="en-US" w:eastAsia="zh-CN"/>
        </w:rPr>
        <w:t>业主</w:t>
      </w:r>
      <w:r>
        <w:rPr>
          <w:rFonts w:hint="default" w:ascii="Times New Roman" w:hAnsi="Times New Roman" w:eastAsia="方正黑体_GBK" w:cs="Times New Roman"/>
          <w:i w:val="0"/>
          <w:iCs w:val="0"/>
          <w:kern w:val="32"/>
        </w:rPr>
        <w:t>：</w:t>
      </w:r>
      <w:r>
        <w:rPr>
          <w:rFonts w:hint="eastAsia" w:ascii="Times New Roman" w:hAnsi="Times New Roman" w:eastAsia="仿宋_GB2312" w:cs="Times New Roman"/>
          <w:highlight w:val="none"/>
          <w:lang w:val="en-US" w:eastAsia="zh-CN"/>
        </w:rPr>
        <w:t>中共重庆市黔江区委党校</w:t>
      </w:r>
      <w:r>
        <w:rPr>
          <w:rFonts w:hint="default" w:ascii="Times New Roman" w:hAnsi="Times New Roman" w:cs="Times New Roman"/>
          <w:i w:val="0"/>
          <w:iCs w:val="0"/>
          <w:kern w:val="2"/>
        </w:rPr>
        <w:t>。</w:t>
      </w:r>
    </w:p>
    <w:p w14:paraId="0C983CB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5" w:lineRule="exact"/>
        <w:ind w:firstLine="1264" w:firstLineChars="400"/>
        <w:textAlignment w:val="auto"/>
        <w:rPr>
          <w:rFonts w:hint="default" w:ascii="Times New Roman" w:hAnsi="Times New Roman" w:eastAsia="方正黑体_GBK" w:cs="Times New Roman"/>
          <w:i w:val="0"/>
          <w:iCs w:val="0"/>
          <w:kern w:val="32"/>
          <w:lang w:val="en-US" w:eastAsia="zh-CN"/>
        </w:rPr>
      </w:pPr>
      <w:r>
        <w:rPr>
          <w:rFonts w:hint="eastAsia" w:eastAsia="方正黑体_GBK" w:cs="Times New Roman"/>
          <w:i w:val="0"/>
          <w:iCs w:val="0"/>
          <w:kern w:val="32"/>
          <w:lang w:val="en-US" w:eastAsia="zh-CN"/>
        </w:rPr>
        <w:t>代建业主：</w:t>
      </w:r>
      <w:r>
        <w:rPr>
          <w:rFonts w:hint="eastAsia" w:ascii="Times New Roman" w:hAnsi="Times New Roman" w:eastAsia="仿宋_GB2312" w:cs="Times New Roman"/>
          <w:highlight w:val="none"/>
          <w:lang w:val="en-US" w:eastAsia="zh-CN"/>
        </w:rPr>
        <w:t>重庆市枳丹石城市建设开发有限公司</w:t>
      </w:r>
      <w:r>
        <w:rPr>
          <w:rFonts w:hint="eastAsia" w:eastAsia="仿宋_GB2312" w:cs="Times New Roman"/>
          <w:highlight w:val="none"/>
          <w:lang w:val="en-US" w:eastAsia="zh-CN"/>
        </w:rPr>
        <w:t>。</w:t>
      </w:r>
    </w:p>
    <w:p w14:paraId="72BFA87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5" w:lineRule="exact"/>
        <w:ind w:firstLine="632" w:firstLineChars="200"/>
        <w:textAlignment w:val="auto"/>
        <w:rPr>
          <w:rFonts w:hint="default" w:ascii="Times New Roman" w:hAnsi="Times New Roman" w:cs="Times New Roman"/>
          <w:i w:val="0"/>
          <w:iCs w:val="0"/>
          <w:kern w:val="32"/>
        </w:rPr>
      </w:pPr>
      <w:r>
        <w:rPr>
          <w:rFonts w:hint="eastAsia" w:eastAsia="方正黑体_GBK" w:cs="Times New Roman"/>
          <w:i w:val="0"/>
          <w:iCs w:val="0"/>
          <w:kern w:val="32"/>
          <w:lang w:val="en-US" w:eastAsia="zh-CN"/>
        </w:rPr>
        <w:t>四</w:t>
      </w:r>
      <w:r>
        <w:rPr>
          <w:rFonts w:hint="default" w:ascii="Times New Roman" w:hAnsi="Times New Roman" w:eastAsia="方正黑体_GBK" w:cs="Times New Roman"/>
          <w:i w:val="0"/>
          <w:iCs w:val="0"/>
          <w:kern w:val="32"/>
        </w:rPr>
        <w:t>、项目建设地点：</w:t>
      </w:r>
      <w:r>
        <w:rPr>
          <w:rFonts w:hint="eastAsia" w:eastAsia="仿宋_GB2312" w:cs="Times New Roman"/>
          <w:caps w:val="0"/>
          <w:smallCaps w:val="0"/>
          <w:color w:val="auto"/>
          <w:highlight w:val="none"/>
          <w:lang w:val="en-US" w:eastAsia="zh-CN"/>
        </w:rPr>
        <w:t>正阳街道</w:t>
      </w:r>
      <w:r>
        <w:rPr>
          <w:rFonts w:hint="default" w:ascii="Times New Roman" w:hAnsi="Times New Roman" w:cs="Times New Roman"/>
          <w:i w:val="0"/>
          <w:iCs w:val="0"/>
          <w:kern w:val="32"/>
        </w:rPr>
        <w:t>。</w:t>
      </w:r>
    </w:p>
    <w:p w14:paraId="60C89C1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95" w:lineRule="exact"/>
        <w:ind w:firstLine="632" w:firstLineChars="200"/>
        <w:textAlignment w:val="auto"/>
        <w:rPr>
          <w:rFonts w:ascii="方正仿宋_GBK" w:hAnsi="方正仿宋_GBK" w:cs="方正仿宋_GBK"/>
          <w:szCs w:val="22"/>
        </w:rPr>
      </w:pPr>
      <w:r>
        <w:rPr>
          <w:rFonts w:hint="eastAsia" w:eastAsia="方正黑体_GBK" w:cs="Times New Roman"/>
          <w:i w:val="0"/>
          <w:iCs w:val="0"/>
          <w:kern w:val="32"/>
          <w:lang w:val="en-US" w:eastAsia="zh-CN"/>
        </w:rPr>
        <w:t>五</w:t>
      </w:r>
      <w:r>
        <w:rPr>
          <w:rFonts w:hint="default" w:ascii="Times New Roman" w:hAnsi="Times New Roman" w:eastAsia="方正黑体_GBK" w:cs="Times New Roman"/>
          <w:i w:val="0"/>
          <w:iCs w:val="0"/>
          <w:kern w:val="32"/>
        </w:rPr>
        <w:t>、</w:t>
      </w:r>
      <w:r>
        <w:rPr>
          <w:rFonts w:hint="default" w:ascii="Times New Roman" w:hAnsi="Times New Roman" w:eastAsia="方正黑体_GBK" w:cs="Times New Roman"/>
          <w:i w:val="0"/>
          <w:iCs w:val="0"/>
        </w:rPr>
        <w:t>建设规模、标准及主要建设内容</w:t>
      </w:r>
      <w:r>
        <w:rPr>
          <w:rFonts w:hint="default" w:ascii="Times New Roman" w:hAnsi="Times New Roman" w:eastAsia="方正黑体_GBK" w:cs="Times New Roman"/>
          <w:i w:val="0"/>
          <w:iCs w:val="0"/>
          <w:kern w:val="2"/>
        </w:rPr>
        <w:t>：</w:t>
      </w:r>
      <w:r>
        <w:rPr>
          <w:rFonts w:hint="default" w:ascii="Times New Roman" w:hAnsi="Times New Roman" w:cs="Times New Roman"/>
          <w:kern w:val="0"/>
          <w:szCs w:val="32"/>
        </w:rPr>
        <w:t>项目建筑面积18495.02平方米，主要建设内容包括建设篮球场2个、匹克球场6个，同时新建雨棚3175.74平方米、绿化工程757.48平方米、道路工程1116.68平方米、管网工程200米等附属工程及运动器材购置。</w:t>
      </w:r>
    </w:p>
    <w:p w14:paraId="012429E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5" w:lineRule="exact"/>
        <w:ind w:firstLine="632" w:firstLineChars="200"/>
        <w:textAlignment w:val="auto"/>
        <w:rPr>
          <w:rFonts w:hint="default" w:ascii="Times New Roman" w:hAnsi="Times New Roman" w:eastAsia="方正仿宋_GBK" w:cs="Times New Roman"/>
          <w:i w:val="0"/>
          <w:iCs w:val="0"/>
          <w:color w:val="000000"/>
          <w:lang w:val="en-US" w:eastAsia="zh-CN"/>
        </w:rPr>
      </w:pPr>
      <w:r>
        <w:rPr>
          <w:rFonts w:hint="eastAsia" w:eastAsia="方正黑体_GBK" w:cs="Times New Roman"/>
          <w:i w:val="0"/>
          <w:iCs w:val="0"/>
          <w:color w:val="000000"/>
          <w:lang w:val="en-US" w:eastAsia="zh-CN"/>
        </w:rPr>
        <w:t>六</w:t>
      </w:r>
      <w:r>
        <w:rPr>
          <w:rFonts w:hint="default" w:ascii="Times New Roman" w:hAnsi="Times New Roman" w:eastAsia="方正黑体_GBK" w:cs="Times New Roman"/>
          <w:i w:val="0"/>
          <w:iCs w:val="0"/>
          <w:color w:val="000000"/>
        </w:rPr>
        <w:t>、</w:t>
      </w:r>
      <w:r>
        <w:rPr>
          <w:rFonts w:hint="default" w:ascii="Times New Roman" w:hAnsi="Times New Roman" w:eastAsia="方正黑体_GBK" w:cs="Times New Roman"/>
          <w:i w:val="0"/>
          <w:iCs w:val="0"/>
          <w:kern w:val="2"/>
          <w:lang w:bidi="ar"/>
        </w:rPr>
        <w:t>投资估算及资金来源：</w:t>
      </w:r>
      <w:r>
        <w:rPr>
          <w:rFonts w:hint="default" w:ascii="Times New Roman" w:hAnsi="Times New Roman" w:cs="Times New Roman"/>
          <w:i w:val="0"/>
          <w:iCs w:val="0"/>
          <w:color w:val="000000"/>
        </w:rPr>
        <w:t>项目估算总投资720.43万元，其中：工程费用622.14万元，工程建设其他费63.98万元，预备费34.31万元。</w:t>
      </w:r>
      <w:r>
        <w:rPr>
          <w:rFonts w:hint="eastAsia" w:ascii="Times New Roman" w:hAnsi="Times New Roman" w:cs="Times New Roman"/>
          <w:i w:val="0"/>
          <w:iCs w:val="0"/>
          <w:color w:val="000000"/>
          <w:lang w:val="en-US" w:eastAsia="zh-CN"/>
        </w:rPr>
        <w:t>资金来源为区文化旅游委2024年结余债券资金。</w:t>
      </w:r>
    </w:p>
    <w:p w14:paraId="6DFD31F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5" w:lineRule="exact"/>
        <w:ind w:firstLine="632" w:firstLineChars="200"/>
        <w:textAlignment w:val="auto"/>
        <w:rPr>
          <w:rFonts w:hint="default" w:ascii="Times New Roman" w:hAnsi="Times New Roman" w:cs="Times New Roman"/>
          <w:i w:val="0"/>
          <w:iCs w:val="0"/>
          <w:color w:val="000000"/>
        </w:rPr>
      </w:pPr>
      <w:r>
        <w:rPr>
          <w:rFonts w:hint="eastAsia" w:eastAsia="方正黑体_GBK" w:cs="Times New Roman"/>
          <w:i w:val="0"/>
          <w:iCs w:val="0"/>
          <w:color w:val="000000"/>
          <w:lang w:val="en-US" w:eastAsia="zh-CN"/>
        </w:rPr>
        <w:t>七</w:t>
      </w:r>
      <w:r>
        <w:rPr>
          <w:rFonts w:hint="default" w:ascii="Times New Roman" w:hAnsi="Times New Roman" w:eastAsia="方正黑体_GBK" w:cs="Times New Roman"/>
          <w:i w:val="0"/>
          <w:iCs w:val="0"/>
          <w:color w:val="000000"/>
        </w:rPr>
        <w:t>、建设工期：</w:t>
      </w:r>
      <w:r>
        <w:rPr>
          <w:rFonts w:hint="eastAsia" w:eastAsia="方正黑体_GBK" w:cs="Times New Roman"/>
          <w:color w:val="000000"/>
          <w:kern w:val="0"/>
          <w:szCs w:val="32"/>
          <w:lang w:val="en-US" w:eastAsia="zh-CN"/>
        </w:rPr>
        <w:t>6</w:t>
      </w:r>
      <w:r>
        <w:rPr>
          <w:rFonts w:hint="default" w:ascii="Times New Roman" w:hAnsi="Times New Roman" w:cs="Times New Roman"/>
          <w:color w:val="000000"/>
          <w:kern w:val="0"/>
          <w:szCs w:val="32"/>
          <w:lang w:val="zh-CN"/>
        </w:rPr>
        <w:t>个</w:t>
      </w:r>
      <w:r>
        <w:rPr>
          <w:rFonts w:hint="eastAsia" w:ascii="方正仿宋_GBK" w:hAnsi="方正仿宋_GBK" w:cs="方正仿宋_GBK"/>
          <w:color w:val="000000"/>
          <w:kern w:val="0"/>
          <w:szCs w:val="32"/>
          <w:lang w:val="zh-CN"/>
        </w:rPr>
        <w:t>月</w:t>
      </w:r>
      <w:r>
        <w:rPr>
          <w:rFonts w:hint="default" w:ascii="Times New Roman" w:hAnsi="Times New Roman" w:cs="Times New Roman"/>
          <w:i w:val="0"/>
          <w:iCs w:val="0"/>
          <w:color w:val="000000"/>
        </w:rPr>
        <w:t>。</w:t>
      </w:r>
    </w:p>
    <w:p w14:paraId="52EC2AC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5" w:lineRule="exact"/>
        <w:ind w:firstLine="632" w:firstLineChars="200"/>
        <w:textAlignment w:val="auto"/>
        <w:rPr>
          <w:rFonts w:hint="default" w:ascii="Times New Roman" w:hAnsi="Times New Roman" w:cs="Times New Roman"/>
          <w:i w:val="0"/>
          <w:iCs w:val="0"/>
          <w:kern w:val="2"/>
        </w:rPr>
      </w:pPr>
      <w:r>
        <w:rPr>
          <w:rFonts w:hint="eastAsia" w:eastAsia="方正黑体_GBK" w:cs="Times New Roman"/>
          <w:i w:val="0"/>
          <w:iCs w:val="0"/>
          <w:color w:val="000000"/>
          <w:lang w:val="en-US" w:eastAsia="zh-CN"/>
        </w:rPr>
        <w:t>八</w:t>
      </w:r>
      <w:r>
        <w:rPr>
          <w:rFonts w:hint="default" w:ascii="Times New Roman" w:hAnsi="Times New Roman" w:eastAsia="方正黑体_GBK" w:cs="Times New Roman"/>
          <w:i w:val="0"/>
          <w:iCs w:val="0"/>
          <w:color w:val="000000"/>
        </w:rPr>
        <w:t>、招标核准：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kern w:val="2"/>
        </w:rPr>
        <w:t>本项目的招标范围为工程施工，勘察、设计、监理等与工程建设有关的服务，以及与工程建设有关的重要设备、材料等的采购。</w:t>
      </w:r>
      <w:r>
        <w:rPr>
          <w:rFonts w:hint="eastAsia" w:cs="Times New Roman"/>
          <w:b w:val="0"/>
          <w:bCs w:val="0"/>
          <w:i w:val="0"/>
          <w:iCs w:val="0"/>
          <w:kern w:val="2"/>
          <w:lang w:eastAsia="zh-CN"/>
        </w:rPr>
        <w:t>达到依法必须招标限额标准的，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kern w:val="2"/>
        </w:rPr>
        <w:t>招标方式为公开招标，招标组织形式为委托招标。招标公告在指定媒介公开发布。</w:t>
      </w:r>
    </w:p>
    <w:p w14:paraId="6395F1E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5" w:lineRule="exact"/>
        <w:ind w:firstLine="632" w:firstLineChars="200"/>
        <w:textAlignment w:val="auto"/>
        <w:rPr>
          <w:rFonts w:hint="default" w:ascii="Times New Roman" w:hAnsi="Times New Roman" w:cs="Times New Roman"/>
          <w:i w:val="0"/>
          <w:iCs w:val="0"/>
          <w:kern w:val="2"/>
        </w:rPr>
      </w:pPr>
      <w:r>
        <w:rPr>
          <w:rFonts w:hint="eastAsia" w:eastAsia="方正黑体_GBK" w:cs="Times New Roman"/>
          <w:i w:val="0"/>
          <w:iCs w:val="0"/>
          <w:kern w:val="2"/>
          <w:lang w:val="en-US" w:eastAsia="zh-CN"/>
        </w:rPr>
        <w:t>九</w:t>
      </w:r>
      <w:r>
        <w:rPr>
          <w:rFonts w:hint="default" w:ascii="Times New Roman" w:hAnsi="Times New Roman" w:eastAsia="方正黑体_GBK" w:cs="Times New Roman"/>
          <w:i w:val="0"/>
          <w:iCs w:val="0"/>
          <w:kern w:val="2"/>
        </w:rPr>
        <w:t>、</w:t>
      </w:r>
      <w:r>
        <w:rPr>
          <w:rFonts w:hint="default" w:ascii="Times New Roman" w:hAnsi="Times New Roman" w:eastAsia="方正黑体_GBK" w:cs="Times New Roman"/>
          <w:i w:val="0"/>
          <w:iCs w:val="0"/>
          <w:kern w:val="2"/>
          <w:lang w:val="en-US" w:eastAsia="zh-CN"/>
        </w:rPr>
        <w:t>有关事项：</w:t>
      </w:r>
      <w:r>
        <w:rPr>
          <w:rFonts w:hint="default" w:ascii="Times New Roman" w:hAnsi="Times New Roman" w:cs="Times New Roman"/>
          <w:i w:val="0"/>
          <w:iCs w:val="0"/>
          <w:kern w:val="2"/>
        </w:rPr>
        <w:t>请你单位根据本批复，结合项目可行性研究报告评估意见，进一步深化初步设计等前期工作，及时将投资概算报送我委审批。要严格执行项目法人责任制、招标投标制、工程监理制、合同管理制，严格控制工程投资标准，防止工程超概。</w:t>
      </w:r>
    </w:p>
    <w:p w14:paraId="7D41AE9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5" w:lineRule="exact"/>
        <w:ind w:firstLine="632" w:firstLineChars="200"/>
        <w:textAlignment w:val="auto"/>
        <w:rPr>
          <w:rFonts w:hint="default" w:ascii="Times New Roman" w:hAnsi="Times New Roman" w:cs="Times New Roman"/>
          <w:i w:val="0"/>
          <w:iCs w:val="0"/>
          <w:kern w:val="2"/>
          <w:lang w:val="en-US" w:eastAsia="zh-CN"/>
        </w:rPr>
      </w:pPr>
    </w:p>
    <w:p w14:paraId="649F9F2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5" w:lineRule="exact"/>
        <w:ind w:left="1580" w:leftChars="200" w:hanging="948" w:hangingChars="300"/>
        <w:textAlignment w:val="auto"/>
        <w:rPr>
          <w:rFonts w:hint="default" w:ascii="Times New Roman" w:hAnsi="Times New Roman" w:eastAsia="方正仿宋_GBK" w:cs="Times New Roman"/>
          <w:i w:val="0"/>
          <w:iCs w:val="0"/>
          <w:kern w:val="2"/>
          <w:lang w:val="en-US" w:eastAsia="zh-CN"/>
        </w:rPr>
      </w:pPr>
      <w:r>
        <w:rPr>
          <w:rFonts w:hint="default" w:ascii="Times New Roman" w:hAnsi="Times New Roman" w:cs="Times New Roman"/>
          <w:i w:val="0"/>
          <w:iCs w:val="0"/>
          <w:kern w:val="2"/>
          <w:lang w:val="en-US" w:eastAsia="zh-CN"/>
        </w:rPr>
        <w:t>附件：</w:t>
      </w:r>
      <w:r>
        <w:rPr>
          <w:rFonts w:hint="eastAsia" w:cs="Times New Roman"/>
          <w:i w:val="0"/>
          <w:iCs w:val="0"/>
          <w:kern w:val="2"/>
          <w:lang w:val="en-US" w:eastAsia="zh-CN"/>
        </w:rPr>
        <w:t>黔江区正阳街道桐坪社区运动场建设项目投资估算表</w:t>
      </w:r>
    </w:p>
    <w:p w14:paraId="12FBBBD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5" w:lineRule="exact"/>
        <w:ind w:firstLine="632" w:firstLineChars="200"/>
        <w:textAlignment w:val="auto"/>
        <w:rPr>
          <w:rFonts w:hint="default" w:ascii="Times New Roman" w:hAnsi="Times New Roman" w:cs="Times New Roman"/>
          <w:i w:val="0"/>
          <w:iCs w:val="0"/>
          <w:kern w:val="2"/>
        </w:rPr>
      </w:pPr>
    </w:p>
    <w:p w14:paraId="28CB53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75" w:lineRule="exact"/>
        <w:ind w:firstLine="4108" w:firstLineChars="13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重庆市黔江区发展和改革委员会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   </w:t>
      </w:r>
    </w:p>
    <w:p w14:paraId="523738B9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75" w:lineRule="exact"/>
        <w:ind w:firstLine="643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                   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   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202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月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日</w:t>
      </w:r>
    </w:p>
    <w:p w14:paraId="3A59C22F">
      <w:pPr>
        <w:pStyle w:val="2"/>
        <w:rPr>
          <w:i w:val="0"/>
          <w:iCs w:val="0"/>
          <w:kern w:val="2"/>
        </w:rPr>
      </w:pPr>
    </w:p>
    <w:p w14:paraId="14DC25AF">
      <w:pPr>
        <w:pStyle w:val="2"/>
        <w:rPr>
          <w:i w:val="0"/>
          <w:iCs w:val="0"/>
          <w:kern w:val="2"/>
        </w:rPr>
      </w:pPr>
    </w:p>
    <w:p w14:paraId="350DD1F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kern w:val="2"/>
          <w:sz w:val="32"/>
          <w:szCs w:val="32"/>
        </w:rPr>
      </w:pPr>
      <w:bookmarkStart w:id="2" w:name="_GoBack"/>
      <w:bookmarkEnd w:id="2"/>
    </w:p>
    <w:p w14:paraId="7A9E14B4">
      <w:pPr>
        <w:overflowPunct w:val="0"/>
        <w:adjustRightInd/>
        <w:spacing w:line="240" w:lineRule="auto"/>
        <w:ind w:firstLine="632" w:firstLineChars="200"/>
        <w:textAlignment w:val="auto"/>
        <w:rPr>
          <w:i w:val="0"/>
          <w:iCs w:val="0"/>
          <w:kern w:val="2"/>
        </w:rPr>
      </w:pPr>
    </w:p>
    <w:p w14:paraId="7F6D8032">
      <w:pPr>
        <w:spacing w:line="240" w:lineRule="auto"/>
        <w:rPr>
          <w:i w:val="0"/>
          <w:iCs w:val="0"/>
          <w:sz w:val="28"/>
          <w:szCs w:val="28"/>
        </w:rPr>
      </w:pPr>
    </w:p>
    <w:p w14:paraId="09BD5551">
      <w:pPr>
        <w:spacing w:line="240" w:lineRule="auto"/>
        <w:rPr>
          <w:i w:val="0"/>
          <w:iCs w:val="0"/>
          <w:sz w:val="28"/>
          <w:szCs w:val="28"/>
        </w:rPr>
      </w:pPr>
    </w:p>
    <w:p w14:paraId="64F7FF2F">
      <w:pPr>
        <w:spacing w:line="240" w:lineRule="auto"/>
        <w:rPr>
          <w:i w:val="0"/>
          <w:iCs w:val="0"/>
          <w:sz w:val="28"/>
          <w:szCs w:val="28"/>
        </w:rPr>
      </w:pPr>
    </w:p>
    <w:p w14:paraId="4A807E0B">
      <w:pPr>
        <w:spacing w:line="240" w:lineRule="auto"/>
        <w:rPr>
          <w:i w:val="0"/>
          <w:iCs w:val="0"/>
          <w:sz w:val="28"/>
          <w:szCs w:val="28"/>
        </w:rPr>
      </w:pPr>
    </w:p>
    <w:p w14:paraId="24DF9EA3">
      <w:pPr>
        <w:spacing w:line="240" w:lineRule="auto"/>
        <w:rPr>
          <w:i w:val="0"/>
          <w:iCs w:val="0"/>
          <w:sz w:val="28"/>
          <w:szCs w:val="28"/>
        </w:rPr>
      </w:pPr>
    </w:p>
    <w:p w14:paraId="5AFECC9D">
      <w:pPr>
        <w:spacing w:line="240" w:lineRule="auto"/>
        <w:rPr>
          <w:i w:val="0"/>
          <w:iCs w:val="0"/>
          <w:sz w:val="28"/>
          <w:szCs w:val="28"/>
        </w:rPr>
      </w:pPr>
    </w:p>
    <w:p w14:paraId="6731F77A">
      <w:pPr>
        <w:pStyle w:val="2"/>
        <w:rPr>
          <w:i w:val="0"/>
          <w:iCs w:val="0"/>
          <w:sz w:val="28"/>
          <w:szCs w:val="28"/>
        </w:rPr>
      </w:pPr>
    </w:p>
    <w:p w14:paraId="3183D39E">
      <w:pPr>
        <w:pStyle w:val="3"/>
        <w:rPr>
          <w:i w:val="0"/>
          <w:iCs w:val="0"/>
          <w:sz w:val="28"/>
          <w:szCs w:val="28"/>
        </w:rPr>
      </w:pPr>
    </w:p>
    <w:p w14:paraId="7C78F24B"/>
    <w:p w14:paraId="13E286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exact"/>
        <w:textAlignment w:val="baseline"/>
        <w:rPr>
          <w:rFonts w:hint="eastAsia"/>
          <w:lang w:val="en-US" w:eastAsia="zh-CN"/>
        </w:rPr>
      </w:pPr>
      <w:r>
        <w:rPr>
          <w:rFonts w:hint="eastAsia" w:ascii="方正黑体_GBK" w:hAnsi="方正黑体_GBK" w:eastAsia="方正黑体_GBK" w:cs="方正黑体_GBK"/>
          <w:i w:val="0"/>
          <w:iCs w:val="0"/>
          <w:sz w:val="32"/>
          <w:szCs w:val="32"/>
          <w:lang w:val="en-US" w:eastAsia="zh-CN"/>
        </w:rPr>
        <w:t>附件</w:t>
      </w:r>
    </w:p>
    <w:p w14:paraId="477CFB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exact"/>
        <w:ind w:firstLine="712" w:firstLineChars="200"/>
        <w:jc w:val="center"/>
        <w:textAlignment w:val="baseline"/>
        <w:rPr>
          <w:rFonts w:hint="eastAsia" w:ascii="方正小标宋_GBK" w:hAnsi="方正小标宋_GBK" w:eastAsia="方正小标宋_GBK" w:cs="方正小标宋_GBK"/>
          <w:i w:val="0"/>
          <w:iCs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sz w:val="36"/>
          <w:szCs w:val="36"/>
        </w:rPr>
        <w:t>重庆市</w:t>
      </w:r>
      <w:r>
        <w:rPr>
          <w:rFonts w:hint="eastAsia" w:ascii="方正小标宋_GBK" w:hAnsi="方正小标宋_GBK" w:eastAsia="方正小标宋_GBK" w:cs="方正小标宋_GBK"/>
          <w:i w:val="0"/>
          <w:iCs w:val="0"/>
          <w:sz w:val="36"/>
          <w:szCs w:val="36"/>
          <w:lang w:eastAsia="zh-CN"/>
        </w:rPr>
        <w:t>正阳街道桐坪社区运动场建设</w:t>
      </w:r>
      <w:r>
        <w:rPr>
          <w:rFonts w:hint="eastAsia" w:ascii="方正小标宋_GBK" w:hAnsi="方正小标宋_GBK" w:eastAsia="方正小标宋_GBK" w:cs="方正小标宋_GBK"/>
          <w:i w:val="0"/>
          <w:iCs w:val="0"/>
          <w:sz w:val="36"/>
          <w:szCs w:val="36"/>
        </w:rPr>
        <w:t>项目</w:t>
      </w:r>
    </w:p>
    <w:p w14:paraId="31B086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exact"/>
        <w:ind w:firstLine="712" w:firstLineChars="200"/>
        <w:jc w:val="center"/>
        <w:textAlignment w:val="baseline"/>
        <w:rPr>
          <w:rFonts w:hint="eastAsia" w:ascii="方正小标宋_GBK" w:hAnsi="方正小标宋_GBK" w:eastAsia="方正小标宋_GBK" w:cs="方正小标宋_GBK"/>
          <w:i w:val="0"/>
          <w:iCs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sz w:val="36"/>
          <w:szCs w:val="36"/>
        </w:rPr>
        <w:t>投资估算表</w:t>
      </w:r>
    </w:p>
    <w:tbl>
      <w:tblPr>
        <w:tblStyle w:val="8"/>
        <w:tblW w:w="1008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5985"/>
        <w:gridCol w:w="2835"/>
      </w:tblGrid>
      <w:tr w14:paraId="0E9961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793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   号</w:t>
            </w:r>
          </w:p>
        </w:tc>
        <w:tc>
          <w:tcPr>
            <w:tcW w:w="5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65F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工程或费用名称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855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金额（万元）</w:t>
            </w:r>
          </w:p>
        </w:tc>
      </w:tr>
      <w:tr w14:paraId="1DE223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1BF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楷体_GBK" w:hAnsi="方正楷体_GBK" w:eastAsia="方正楷体_GBK" w:cs="方正楷体_GBK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楷体_GBK" w:hAnsi="方正楷体_GBK" w:eastAsia="方正楷体_GBK" w:cs="方正楷体_GBK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</w:t>
            </w:r>
          </w:p>
        </w:tc>
        <w:tc>
          <w:tcPr>
            <w:tcW w:w="5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145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楷体_GBK" w:hAnsi="方正楷体_GBK" w:eastAsia="方正楷体_GBK" w:cs="方正楷体_GBK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工程费用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CEA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楷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622.14 </w:t>
            </w:r>
          </w:p>
        </w:tc>
      </w:tr>
      <w:tr w14:paraId="1FC75F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2436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 w:val="0"/>
            <w:vAlign w:val="center"/>
          </w:tcPr>
          <w:p w14:paraId="1A68AD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黔江区正阳街道桐坪社区运动场建设项目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 w:val="0"/>
            <w:vAlign w:val="center"/>
          </w:tcPr>
          <w:p w14:paraId="2ED87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622.14 </w:t>
            </w:r>
          </w:p>
        </w:tc>
      </w:tr>
      <w:tr w14:paraId="76D0F4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AA3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楷体_GBK" w:hAnsi="方正楷体_GBK" w:eastAsia="方正楷体_GBK" w:cs="方正楷体_GBK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</w:t>
            </w:r>
          </w:p>
        </w:tc>
        <w:tc>
          <w:tcPr>
            <w:tcW w:w="5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643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楷体_GBK" w:hAnsi="方正楷体_GBK" w:eastAsia="方正楷体_GBK" w:cs="方正楷体_GBK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工程建设其他费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8AD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楷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63.98 </w:t>
            </w:r>
          </w:p>
        </w:tc>
      </w:tr>
      <w:tr w14:paraId="2E7BDB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5B98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 w:val="0"/>
            <w:vAlign w:val="center"/>
          </w:tcPr>
          <w:p w14:paraId="59057C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场地准备及临时设施费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1B6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3.11 </w:t>
            </w:r>
          </w:p>
        </w:tc>
      </w:tr>
      <w:tr w14:paraId="17281A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D268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 w:val="0"/>
            <w:vAlign w:val="center"/>
          </w:tcPr>
          <w:p w14:paraId="4359B9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项目建设管理费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EF7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14.41 </w:t>
            </w:r>
          </w:p>
        </w:tc>
      </w:tr>
      <w:tr w14:paraId="000C5E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3D0A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5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 w:val="0"/>
            <w:vAlign w:val="center"/>
          </w:tcPr>
          <w:p w14:paraId="696E5B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工程建设监理费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87E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10.58 </w:t>
            </w:r>
          </w:p>
        </w:tc>
      </w:tr>
      <w:tr w14:paraId="376CE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10AF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5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 w:val="0"/>
            <w:vAlign w:val="center"/>
          </w:tcPr>
          <w:p w14:paraId="4FCF05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可行性研究费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771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2.88 </w:t>
            </w:r>
          </w:p>
        </w:tc>
      </w:tr>
      <w:tr w14:paraId="50E3E9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DDF9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5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 w:val="0"/>
            <w:vAlign w:val="center"/>
          </w:tcPr>
          <w:p w14:paraId="1D0480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工程勘察设计费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342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15.64 </w:t>
            </w:r>
          </w:p>
        </w:tc>
      </w:tr>
      <w:tr w14:paraId="76742C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2763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5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 w:val="0"/>
            <w:vAlign w:val="center"/>
          </w:tcPr>
          <w:p w14:paraId="11E6C1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招标代理费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54F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3.13 </w:t>
            </w:r>
          </w:p>
        </w:tc>
      </w:tr>
      <w:tr w14:paraId="35F75D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7E97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5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 w:val="0"/>
            <w:vAlign w:val="center"/>
          </w:tcPr>
          <w:p w14:paraId="288DF0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工程造价咨询费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A53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7.51 </w:t>
            </w:r>
          </w:p>
        </w:tc>
      </w:tr>
      <w:tr w14:paraId="25AC43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F9AE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5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 w:val="0"/>
            <w:vAlign w:val="center"/>
          </w:tcPr>
          <w:p w14:paraId="4ACB5E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设计文件审查费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115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1.74 </w:t>
            </w:r>
          </w:p>
        </w:tc>
      </w:tr>
      <w:tr w14:paraId="4E1663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E7CE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5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 w:val="0"/>
            <w:vAlign w:val="center"/>
          </w:tcPr>
          <w:p w14:paraId="6B60C7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安全生产保障费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283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3.11 </w:t>
            </w:r>
          </w:p>
        </w:tc>
      </w:tr>
      <w:tr w14:paraId="135C57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8F31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 w:val="0"/>
            <w:vAlign w:val="center"/>
          </w:tcPr>
          <w:p w14:paraId="6701C4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工程保险费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105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1.87 </w:t>
            </w:r>
          </w:p>
        </w:tc>
      </w:tr>
      <w:tr w14:paraId="0DBD8D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660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楷体_GBK" w:hAnsi="方正楷体_GBK" w:eastAsia="方正楷体_GBK" w:cs="方正楷体_GBK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</w:t>
            </w:r>
          </w:p>
        </w:tc>
        <w:tc>
          <w:tcPr>
            <w:tcW w:w="5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A7F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楷体_GBK" w:hAnsi="方正楷体_GBK" w:eastAsia="方正楷体_GBK" w:cs="方正楷体_GBK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基本预备费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691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楷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34.31 </w:t>
            </w:r>
          </w:p>
        </w:tc>
      </w:tr>
      <w:tr w14:paraId="5D8C5E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08F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楷体_GBK" w:hAnsi="方正楷体_GBK" w:eastAsia="方正楷体_GBK" w:cs="方正楷体_GBK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</w:t>
            </w:r>
          </w:p>
        </w:tc>
        <w:tc>
          <w:tcPr>
            <w:tcW w:w="5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4A9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楷体_GBK" w:hAnsi="方正楷体_GBK" w:eastAsia="方正楷体_GBK" w:cs="方正楷体_GBK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建设项目总投资估算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3A1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楷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720.43</w:t>
            </w:r>
          </w:p>
        </w:tc>
      </w:tr>
    </w:tbl>
    <w:p w14:paraId="31AD8C0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textAlignment w:val="baseline"/>
        <w:rPr>
          <w:b/>
          <w:bCs/>
          <w:i w:val="0"/>
          <w:iCs w:val="0"/>
          <w:sz w:val="28"/>
          <w:szCs w:val="28"/>
        </w:rPr>
      </w:pPr>
    </w:p>
    <w:p w14:paraId="2E044FFF">
      <w:pPr>
        <w:spacing w:line="440" w:lineRule="exact"/>
        <w:ind w:left="-319" w:leftChars="-101" w:right="-290" w:rightChars="-92"/>
        <w:rPr>
          <w:rFonts w:hint="eastAsia" w:eastAsia="方正仿宋_GBK"/>
          <w:sz w:val="28"/>
          <w:szCs w:val="28"/>
          <w:u w:val="single"/>
        </w:rPr>
      </w:pPr>
      <w:r>
        <w:rPr>
          <w:rFonts w:hint="eastAsia" w:eastAsia="方正黑体_GBK"/>
          <w:sz w:val="32"/>
          <w:szCs w:val="32"/>
          <w:u w:val="thick"/>
        </w:rPr>
        <w:t xml:space="preserve">                  </w:t>
      </w:r>
      <w:r>
        <w:rPr>
          <w:rFonts w:eastAsia="方正小标宋_GBK"/>
          <w:sz w:val="32"/>
          <w:szCs w:val="32"/>
          <w:u w:val="thick"/>
        </w:rPr>
        <w:t xml:space="preserve">                                           </w:t>
      </w:r>
    </w:p>
    <w:p w14:paraId="2D4D95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60" w:lineRule="exact"/>
        <w:ind w:left="-319" w:leftChars="-101" w:right="-290" w:rightChars="-92"/>
        <w:textAlignment w:val="baseline"/>
        <w:rPr>
          <w:rFonts w:hint="default" w:eastAsia="方正仿宋_GBK"/>
          <w:sz w:val="28"/>
          <w:szCs w:val="28"/>
          <w:u w:val="thick"/>
          <w:lang w:val="en-US" w:eastAsia="zh-CN"/>
        </w:rPr>
      </w:pPr>
      <w:r>
        <w:rPr>
          <w:rFonts w:hint="eastAsia" w:eastAsia="方正仿宋_GBK"/>
          <w:sz w:val="28"/>
          <w:szCs w:val="28"/>
          <w:u w:val="single"/>
        </w:rPr>
        <w:t xml:space="preserve">  抄送：区纪委监委、区财政局、区审计局。          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  </w:t>
      </w:r>
    </w:p>
    <w:p w14:paraId="2EC045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60" w:lineRule="exact"/>
        <w:ind w:left="-319" w:leftChars="-101" w:right="-290" w:rightChars="-92"/>
        <w:textAlignment w:val="baseline"/>
        <w:rPr>
          <w:i w:val="0"/>
          <w:iCs w:val="0"/>
          <w:sz w:val="28"/>
          <w:szCs w:val="28"/>
        </w:rPr>
      </w:pPr>
      <w:r>
        <w:rPr>
          <w:rFonts w:hint="eastAsia" w:eastAsia="方正仿宋_GBK"/>
          <w:sz w:val="28"/>
          <w:szCs w:val="28"/>
          <w:u w:val="thick"/>
        </w:rPr>
        <w:t xml:space="preserve"> </w:t>
      </w:r>
      <w:r>
        <w:rPr>
          <w:rFonts w:hint="eastAsia"/>
          <w:sz w:val="28"/>
          <w:szCs w:val="28"/>
          <w:u w:val="thick"/>
          <w:lang w:val="en-US" w:eastAsia="zh-CN"/>
        </w:rPr>
        <w:t xml:space="preserve"> </w:t>
      </w:r>
      <w:r>
        <w:rPr>
          <w:rFonts w:hint="eastAsia" w:eastAsia="方正仿宋_GBK"/>
          <w:sz w:val="28"/>
          <w:szCs w:val="28"/>
          <w:u w:val="thick"/>
        </w:rPr>
        <w:t>重庆市</w:t>
      </w:r>
      <w:r>
        <w:rPr>
          <w:rFonts w:eastAsia="方正仿宋_GBK"/>
          <w:sz w:val="28"/>
          <w:szCs w:val="28"/>
          <w:u w:val="thick"/>
        </w:rPr>
        <w:t xml:space="preserve">黔江区发展和改革委员会办公室  </w:t>
      </w:r>
      <w:r>
        <w:rPr>
          <w:rFonts w:hint="eastAsia" w:eastAsia="方正仿宋_GBK"/>
          <w:sz w:val="28"/>
          <w:szCs w:val="28"/>
          <w:u w:val="thick"/>
        </w:rPr>
        <w:t xml:space="preserve"> </w:t>
      </w:r>
      <w:r>
        <w:rPr>
          <w:rFonts w:eastAsia="方正仿宋_GBK"/>
          <w:sz w:val="28"/>
          <w:szCs w:val="28"/>
          <w:u w:val="thick"/>
        </w:rPr>
        <w:t xml:space="preserve"> </w:t>
      </w:r>
      <w:r>
        <w:rPr>
          <w:rFonts w:hint="eastAsia" w:eastAsia="方正仿宋_GBK"/>
          <w:sz w:val="28"/>
          <w:szCs w:val="28"/>
          <w:u w:val="thick"/>
          <w:lang w:val="en-US" w:eastAsia="zh-CN"/>
        </w:rPr>
        <w:t xml:space="preserve"> </w:t>
      </w:r>
      <w:r>
        <w:rPr>
          <w:rFonts w:hint="eastAsia"/>
          <w:sz w:val="28"/>
          <w:szCs w:val="28"/>
          <w:u w:val="thick"/>
          <w:lang w:val="en-US" w:eastAsia="zh-CN"/>
        </w:rPr>
        <w:t xml:space="preserve">  </w:t>
      </w:r>
      <w:r>
        <w:rPr>
          <w:rFonts w:hint="eastAsia" w:eastAsia="方正仿宋_GBK"/>
          <w:sz w:val="28"/>
          <w:szCs w:val="28"/>
          <w:u w:val="thick"/>
          <w:lang w:val="en-US" w:eastAsia="zh-CN"/>
        </w:rPr>
        <w:t xml:space="preserve">  </w:t>
      </w:r>
      <w:r>
        <w:rPr>
          <w:rFonts w:eastAsia="方正仿宋_GBK"/>
          <w:sz w:val="28"/>
          <w:szCs w:val="28"/>
          <w:u w:val="thick"/>
        </w:rPr>
        <w:t xml:space="preserve">  </w:t>
      </w:r>
      <w:r>
        <w:rPr>
          <w:rFonts w:hint="eastAsia" w:eastAsia="方正仿宋_GBK"/>
          <w:sz w:val="28"/>
          <w:szCs w:val="28"/>
          <w:u w:val="thick"/>
        </w:rPr>
        <w:t xml:space="preserve"> </w:t>
      </w:r>
      <w:r>
        <w:rPr>
          <w:rFonts w:eastAsia="方正仿宋_GBK"/>
          <w:sz w:val="28"/>
          <w:szCs w:val="28"/>
          <w:u w:val="thick"/>
        </w:rPr>
        <w:t>20</w:t>
      </w:r>
      <w:r>
        <w:rPr>
          <w:rFonts w:hint="eastAsia" w:eastAsia="方正仿宋_GBK"/>
          <w:sz w:val="28"/>
          <w:szCs w:val="28"/>
          <w:u w:val="thick"/>
        </w:rPr>
        <w:t>2</w:t>
      </w:r>
      <w:r>
        <w:rPr>
          <w:rFonts w:hint="eastAsia" w:eastAsia="方正仿宋_GBK"/>
          <w:sz w:val="28"/>
          <w:szCs w:val="28"/>
          <w:u w:val="thick"/>
          <w:lang w:val="en-US" w:eastAsia="zh-CN"/>
        </w:rPr>
        <w:t>6</w:t>
      </w:r>
      <w:r>
        <w:rPr>
          <w:rFonts w:eastAsia="方正仿宋_GBK"/>
          <w:sz w:val="28"/>
          <w:szCs w:val="28"/>
          <w:u w:val="thick"/>
        </w:rPr>
        <w:t>年</w:t>
      </w:r>
      <w:r>
        <w:rPr>
          <w:rFonts w:hint="eastAsia"/>
          <w:sz w:val="28"/>
          <w:szCs w:val="28"/>
          <w:u w:val="thick"/>
          <w:lang w:val="en-US" w:eastAsia="zh-CN"/>
        </w:rPr>
        <w:t>7</w:t>
      </w:r>
      <w:r>
        <w:rPr>
          <w:rFonts w:eastAsia="方正仿宋_GBK"/>
          <w:sz w:val="28"/>
          <w:szCs w:val="28"/>
          <w:u w:val="thick"/>
        </w:rPr>
        <w:t>月</w:t>
      </w:r>
      <w:r>
        <w:rPr>
          <w:rFonts w:hint="eastAsia"/>
          <w:sz w:val="28"/>
          <w:szCs w:val="28"/>
          <w:u w:val="thick"/>
          <w:lang w:val="en-US" w:eastAsia="zh-CN"/>
        </w:rPr>
        <w:t>8</w:t>
      </w:r>
      <w:r>
        <w:rPr>
          <w:rFonts w:eastAsia="方正仿宋_GBK"/>
          <w:sz w:val="28"/>
          <w:szCs w:val="28"/>
          <w:u w:val="thick"/>
        </w:rPr>
        <w:t>日印发</w:t>
      </w:r>
      <w:r>
        <w:rPr>
          <w:rFonts w:hint="eastAsia" w:eastAsia="方正仿宋_GBK"/>
          <w:sz w:val="28"/>
          <w:szCs w:val="28"/>
          <w:u w:val="thick"/>
        </w:rPr>
        <w:t xml:space="preserve"> </w:t>
      </w:r>
      <w:r>
        <w:rPr>
          <w:rFonts w:eastAsia="方正仿宋_GBK"/>
          <w:sz w:val="28"/>
          <w:szCs w:val="28"/>
          <w:u w:val="thick"/>
        </w:rPr>
        <w:t xml:space="preserve"> </w:t>
      </w:r>
    </w:p>
    <w:sectPr>
      <w:footerReference r:id="rId5" w:type="default"/>
      <w:footerReference r:id="rId6" w:type="even"/>
      <w:pgSz w:w="11906" w:h="16838"/>
      <w:pgMar w:top="2098" w:right="1531" w:bottom="1984" w:left="1531" w:header="851" w:footer="1417" w:gutter="0"/>
      <w:cols w:space="0" w:num="1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3BB324B8-65F4-4C44-95C5-D2236FEE7A7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660BABE0-F739-4308-9DED-C834B8AB82FD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E7FC09FD-4862-491C-9DB7-C32542B07526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A048A857-6D97-414C-88B8-5B921D249B72}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7A51CA2E-C80C-4237-87A6-FAD8CC77541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CB309F">
    <w:pPr>
      <w:jc w:val="right"/>
      <w:rPr>
        <w:rFonts w:eastAsia="Times New Roman"/>
        <w:sz w:val="18"/>
      </w:rPr>
    </w:pPr>
    <w:r>
      <w:rPr>
        <w:sz w:val="18"/>
      </w:rPr>
      <w:pict>
        <v:shape id="_x0000_s3073" o:spid="_x0000_s3073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 w14:paraId="6A588679">
                <w:pPr>
                  <w:pStyle w:val="6"/>
                  <w:rPr>
                    <w:rFonts w:ascii="宋体" w:hAnsi="宋体" w:eastAsia="宋体" w:cs="宋体"/>
                    <w:sz w:val="28"/>
                    <w:szCs w:val="28"/>
                  </w:rPr>
                </w:pP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 xml:space="preserve">— </w:t>
                </w:r>
                <w:r>
                  <w:rPr>
                    <w:rFonts w:eastAsia="宋体"/>
                    <w:sz w:val="28"/>
                    <w:szCs w:val="28"/>
                  </w:rPr>
                  <w:fldChar w:fldCharType="begin"/>
                </w:r>
                <w:r>
                  <w:rPr>
                    <w:rFonts w:eastAsia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eastAsia="宋体"/>
                    <w:sz w:val="28"/>
                    <w:szCs w:val="28"/>
                  </w:rPr>
                  <w:fldChar w:fldCharType="separate"/>
                </w:r>
                <w:r>
                  <w:rPr>
                    <w:rFonts w:eastAsia="宋体"/>
                    <w:sz w:val="28"/>
                    <w:szCs w:val="28"/>
                  </w:rPr>
                  <w:t>1</w:t>
                </w:r>
                <w:r>
                  <w:rPr>
                    <w:rFonts w:eastAsia="宋体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07FDB9">
    <w:pPr>
      <w:jc w:val="right"/>
      <w:rPr>
        <w:rFonts w:eastAsia="Times New Roman"/>
        <w:sz w:val="18"/>
      </w:rPr>
    </w:pPr>
    <w:r>
      <w:rPr>
        <w:rFonts w:eastAsia="Times New Roman"/>
        <w:sz w:val="18"/>
      </w:rPr>
      <w:fldChar w:fldCharType="begin"/>
    </w:r>
    <w:r>
      <w:rPr>
        <w:rFonts w:eastAsia="Times New Roman"/>
        <w:sz w:val="18"/>
      </w:rPr>
      <w:instrText xml:space="preserve"> PAGE </w:instrText>
    </w:r>
    <w:r>
      <w:rPr>
        <w:rFonts w:eastAsia="Times New Roman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nforcement="0"/>
  <w:defaultTabStop w:val="425"/>
  <w:drawingGridHorizontalSpacing w:val="158"/>
  <w:drawingGridVerticalSpacing w:val="290"/>
  <w:displayHorizontalDrawingGridEvery w:val="1"/>
  <w:displayVerticalDrawingGridEvery w:val="1"/>
  <w:noPunctuationKerning w:val="1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hdrShapeDefaults>
    <o:shapelayout v:ext="edit">
      <o:idmap v:ext="edit" data="2,3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doNotSuppressParagraphBorders/>
    <w:footnoteLayoutLikeWW8/>
    <w:forgetLastTabAlignment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A01FB"/>
    <w:rsid w:val="00045989"/>
    <w:rsid w:val="00050FA0"/>
    <w:rsid w:val="00096BAE"/>
    <w:rsid w:val="000A01FB"/>
    <w:rsid w:val="000B24F9"/>
    <w:rsid w:val="000B4A22"/>
    <w:rsid w:val="000C0BF7"/>
    <w:rsid w:val="000C2FB2"/>
    <w:rsid w:val="000C6B28"/>
    <w:rsid w:val="000D0B4C"/>
    <w:rsid w:val="000F25BF"/>
    <w:rsid w:val="001005AC"/>
    <w:rsid w:val="001024AA"/>
    <w:rsid w:val="001056AD"/>
    <w:rsid w:val="001520B3"/>
    <w:rsid w:val="00182501"/>
    <w:rsid w:val="00185691"/>
    <w:rsid w:val="00192E6B"/>
    <w:rsid w:val="001B24CD"/>
    <w:rsid w:val="001B58F6"/>
    <w:rsid w:val="001D3042"/>
    <w:rsid w:val="001D7EF0"/>
    <w:rsid w:val="001E64D7"/>
    <w:rsid w:val="001F7BBB"/>
    <w:rsid w:val="00221657"/>
    <w:rsid w:val="002328B1"/>
    <w:rsid w:val="002466FA"/>
    <w:rsid w:val="00250A8A"/>
    <w:rsid w:val="0026530B"/>
    <w:rsid w:val="00266A87"/>
    <w:rsid w:val="00296D93"/>
    <w:rsid w:val="002B04C6"/>
    <w:rsid w:val="002C26CE"/>
    <w:rsid w:val="002D3B50"/>
    <w:rsid w:val="00301B6D"/>
    <w:rsid w:val="00392240"/>
    <w:rsid w:val="00396CAE"/>
    <w:rsid w:val="003B3891"/>
    <w:rsid w:val="003D5F25"/>
    <w:rsid w:val="003E4FE8"/>
    <w:rsid w:val="003E5084"/>
    <w:rsid w:val="003F450B"/>
    <w:rsid w:val="004077FA"/>
    <w:rsid w:val="00413264"/>
    <w:rsid w:val="00432433"/>
    <w:rsid w:val="00434D79"/>
    <w:rsid w:val="00474C3A"/>
    <w:rsid w:val="00490227"/>
    <w:rsid w:val="00496D2E"/>
    <w:rsid w:val="00497F00"/>
    <w:rsid w:val="004A2FB3"/>
    <w:rsid w:val="004D68B4"/>
    <w:rsid w:val="004E0474"/>
    <w:rsid w:val="0050535E"/>
    <w:rsid w:val="005777F4"/>
    <w:rsid w:val="005C27F5"/>
    <w:rsid w:val="005C3378"/>
    <w:rsid w:val="005C7EAE"/>
    <w:rsid w:val="005F3C4D"/>
    <w:rsid w:val="006042BD"/>
    <w:rsid w:val="006068C6"/>
    <w:rsid w:val="00615E22"/>
    <w:rsid w:val="00662243"/>
    <w:rsid w:val="00662C8B"/>
    <w:rsid w:val="006A30D0"/>
    <w:rsid w:val="006B04E4"/>
    <w:rsid w:val="006C0DE2"/>
    <w:rsid w:val="0072131F"/>
    <w:rsid w:val="00731C1B"/>
    <w:rsid w:val="00737083"/>
    <w:rsid w:val="00765BC9"/>
    <w:rsid w:val="007770A5"/>
    <w:rsid w:val="00794916"/>
    <w:rsid w:val="007F46CB"/>
    <w:rsid w:val="00800B8F"/>
    <w:rsid w:val="00815223"/>
    <w:rsid w:val="00831787"/>
    <w:rsid w:val="00840973"/>
    <w:rsid w:val="00850D3F"/>
    <w:rsid w:val="00853F77"/>
    <w:rsid w:val="00860A47"/>
    <w:rsid w:val="00867FC3"/>
    <w:rsid w:val="00891C35"/>
    <w:rsid w:val="008935D1"/>
    <w:rsid w:val="00896F29"/>
    <w:rsid w:val="008B74C0"/>
    <w:rsid w:val="008F6151"/>
    <w:rsid w:val="009048D5"/>
    <w:rsid w:val="00904AFE"/>
    <w:rsid w:val="0092122C"/>
    <w:rsid w:val="009220DF"/>
    <w:rsid w:val="0093548C"/>
    <w:rsid w:val="0094704C"/>
    <w:rsid w:val="00965CCB"/>
    <w:rsid w:val="00972E17"/>
    <w:rsid w:val="00974193"/>
    <w:rsid w:val="009A449C"/>
    <w:rsid w:val="009A5EB0"/>
    <w:rsid w:val="009B5111"/>
    <w:rsid w:val="009B56E5"/>
    <w:rsid w:val="00A1588C"/>
    <w:rsid w:val="00A23D73"/>
    <w:rsid w:val="00A40C10"/>
    <w:rsid w:val="00A4300C"/>
    <w:rsid w:val="00A443C1"/>
    <w:rsid w:val="00A955CD"/>
    <w:rsid w:val="00AA3D4F"/>
    <w:rsid w:val="00AF5CAC"/>
    <w:rsid w:val="00B1777D"/>
    <w:rsid w:val="00B51CD6"/>
    <w:rsid w:val="00B73014"/>
    <w:rsid w:val="00B80CD6"/>
    <w:rsid w:val="00B82E95"/>
    <w:rsid w:val="00B833D8"/>
    <w:rsid w:val="00BA0FA4"/>
    <w:rsid w:val="00BD335A"/>
    <w:rsid w:val="00BF0A53"/>
    <w:rsid w:val="00C464A8"/>
    <w:rsid w:val="00C6762A"/>
    <w:rsid w:val="00C83427"/>
    <w:rsid w:val="00CD4D55"/>
    <w:rsid w:val="00D01740"/>
    <w:rsid w:val="00D05DF1"/>
    <w:rsid w:val="00D7295A"/>
    <w:rsid w:val="00D878F1"/>
    <w:rsid w:val="00D902A8"/>
    <w:rsid w:val="00D97CFB"/>
    <w:rsid w:val="00DA2332"/>
    <w:rsid w:val="00DB38C2"/>
    <w:rsid w:val="00DC314D"/>
    <w:rsid w:val="00DD0D97"/>
    <w:rsid w:val="00DD2B37"/>
    <w:rsid w:val="00DD4877"/>
    <w:rsid w:val="00DD59CC"/>
    <w:rsid w:val="00E03841"/>
    <w:rsid w:val="00E56C8D"/>
    <w:rsid w:val="00E7080E"/>
    <w:rsid w:val="00E73AC1"/>
    <w:rsid w:val="00E770E1"/>
    <w:rsid w:val="00E93235"/>
    <w:rsid w:val="00ED5B9D"/>
    <w:rsid w:val="00EE4DB0"/>
    <w:rsid w:val="00EF6B8E"/>
    <w:rsid w:val="00EF7895"/>
    <w:rsid w:val="00F13201"/>
    <w:rsid w:val="00F14A44"/>
    <w:rsid w:val="00F63B69"/>
    <w:rsid w:val="00F63FF8"/>
    <w:rsid w:val="00FA4D84"/>
    <w:rsid w:val="00FA4DBD"/>
    <w:rsid w:val="00FB4D5D"/>
    <w:rsid w:val="00FC3919"/>
    <w:rsid w:val="00FC49BF"/>
    <w:rsid w:val="010B1EA6"/>
    <w:rsid w:val="01A06D82"/>
    <w:rsid w:val="01B25A4D"/>
    <w:rsid w:val="01D003F4"/>
    <w:rsid w:val="03505C66"/>
    <w:rsid w:val="064F520B"/>
    <w:rsid w:val="07DE0AAA"/>
    <w:rsid w:val="09502F56"/>
    <w:rsid w:val="0AE95411"/>
    <w:rsid w:val="0BB8447D"/>
    <w:rsid w:val="0CB038E3"/>
    <w:rsid w:val="0CF02DEE"/>
    <w:rsid w:val="0D840E89"/>
    <w:rsid w:val="0DC50276"/>
    <w:rsid w:val="0F8141E3"/>
    <w:rsid w:val="12080E07"/>
    <w:rsid w:val="123039D7"/>
    <w:rsid w:val="12C81AA5"/>
    <w:rsid w:val="136F4921"/>
    <w:rsid w:val="1578613D"/>
    <w:rsid w:val="15C2342E"/>
    <w:rsid w:val="1637679E"/>
    <w:rsid w:val="19204A5A"/>
    <w:rsid w:val="193D01E0"/>
    <w:rsid w:val="1C365FDC"/>
    <w:rsid w:val="1D2027D0"/>
    <w:rsid w:val="1D4E12BA"/>
    <w:rsid w:val="1F4C00ED"/>
    <w:rsid w:val="21F455CD"/>
    <w:rsid w:val="226117B6"/>
    <w:rsid w:val="23445D57"/>
    <w:rsid w:val="23570372"/>
    <w:rsid w:val="256B156C"/>
    <w:rsid w:val="25B27047"/>
    <w:rsid w:val="26264F8E"/>
    <w:rsid w:val="26D83835"/>
    <w:rsid w:val="2786250D"/>
    <w:rsid w:val="27F5397D"/>
    <w:rsid w:val="2ABB0720"/>
    <w:rsid w:val="2AFF29AF"/>
    <w:rsid w:val="2B6540BB"/>
    <w:rsid w:val="2B6F62D5"/>
    <w:rsid w:val="2B8704A8"/>
    <w:rsid w:val="2FB27D82"/>
    <w:rsid w:val="30C82935"/>
    <w:rsid w:val="33077C70"/>
    <w:rsid w:val="34E478E0"/>
    <w:rsid w:val="359D56FF"/>
    <w:rsid w:val="35EF5E14"/>
    <w:rsid w:val="368F633F"/>
    <w:rsid w:val="37083883"/>
    <w:rsid w:val="378578B7"/>
    <w:rsid w:val="38146403"/>
    <w:rsid w:val="38B97D28"/>
    <w:rsid w:val="38BB358E"/>
    <w:rsid w:val="38D97FC3"/>
    <w:rsid w:val="3A1F5203"/>
    <w:rsid w:val="3D584BA2"/>
    <w:rsid w:val="3E021FAB"/>
    <w:rsid w:val="3F4F7231"/>
    <w:rsid w:val="402E288B"/>
    <w:rsid w:val="4104773E"/>
    <w:rsid w:val="417E794A"/>
    <w:rsid w:val="44983428"/>
    <w:rsid w:val="44EE4DF6"/>
    <w:rsid w:val="45E47B16"/>
    <w:rsid w:val="45FA4B9F"/>
    <w:rsid w:val="46947057"/>
    <w:rsid w:val="47321912"/>
    <w:rsid w:val="47651902"/>
    <w:rsid w:val="477B47A9"/>
    <w:rsid w:val="478A34FC"/>
    <w:rsid w:val="47E66258"/>
    <w:rsid w:val="495A0CAC"/>
    <w:rsid w:val="4A0627BE"/>
    <w:rsid w:val="4A30398A"/>
    <w:rsid w:val="4A9F4CF0"/>
    <w:rsid w:val="4AC07792"/>
    <w:rsid w:val="4CE7092E"/>
    <w:rsid w:val="4E252DB9"/>
    <w:rsid w:val="4F8000E2"/>
    <w:rsid w:val="5073301F"/>
    <w:rsid w:val="51606BFC"/>
    <w:rsid w:val="545424E6"/>
    <w:rsid w:val="54D55BDE"/>
    <w:rsid w:val="54E47F11"/>
    <w:rsid w:val="55342CF9"/>
    <w:rsid w:val="55835057"/>
    <w:rsid w:val="57DB6B64"/>
    <w:rsid w:val="5BC50A62"/>
    <w:rsid w:val="60050F24"/>
    <w:rsid w:val="603D6F06"/>
    <w:rsid w:val="60EE1FAE"/>
    <w:rsid w:val="61263F4D"/>
    <w:rsid w:val="61561366"/>
    <w:rsid w:val="6163086B"/>
    <w:rsid w:val="6383212C"/>
    <w:rsid w:val="64D91FD4"/>
    <w:rsid w:val="65E0558A"/>
    <w:rsid w:val="68E8683A"/>
    <w:rsid w:val="694D661D"/>
    <w:rsid w:val="696E3491"/>
    <w:rsid w:val="69CC4101"/>
    <w:rsid w:val="6AFF5937"/>
    <w:rsid w:val="6BF86AA4"/>
    <w:rsid w:val="6C3D2854"/>
    <w:rsid w:val="6CB769F9"/>
    <w:rsid w:val="6DC76061"/>
    <w:rsid w:val="6E163EDE"/>
    <w:rsid w:val="6E6A3208"/>
    <w:rsid w:val="6FB24951"/>
    <w:rsid w:val="6FD827A7"/>
    <w:rsid w:val="70BD626C"/>
    <w:rsid w:val="726C3FD1"/>
    <w:rsid w:val="73397D17"/>
    <w:rsid w:val="73815F40"/>
    <w:rsid w:val="73E223A7"/>
    <w:rsid w:val="74154AF0"/>
    <w:rsid w:val="75EC1E21"/>
    <w:rsid w:val="76B77724"/>
    <w:rsid w:val="76D832CD"/>
    <w:rsid w:val="7A601D17"/>
    <w:rsid w:val="7A7973A8"/>
    <w:rsid w:val="7B0C0998"/>
    <w:rsid w:val="7BAA0A78"/>
    <w:rsid w:val="7C5031A0"/>
    <w:rsid w:val="7DB9735D"/>
    <w:rsid w:val="7DE467BB"/>
    <w:rsid w:val="7E141BC7"/>
    <w:rsid w:val="7E707F48"/>
    <w:rsid w:val="7EFE1DAF"/>
    <w:rsid w:val="7FBF2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Times New Roman" w:hAnsi="Times New Roman" w:eastAsia="方正仿宋_GBK" w:cs="Times New Roman"/>
      <w:sz w:val="32"/>
      <w:szCs w:val="3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toc 5"/>
    <w:basedOn w:val="1"/>
    <w:next w:val="1"/>
    <w:qFormat/>
    <w:uiPriority w:val="0"/>
    <w:pPr>
      <w:ind w:left="1680" w:leftChars="800"/>
    </w:pPr>
    <w:rPr>
      <w:sz w:val="32"/>
    </w:rPr>
  </w:style>
  <w:style w:type="paragraph" w:styleId="4">
    <w:name w:val="Body Text Indent"/>
    <w:basedOn w:val="1"/>
    <w:qFormat/>
    <w:uiPriority w:val="0"/>
    <w:pPr>
      <w:ind w:firstLine="640" w:firstLineChars="200"/>
    </w:pPr>
    <w:rPr>
      <w:rFonts w:eastAsia="仿宋_GB2312"/>
      <w:sz w:val="32"/>
    </w:rPr>
  </w:style>
  <w:style w:type="paragraph" w:styleId="5">
    <w:name w:val="Balloon Text"/>
    <w:basedOn w:val="1"/>
    <w:semiHidden/>
    <w:qFormat/>
    <w:uiPriority w:val="0"/>
    <w:rPr>
      <w:sz w:val="18"/>
      <w:szCs w:val="18"/>
    </w:rPr>
  </w:style>
  <w:style w:type="paragraph" w:styleId="6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7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styleId="10">
    <w:name w:val="page number"/>
    <w:basedOn w:val="9"/>
    <w:qFormat/>
    <w:uiPriority w:val="0"/>
  </w:style>
  <w:style w:type="character" w:customStyle="1" w:styleId="11">
    <w:name w:val="页脚 字符"/>
    <w:link w:val="6"/>
    <w:qFormat/>
    <w:uiPriority w:val="99"/>
    <w:rPr>
      <w:rFonts w:eastAsia="方正仿宋_GBK"/>
      <w:sz w:val="18"/>
      <w:szCs w:val="18"/>
    </w:rPr>
  </w:style>
  <w:style w:type="character" w:customStyle="1" w:styleId="12">
    <w:name w:val="页眉 字符"/>
    <w:link w:val="7"/>
    <w:qFormat/>
    <w:uiPriority w:val="0"/>
    <w:rPr>
      <w:rFonts w:eastAsia="方正仿宋_GBK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3073"/>
    <customShpInfo spid="_x0000_s1032"/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E605633-B490-42C1-B33A-F18EA88CE60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jw</Company>
  <Pages>4</Pages>
  <Words>1074</Words>
  <Characters>1239</Characters>
  <Lines>3</Lines>
  <Paragraphs>1</Paragraphs>
  <TotalTime>0</TotalTime>
  <ScaleCrop>false</ScaleCrop>
  <LinksUpToDate>false</LinksUpToDate>
  <CharactersWithSpaces>1398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2025-08-06T08:56:00Z</dcterms:created>
  <dc:creator>jw</dc:creator>
  <cp:lastModifiedBy>董丽莉</cp:lastModifiedBy>
  <cp:lastPrinted>2026-02-12T03:12:00Z</cp:lastPrinted>
  <dcterms:modified xsi:type="dcterms:W3CDTF">2026-07-08T06:45:56Z</dcterms:modified>
  <dc:title>批复文件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BFCEC26323E44AA2A0E8619B7F2C1E37</vt:lpwstr>
  </property>
  <property fmtid="{D5CDD505-2E9C-101B-9397-08002B2CF9AE}" pid="3" name="KSOProductBuildVer">
    <vt:lpwstr>2052-12.1.0.26895</vt:lpwstr>
  </property>
  <property fmtid="{D5CDD505-2E9C-101B-9397-08002B2CF9AE}" pid="4" name="KSOTemplateDocerSaveRecord">
    <vt:lpwstr>eyJoZGlkIjoiMTY2Y2ZlYTNkNWI5MzlkYjFiNjgwMzcyNGYwMjIxODUiLCJ1c2VySWQiOiIxOTA1NDczOTIifQ==</vt:lpwstr>
  </property>
</Properties>
</file>