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219</w:t>
      </w:r>
      <w:r>
        <w:rPr>
          <w:rFonts w:eastAsia="方正仿宋_GBK"/>
          <w:sz w:val="32"/>
          <w:szCs w:val="32"/>
        </w:rPr>
        <w:t>号</w:t>
      </w:r>
    </w:p>
    <w:p w14:paraId="5F9EF067">
      <w:pPr>
        <w:spacing w:line="520" w:lineRule="exact"/>
        <w:rPr>
          <w:rFonts w:hint="eastAsia" w:eastAsia="方正仿宋_GBK"/>
          <w:sz w:val="32"/>
          <w:szCs w:val="32"/>
        </w:rPr>
      </w:pPr>
      <w:r>
        <w:rPr>
          <w:rFonts w:hint="eastAsia" w:eastAsia="方正仿宋_GBK"/>
          <w:sz w:val="32"/>
          <w:szCs w:val="32"/>
        </w:rPr>
        <w:t xml:space="preserve"> </w:t>
      </w:r>
    </w:p>
    <w:p w14:paraId="7CF438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34E76E2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w w:val="100"/>
          <w:sz w:val="44"/>
          <w:szCs w:val="44"/>
        </w:rPr>
      </w:pPr>
      <w:r>
        <w:rPr>
          <w:rFonts w:hint="eastAsia" w:ascii="方正小标宋_GBK" w:hAnsi="方正小标宋_GBK" w:eastAsia="方正小标宋_GBK" w:cs="方正小标宋_GBK"/>
          <w:w w:val="100"/>
          <w:sz w:val="44"/>
          <w:szCs w:val="44"/>
        </w:rPr>
        <w:t>关于黔江区太极镇2026年鹿子村巴渝和美</w:t>
      </w:r>
    </w:p>
    <w:p w14:paraId="160B2561">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w w:val="100"/>
          <w:sz w:val="44"/>
          <w:szCs w:val="44"/>
        </w:rPr>
        <w:t>乡村建设项目</w:t>
      </w:r>
      <w:r>
        <w:rPr>
          <w:rFonts w:hint="eastAsia" w:ascii="方正小标宋_GBK" w:hAnsi="方正小标宋_GBK" w:eastAsia="方正小标宋_GBK" w:cs="方正小标宋_GBK"/>
          <w:w w:val="100"/>
          <w:sz w:val="44"/>
          <w:szCs w:val="44"/>
          <w:lang w:eastAsia="zh-CN"/>
        </w:rPr>
        <w:t>可行性研究报告</w:t>
      </w:r>
      <w:r>
        <w:rPr>
          <w:rFonts w:hint="eastAsia" w:ascii="方正小标宋_GBK" w:hAnsi="方正小标宋_GBK" w:eastAsia="方正小标宋_GBK" w:cs="方正小标宋_GBK"/>
          <w:w w:val="100"/>
          <w:sz w:val="44"/>
          <w:szCs w:val="44"/>
        </w:rPr>
        <w:t>的批复</w:t>
      </w:r>
    </w:p>
    <w:p w14:paraId="4D6133C6">
      <w:pPr>
        <w:keepNext w:val="0"/>
        <w:keepLines w:val="0"/>
        <w:pageBreakBefore w:val="0"/>
        <w:widowControl w:val="0"/>
        <w:kinsoku/>
        <w:wordWrap/>
        <w:overflowPunct/>
        <w:topLinePunct w:val="0"/>
        <w:autoSpaceDE/>
        <w:autoSpaceDN/>
        <w:bidi w:val="0"/>
        <w:adjustRightInd/>
        <w:snapToGrid/>
        <w:spacing w:line="575" w:lineRule="exact"/>
        <w:textAlignment w:val="auto"/>
      </w:pPr>
    </w:p>
    <w:p w14:paraId="3D9FA3C7">
      <w:pPr>
        <w:keepNext w:val="0"/>
        <w:keepLines w:val="0"/>
        <w:pageBreakBefore w:val="0"/>
        <w:widowControl w:val="0"/>
        <w:kinsoku/>
        <w:wordWrap/>
        <w:overflowPunct/>
        <w:topLinePunct w:val="0"/>
        <w:autoSpaceDE/>
        <w:autoSpaceDN/>
        <w:bidi w:val="0"/>
        <w:adjustRightInd/>
        <w:snapToGrid/>
        <w:spacing w:line="575"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中新绿雅（重庆）农业科技有限责任公司：</w:t>
      </w:r>
    </w:p>
    <w:p w14:paraId="0603EB0A">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sz w:val="32"/>
          <w:szCs w:val="32"/>
        </w:rPr>
        <w:t>你</w:t>
      </w:r>
      <w:r>
        <w:rPr>
          <w:rFonts w:hint="default" w:ascii="Times New Roman" w:hAnsi="Times New Roman" w:eastAsia="方正仿宋_GBK" w:cs="Times New Roman"/>
          <w:sz w:val="32"/>
          <w:szCs w:val="32"/>
          <w:lang w:eastAsia="zh-CN"/>
        </w:rPr>
        <w:t>司</w:t>
      </w:r>
      <w:r>
        <w:rPr>
          <w:rFonts w:hint="default" w:ascii="Times New Roman" w:hAnsi="Times New Roman" w:eastAsia="方正仿宋_GBK" w:cs="Times New Roman"/>
          <w:sz w:val="32"/>
          <w:szCs w:val="32"/>
        </w:rPr>
        <w:t>《关于</w:t>
      </w:r>
      <w:r>
        <w:rPr>
          <w:rFonts w:hint="default" w:ascii="Times New Roman" w:hAnsi="Times New Roman" w:eastAsia="方正仿宋_GBK" w:cs="Times New Roman"/>
          <w:sz w:val="32"/>
          <w:szCs w:val="32"/>
          <w:lang w:eastAsia="zh-CN"/>
        </w:rPr>
        <w:t>申请审查</w:t>
      </w:r>
      <w:r>
        <w:rPr>
          <w:rFonts w:hint="default" w:ascii="Times New Roman" w:hAnsi="Times New Roman" w:eastAsia="方正仿宋_GBK" w:cs="Times New Roman"/>
          <w:sz w:val="32"/>
          <w:szCs w:val="32"/>
        </w:rPr>
        <w:t>黔江区太极镇2026年鹿子村巴渝和美乡村建设项目可行性研究报告</w:t>
      </w:r>
      <w:r>
        <w:rPr>
          <w:rFonts w:hint="default" w:ascii="Times New Roman" w:hAnsi="Times New Roman" w:eastAsia="方正仿宋_GBK" w:cs="Times New Roman"/>
          <w:sz w:val="32"/>
          <w:szCs w:val="32"/>
          <w:lang w:eastAsia="zh-CN"/>
        </w:rPr>
        <w:t>的函</w:t>
      </w:r>
      <w:r>
        <w:rPr>
          <w:rFonts w:hint="default" w:ascii="Times New Roman" w:hAnsi="Times New Roman" w:eastAsia="方正仿宋_GBK" w:cs="Times New Roman"/>
          <w:sz w:val="32"/>
          <w:szCs w:val="32"/>
        </w:rPr>
        <w:t>》（中新绿雅</w:t>
      </w:r>
      <w:r>
        <w:rPr>
          <w:rFonts w:hint="default" w:ascii="Times New Roman" w:hAnsi="Times New Roman" w:eastAsia="方正仿宋_GBK" w:cs="Times New Roman"/>
          <w:sz w:val="32"/>
          <w:szCs w:val="32"/>
          <w:lang w:eastAsia="zh-CN"/>
        </w:rPr>
        <w:t>司函</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sz w:val="32"/>
          <w:szCs w:val="32"/>
          <w:lang w:val="en-US" w:eastAsia="zh-CN"/>
        </w:rPr>
        <w:t>92</w:t>
      </w:r>
      <w:r>
        <w:rPr>
          <w:rFonts w:hint="default" w:ascii="Times New Roman" w:hAnsi="Times New Roman" w:eastAsia="方正仿宋_GBK" w:cs="Times New Roman"/>
          <w:sz w:val="32"/>
          <w:szCs w:val="32"/>
        </w:rPr>
        <w:t>号）收悉。经区政府</w:t>
      </w:r>
      <w:r>
        <w:rPr>
          <w:rFonts w:hint="default" w:ascii="Times New Roman" w:hAnsi="Times New Roman" w:eastAsia="方正仿宋_GBK" w:cs="Times New Roman"/>
          <w:sz w:val="32"/>
          <w:szCs w:val="32"/>
          <w:lang w:eastAsia="zh-CN"/>
        </w:rPr>
        <w:t>投资项目前期工作服务中心评</w:t>
      </w:r>
      <w:r>
        <w:rPr>
          <w:rFonts w:hint="default" w:ascii="Times New Roman" w:hAnsi="Times New Roman" w:eastAsia="方正仿宋_GBK" w:cs="Times New Roman"/>
          <w:b w:val="0"/>
          <w:bCs w:val="0"/>
          <w:sz w:val="32"/>
          <w:szCs w:val="32"/>
        </w:rPr>
        <w:t>审</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原则同意该项目可行性研究报告</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现批复如下：</w:t>
      </w:r>
    </w:p>
    <w:p w14:paraId="29D2921F">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一、为巩固太极镇鹿子村脱贫攻坚成果，打造宜居宜业和美乡村，同意实施该项目。</w:t>
      </w:r>
    </w:p>
    <w:p w14:paraId="200013A9">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二、项目代码：2606</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500114</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04</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01</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861259。</w:t>
      </w:r>
      <w:bookmarkStart w:id="0" w:name="_GoBack"/>
      <w:bookmarkEnd w:id="0"/>
    </w:p>
    <w:p w14:paraId="61062ADA">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三、项目业主</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中新绿雅（重庆）农业科技有限责任公司。</w:t>
      </w:r>
    </w:p>
    <w:p w14:paraId="2043BB2D">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四、项目建设地点：黔江区</w:t>
      </w:r>
      <w:r>
        <w:rPr>
          <w:rFonts w:hint="default" w:ascii="Times New Roman" w:hAnsi="Times New Roman" w:eastAsia="方正仿宋_GBK" w:cs="Times New Roman"/>
          <w:b w:val="0"/>
          <w:bCs w:val="0"/>
          <w:sz w:val="32"/>
          <w:szCs w:val="32"/>
          <w:lang w:eastAsia="zh-CN"/>
        </w:rPr>
        <w:t>太极镇鹿子村</w:t>
      </w:r>
      <w:r>
        <w:rPr>
          <w:rFonts w:hint="default" w:ascii="Times New Roman" w:hAnsi="Times New Roman" w:eastAsia="方正仿宋_GBK" w:cs="Times New Roman"/>
          <w:b w:val="0"/>
          <w:bCs w:val="0"/>
          <w:sz w:val="32"/>
          <w:szCs w:val="32"/>
        </w:rPr>
        <w:t>。</w:t>
      </w:r>
    </w:p>
    <w:p w14:paraId="045BA416">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五、建设规模、标准及主要建设内容：</w:t>
      </w:r>
      <w:r>
        <w:rPr>
          <w:rFonts w:hint="default" w:ascii="Times New Roman" w:hAnsi="Times New Roman" w:eastAsia="方正仿宋_GBK" w:cs="Times New Roman"/>
          <w:b w:val="0"/>
          <w:bCs w:val="0"/>
          <w:sz w:val="32"/>
          <w:szCs w:val="32"/>
          <w:lang w:eastAsia="zh-CN"/>
        </w:rPr>
        <w:t>农户院坝整治硬化6395平方米，入户路及产业路硬化2.31公里，1米宽人行路硬化0.66公里，农户房屋周边排水沟整治1.75公里，农田灌溉排水堰渠整治245米，农户厕改造（化粪池及厕屋修建）25户，新砌堡坎160立方米等。</w:t>
      </w:r>
    </w:p>
    <w:p w14:paraId="6A92DB27">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六、投资估算及资金来源：项目估算总投资294.63万元</w:t>
      </w:r>
      <w:r>
        <w:rPr>
          <w:rFonts w:hint="default"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其中：工程费用253.96万元，工程建设其他费26.64万元，预备费14.03万元。资金来源为</w:t>
      </w:r>
      <w:r>
        <w:rPr>
          <w:rFonts w:hint="default" w:ascii="Times New Roman" w:hAnsi="Times New Roman" w:eastAsia="方正仿宋_GBK" w:cs="Times New Roman"/>
          <w:b w:val="0"/>
          <w:bCs w:val="0"/>
          <w:sz w:val="32"/>
          <w:szCs w:val="32"/>
          <w:lang w:eastAsia="zh-CN"/>
        </w:rPr>
        <w:t>2026年提前批衔接资金</w:t>
      </w:r>
      <w:r>
        <w:rPr>
          <w:rFonts w:hint="default" w:ascii="Times New Roman" w:hAnsi="Times New Roman" w:eastAsia="方正仿宋_GBK" w:cs="Times New Roman"/>
          <w:b w:val="0"/>
          <w:bCs w:val="0"/>
          <w:sz w:val="32"/>
          <w:szCs w:val="32"/>
        </w:rPr>
        <w:t>。</w:t>
      </w:r>
    </w:p>
    <w:p w14:paraId="402C7B14">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七、建设工期：</w:t>
      </w:r>
      <w:r>
        <w:rPr>
          <w:rFonts w:hint="default" w:ascii="Times New Roman" w:hAnsi="Times New Roman" w:eastAsia="方正仿宋_GBK" w:cs="Times New Roman"/>
          <w:b w:val="0"/>
          <w:bCs w:val="0"/>
          <w:sz w:val="32"/>
          <w:szCs w:val="32"/>
          <w:lang w:val="en-US" w:eastAsia="zh-CN"/>
        </w:rPr>
        <w:t>3</w:t>
      </w:r>
      <w:r>
        <w:rPr>
          <w:rFonts w:hint="default" w:ascii="Times New Roman" w:hAnsi="Times New Roman" w:eastAsia="方正仿宋_GBK" w:cs="Times New Roman"/>
          <w:b w:val="0"/>
          <w:bCs w:val="0"/>
          <w:sz w:val="32"/>
          <w:szCs w:val="32"/>
        </w:rPr>
        <w:t>个月。</w:t>
      </w:r>
    </w:p>
    <w:p w14:paraId="67FE9266">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八、招</w:t>
      </w:r>
      <w:r>
        <w:rPr>
          <w:rFonts w:hint="default" w:ascii="Times New Roman" w:hAnsi="Times New Roman" w:eastAsia="方正仿宋_GBK" w:cs="Times New Roman"/>
          <w:b w:val="0"/>
          <w:bCs w:val="0"/>
          <w:sz w:val="32"/>
          <w:szCs w:val="32"/>
          <w:lang w:eastAsia="zh-CN"/>
        </w:rPr>
        <w:t>投</w:t>
      </w:r>
      <w:r>
        <w:rPr>
          <w:rFonts w:hint="default" w:ascii="Times New Roman" w:hAnsi="Times New Roman" w:eastAsia="方正仿宋_GBK" w:cs="Times New Roman"/>
          <w:b w:val="0"/>
          <w:bCs w:val="0"/>
          <w:sz w:val="32"/>
          <w:szCs w:val="32"/>
        </w:rPr>
        <w:t>标核准：本项目招标范围、招标方式及招标组织形式严格按照《中华人民共和国招标投标法实施条例》</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《重庆市黔江区政府投资管理实施办法》</w:t>
      </w:r>
      <w:r>
        <w:rPr>
          <w:rFonts w:hint="default" w:ascii="Times New Roman" w:hAnsi="Times New Roman" w:eastAsia="方正仿宋_GBK" w:cs="Times New Roman"/>
          <w:b w:val="0"/>
          <w:bCs w:val="0"/>
          <w:sz w:val="32"/>
          <w:szCs w:val="32"/>
          <w:lang w:eastAsia="zh-CN"/>
        </w:rPr>
        <w:t>和农业领域推广以工代赈项目建设模式的</w:t>
      </w:r>
      <w:r>
        <w:rPr>
          <w:rFonts w:hint="default" w:ascii="Times New Roman" w:hAnsi="Times New Roman" w:eastAsia="方正仿宋_GBK" w:cs="Times New Roman"/>
          <w:b w:val="0"/>
          <w:bCs w:val="0"/>
          <w:sz w:val="32"/>
          <w:szCs w:val="32"/>
        </w:rPr>
        <w:t>有关规定组织实施。</w:t>
      </w:r>
    </w:p>
    <w:p w14:paraId="15EC88C5">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九、有关要求:</w:t>
      </w:r>
    </w:p>
    <w:p w14:paraId="64F71AB9">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w:t>
      </w:r>
      <w:r>
        <w:rPr>
          <w:rFonts w:hint="eastAsia" w:eastAsia="方正仿宋_GBK" w:cs="Times New Roman"/>
          <w:b w:val="0"/>
          <w:bCs w:val="0"/>
          <w:sz w:val="32"/>
          <w:szCs w:val="32"/>
          <w:lang w:eastAsia="zh-CN"/>
        </w:rPr>
        <w:t>一</w:t>
      </w:r>
      <w:r>
        <w:rPr>
          <w:rFonts w:hint="default" w:ascii="Times New Roman" w:hAnsi="Times New Roman" w:eastAsia="方正仿宋_GBK" w:cs="Times New Roman"/>
          <w:b w:val="0"/>
          <w:bCs w:val="0"/>
          <w:sz w:val="32"/>
          <w:szCs w:val="32"/>
        </w:rPr>
        <w:t>）根据《关于印发村庄建设项目简易审批方案的通知》（黔江发改委发〔2022〕64号文）要求，本项目适用村庄建设项目简易审批程序。本批复中明确的项目投资估算为项目控制性投资，不再审批项目投资概算。</w:t>
      </w:r>
    </w:p>
    <w:p w14:paraId="1CC83DD1">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w:t>
      </w:r>
      <w:r>
        <w:rPr>
          <w:rFonts w:hint="eastAsia" w:eastAsia="方正仿宋_GBK" w:cs="Times New Roman"/>
          <w:b w:val="0"/>
          <w:bCs w:val="0"/>
          <w:sz w:val="32"/>
          <w:szCs w:val="32"/>
          <w:lang w:eastAsia="zh-CN"/>
        </w:rPr>
        <w:t>二</w:t>
      </w:r>
      <w:r>
        <w:rPr>
          <w:rFonts w:hint="default" w:ascii="Times New Roman" w:hAnsi="Times New Roman" w:eastAsia="方正仿宋_GBK" w:cs="Times New Roman"/>
          <w:b w:val="0"/>
          <w:bCs w:val="0"/>
          <w:sz w:val="32"/>
          <w:szCs w:val="32"/>
        </w:rPr>
        <w:t>）切实加强项目实施过程监管，严格执行推广以工代赈项目劳务用工和报酬发放有关规定，本项目实施过程中要最大限度吸纳当地农民工参与工程建设，项目累计用工人数不得少于</w:t>
      </w:r>
      <w:r>
        <w:rPr>
          <w:rFonts w:hint="default" w:ascii="Times New Roman" w:hAnsi="Times New Roman" w:eastAsia="方正仿宋_GBK" w:cs="Times New Roman"/>
          <w:b w:val="0"/>
          <w:bCs w:val="0"/>
          <w:sz w:val="32"/>
          <w:szCs w:val="32"/>
          <w:lang w:val="en-US" w:eastAsia="zh-CN"/>
        </w:rPr>
        <w:t>20</w:t>
      </w:r>
      <w:r>
        <w:rPr>
          <w:rFonts w:hint="default" w:ascii="Times New Roman" w:hAnsi="Times New Roman" w:eastAsia="方正仿宋_GBK" w:cs="Times New Roman"/>
          <w:b w:val="0"/>
          <w:bCs w:val="0"/>
          <w:sz w:val="32"/>
          <w:szCs w:val="32"/>
        </w:rPr>
        <w:t>人，发放劳务报酬金额不得低于</w:t>
      </w:r>
      <w:r>
        <w:rPr>
          <w:rFonts w:hint="default" w:ascii="Times New Roman" w:hAnsi="Times New Roman" w:eastAsia="方正仿宋_GBK" w:cs="Times New Roman"/>
          <w:b w:val="0"/>
          <w:bCs w:val="0"/>
          <w:sz w:val="32"/>
          <w:szCs w:val="32"/>
          <w:lang w:val="en-US" w:eastAsia="zh-CN"/>
        </w:rPr>
        <w:t>60</w:t>
      </w:r>
      <w:r>
        <w:rPr>
          <w:rFonts w:hint="default" w:ascii="Times New Roman" w:hAnsi="Times New Roman" w:eastAsia="方正仿宋_GBK" w:cs="Times New Roman"/>
          <w:b w:val="0"/>
          <w:bCs w:val="0"/>
          <w:sz w:val="32"/>
          <w:szCs w:val="32"/>
        </w:rPr>
        <w:t>万元。</w:t>
      </w:r>
    </w:p>
    <w:p w14:paraId="4AD7F43D">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eastAsia="zh-CN"/>
        </w:rPr>
        <w:t>（</w:t>
      </w:r>
      <w:r>
        <w:rPr>
          <w:rFonts w:hint="eastAsia" w:eastAsia="方正仿宋_GBK" w:cs="Times New Roman"/>
          <w:b w:val="0"/>
          <w:bCs w:val="0"/>
          <w:sz w:val="32"/>
          <w:szCs w:val="32"/>
          <w:lang w:val="en-US" w:eastAsia="zh-CN"/>
        </w:rPr>
        <w:t>三</w:t>
      </w:r>
      <w:r>
        <w:rPr>
          <w:rFonts w:hint="default"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认真落实安全生产责任制,强化项目资金管理，切实控制投资，严控工程质量，加快推进项目实施，确保工程早日建成投用。</w:t>
      </w:r>
    </w:p>
    <w:p w14:paraId="468AB0DE">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p>
    <w:p w14:paraId="33676D9B">
      <w:pPr>
        <w:keepNext w:val="0"/>
        <w:keepLines w:val="0"/>
        <w:pageBreakBefore w:val="0"/>
        <w:widowControl w:val="0"/>
        <w:kinsoku/>
        <w:wordWrap/>
        <w:overflowPunct/>
        <w:topLinePunct w:val="0"/>
        <w:autoSpaceDE/>
        <w:autoSpaceDN/>
        <w:bidi w:val="0"/>
        <w:adjustRightInd/>
        <w:snapToGrid/>
        <w:spacing w:line="575" w:lineRule="exact"/>
        <w:ind w:left="1598" w:leftChars="304" w:hanging="960" w:hangingChars="3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附件：黔江区太极镇2026年鹿子村巴渝和美乡村建设项目投资估算表</w:t>
      </w:r>
    </w:p>
    <w:p w14:paraId="011991FA">
      <w:pPr>
        <w:keepNext w:val="0"/>
        <w:keepLines w:val="0"/>
        <w:pageBreakBefore w:val="0"/>
        <w:widowControl w:val="0"/>
        <w:kinsoku/>
        <w:wordWrap/>
        <w:overflowPunct/>
        <w:topLinePunct w:val="0"/>
        <w:autoSpaceDE/>
        <w:autoSpaceDN/>
        <w:bidi w:val="0"/>
        <w:adjustRightInd/>
        <w:snapToGrid/>
        <w:spacing w:line="520" w:lineRule="exact"/>
        <w:ind w:left="0" w:leftChars="0" w:firstLine="1478" w:firstLineChars="462"/>
        <w:textAlignment w:val="auto"/>
        <w:rPr>
          <w:rFonts w:hint="eastAsia" w:ascii="Times New Roman" w:hAnsi="Times New Roman" w:eastAsia="方正仿宋_GBK" w:cs="Times New Roman"/>
          <w:b w:val="0"/>
          <w:bCs w:val="0"/>
          <w:sz w:val="32"/>
          <w:szCs w:val="32"/>
          <w:lang w:eastAsia="zh-CN"/>
        </w:rPr>
      </w:pPr>
      <w:r>
        <w:rPr>
          <w:rFonts w:hint="eastAsia" w:ascii="仿宋_GB2312" w:hAnsi="仿宋_GB2312" w:eastAsia="仿宋_GB2312" w:cs="仿宋_GB2312"/>
          <w:b w:val="0"/>
          <w:bCs w:val="0"/>
          <w:sz w:val="32"/>
          <w:szCs w:val="32"/>
          <w:lang w:val="en-US" w:eastAsia="zh-CN"/>
        </w:rPr>
        <w:t xml:space="preserve"> </w:t>
      </w:r>
    </w:p>
    <w:p w14:paraId="439FEFB5">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sz w:val="32"/>
          <w:szCs w:val="32"/>
        </w:rPr>
      </w:pPr>
    </w:p>
    <w:p w14:paraId="45386926">
      <w:pPr>
        <w:keepNext w:val="0"/>
        <w:keepLines w:val="0"/>
        <w:pageBreakBefore w:val="0"/>
        <w:widowControl w:val="0"/>
        <w:kinsoku/>
        <w:wordWrap/>
        <w:overflowPunct/>
        <w:topLinePunct w:val="0"/>
        <w:autoSpaceDE/>
        <w:autoSpaceDN/>
        <w:bidi w:val="0"/>
        <w:adjustRightInd/>
        <w:snapToGrid/>
        <w:spacing w:line="520" w:lineRule="exact"/>
        <w:ind w:firstLine="3520" w:firstLineChars="11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重庆市黔江区发展和改革委员会</w:t>
      </w:r>
    </w:p>
    <w:p w14:paraId="79C98930">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eastAsia" w:eastAsia="方正仿宋_GBK" w:cs="Times New Roman"/>
          <w:sz w:val="32"/>
          <w:szCs w:val="32"/>
          <w:lang w:val="en-US" w:eastAsia="zh-CN"/>
        </w:rPr>
        <w:t>7</w:t>
      </w:r>
      <w:r>
        <w:rPr>
          <w:rFonts w:hint="default" w:ascii="Times New Roman" w:hAnsi="Times New Roman" w:eastAsia="方正仿宋_GBK" w:cs="Times New Roman"/>
          <w:sz w:val="32"/>
          <w:szCs w:val="32"/>
        </w:rPr>
        <w:t>月</w:t>
      </w:r>
      <w:r>
        <w:rPr>
          <w:rFonts w:hint="eastAsia" w:eastAsia="方正仿宋_GBK" w:cs="Times New Roman"/>
          <w:sz w:val="32"/>
          <w:szCs w:val="32"/>
          <w:lang w:val="en-US" w:eastAsia="zh-CN"/>
        </w:rPr>
        <w:t>13</w:t>
      </w:r>
      <w:r>
        <w:rPr>
          <w:rFonts w:hint="default" w:ascii="Times New Roman" w:hAnsi="Times New Roman" w:eastAsia="方正仿宋_GBK" w:cs="Times New Roman"/>
          <w:sz w:val="32"/>
          <w:szCs w:val="32"/>
        </w:rPr>
        <w:t>日</w:t>
      </w:r>
    </w:p>
    <w:p w14:paraId="1B883126">
      <w:pPr>
        <w:pStyle w:val="5"/>
        <w:spacing w:line="500" w:lineRule="exact"/>
        <w:rPr>
          <w:rFonts w:hint="eastAsia" w:ascii="方正黑体_GBK" w:hAnsi="方正黑体_GBK" w:eastAsia="方正黑体_GBK" w:cs="方正黑体_GBK"/>
          <w:sz w:val="32"/>
          <w:szCs w:val="32"/>
        </w:rPr>
      </w:pPr>
    </w:p>
    <w:p w14:paraId="4F27955C">
      <w:pPr>
        <w:pStyle w:val="5"/>
        <w:spacing w:line="500" w:lineRule="exact"/>
        <w:rPr>
          <w:rFonts w:hint="eastAsia" w:ascii="方正黑体_GBK" w:hAnsi="方正黑体_GBK" w:eastAsia="方正黑体_GBK" w:cs="方正黑体_GBK"/>
          <w:sz w:val="32"/>
          <w:szCs w:val="32"/>
        </w:rPr>
      </w:pPr>
    </w:p>
    <w:p w14:paraId="0F81FA8C">
      <w:pPr>
        <w:pStyle w:val="5"/>
        <w:spacing w:line="500" w:lineRule="exact"/>
        <w:rPr>
          <w:rFonts w:hint="eastAsia" w:ascii="方正黑体_GBK" w:hAnsi="方正黑体_GBK" w:eastAsia="方正黑体_GBK" w:cs="方正黑体_GBK"/>
          <w:sz w:val="32"/>
          <w:szCs w:val="32"/>
        </w:rPr>
      </w:pPr>
    </w:p>
    <w:p w14:paraId="24261C7A">
      <w:pPr>
        <w:pStyle w:val="5"/>
        <w:spacing w:line="500" w:lineRule="exact"/>
        <w:rPr>
          <w:rFonts w:hint="eastAsia" w:ascii="方正黑体_GBK" w:hAnsi="方正黑体_GBK" w:eastAsia="方正黑体_GBK" w:cs="方正黑体_GBK"/>
          <w:sz w:val="32"/>
          <w:szCs w:val="32"/>
        </w:rPr>
      </w:pPr>
    </w:p>
    <w:p w14:paraId="40458B3D">
      <w:pPr>
        <w:pStyle w:val="5"/>
        <w:spacing w:line="500" w:lineRule="exact"/>
        <w:rPr>
          <w:rFonts w:hint="eastAsia" w:ascii="方正黑体_GBK" w:hAnsi="方正黑体_GBK" w:eastAsia="方正黑体_GBK" w:cs="方正黑体_GBK"/>
          <w:sz w:val="32"/>
          <w:szCs w:val="32"/>
        </w:rPr>
      </w:pPr>
    </w:p>
    <w:p w14:paraId="2D9690B4">
      <w:pPr>
        <w:pStyle w:val="5"/>
        <w:spacing w:line="500" w:lineRule="exact"/>
        <w:rPr>
          <w:rFonts w:hint="eastAsia" w:ascii="方正黑体_GBK" w:hAnsi="方正黑体_GBK" w:eastAsia="方正黑体_GBK" w:cs="方正黑体_GBK"/>
          <w:sz w:val="32"/>
          <w:szCs w:val="32"/>
        </w:rPr>
      </w:pPr>
    </w:p>
    <w:p w14:paraId="74E14B5B">
      <w:pPr>
        <w:pStyle w:val="5"/>
        <w:spacing w:line="500" w:lineRule="exact"/>
        <w:rPr>
          <w:rFonts w:hint="eastAsia" w:ascii="方正黑体_GBK" w:hAnsi="方正黑体_GBK" w:eastAsia="方正黑体_GBK" w:cs="方正黑体_GBK"/>
          <w:sz w:val="32"/>
          <w:szCs w:val="32"/>
        </w:rPr>
      </w:pPr>
    </w:p>
    <w:p w14:paraId="7A66CB42">
      <w:pPr>
        <w:pStyle w:val="5"/>
        <w:spacing w:line="500" w:lineRule="exact"/>
        <w:rPr>
          <w:rFonts w:hint="eastAsia" w:ascii="方正黑体_GBK" w:hAnsi="方正黑体_GBK" w:eastAsia="方正黑体_GBK" w:cs="方正黑体_GBK"/>
          <w:sz w:val="32"/>
          <w:szCs w:val="32"/>
        </w:rPr>
      </w:pPr>
    </w:p>
    <w:p w14:paraId="0C1025B2">
      <w:pPr>
        <w:pStyle w:val="5"/>
        <w:spacing w:line="500" w:lineRule="exact"/>
        <w:rPr>
          <w:rFonts w:hint="eastAsia" w:ascii="方正黑体_GBK" w:hAnsi="方正黑体_GBK" w:eastAsia="方正黑体_GBK" w:cs="方正黑体_GBK"/>
          <w:sz w:val="32"/>
          <w:szCs w:val="32"/>
        </w:rPr>
      </w:pPr>
    </w:p>
    <w:p w14:paraId="52B0D5B7">
      <w:pPr>
        <w:pStyle w:val="5"/>
        <w:spacing w:line="500" w:lineRule="exact"/>
        <w:rPr>
          <w:rFonts w:hint="eastAsia" w:ascii="方正黑体_GBK" w:hAnsi="方正黑体_GBK" w:eastAsia="方正黑体_GBK" w:cs="方正黑体_GBK"/>
          <w:sz w:val="32"/>
          <w:szCs w:val="32"/>
        </w:rPr>
      </w:pPr>
    </w:p>
    <w:p w14:paraId="3851103F">
      <w:pPr>
        <w:pStyle w:val="5"/>
        <w:spacing w:line="500" w:lineRule="exact"/>
        <w:rPr>
          <w:rFonts w:hint="eastAsia" w:ascii="方正黑体_GBK" w:hAnsi="方正黑体_GBK" w:eastAsia="方正黑体_GBK" w:cs="方正黑体_GBK"/>
          <w:sz w:val="32"/>
          <w:szCs w:val="32"/>
        </w:rPr>
      </w:pPr>
    </w:p>
    <w:p w14:paraId="4D4DB00E">
      <w:pPr>
        <w:pStyle w:val="5"/>
        <w:spacing w:line="500" w:lineRule="exact"/>
        <w:rPr>
          <w:rFonts w:hint="eastAsia" w:ascii="方正黑体_GBK" w:hAnsi="方正黑体_GBK" w:eastAsia="方正黑体_GBK" w:cs="方正黑体_GBK"/>
          <w:sz w:val="32"/>
          <w:szCs w:val="32"/>
        </w:rPr>
      </w:pPr>
    </w:p>
    <w:p w14:paraId="5BA30390">
      <w:pPr>
        <w:pStyle w:val="5"/>
        <w:spacing w:line="50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0D635E83">
      <w:pPr>
        <w:pStyle w:val="5"/>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黑体_GBK" w:hAnsi="方正黑体_GBK" w:eastAsia="方正黑体_GBK" w:cs="方正黑体_GBK"/>
          <w:sz w:val="32"/>
          <w:szCs w:val="32"/>
        </w:rPr>
      </w:pPr>
    </w:p>
    <w:p w14:paraId="7382E447">
      <w:pPr>
        <w:pStyle w:val="5"/>
        <w:spacing w:line="50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黔江区太极镇2026年鹿子村巴渝和美乡村建设</w:t>
      </w:r>
    </w:p>
    <w:p w14:paraId="09511937">
      <w:pPr>
        <w:pStyle w:val="5"/>
        <w:spacing w:line="50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项目投资估算表</w:t>
      </w:r>
    </w:p>
    <w:tbl>
      <w:tblPr>
        <w:tblW w:w="957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260"/>
        <w:gridCol w:w="4770"/>
        <w:gridCol w:w="2160"/>
        <w:gridCol w:w="1380"/>
      </w:tblGrid>
      <w:tr w14:paraId="0179C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7A7527D6">
            <w:pPr>
              <w:keepNext w:val="0"/>
              <w:keepLines w:val="0"/>
              <w:widowControl/>
              <w:suppressLineNumbers w:val="0"/>
              <w:jc w:val="center"/>
              <w:textAlignment w:val="center"/>
              <w:rPr>
                <w:rFonts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序   号</w:t>
            </w:r>
          </w:p>
        </w:tc>
        <w:tc>
          <w:tcPr>
            <w:tcW w:w="4770" w:type="dxa"/>
            <w:tcBorders>
              <w:top w:val="single" w:color="000000" w:sz="4" w:space="0"/>
              <w:left w:val="single" w:color="000000" w:sz="4" w:space="0"/>
              <w:bottom w:val="single" w:color="000000" w:sz="4" w:space="0"/>
              <w:right w:val="single" w:color="000000" w:sz="4" w:space="0"/>
            </w:tcBorders>
            <w:shd w:val="clear"/>
            <w:vAlign w:val="center"/>
          </w:tcPr>
          <w:p w14:paraId="1629245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工程或费用名称</w:t>
            </w:r>
          </w:p>
        </w:tc>
        <w:tc>
          <w:tcPr>
            <w:tcW w:w="2160" w:type="dxa"/>
            <w:tcBorders>
              <w:top w:val="single" w:color="000000" w:sz="4" w:space="0"/>
              <w:left w:val="single" w:color="000000" w:sz="4" w:space="0"/>
              <w:bottom w:val="single" w:color="000000" w:sz="4" w:space="0"/>
              <w:right w:val="single" w:color="000000" w:sz="4" w:space="0"/>
            </w:tcBorders>
            <w:shd w:val="clear"/>
            <w:vAlign w:val="center"/>
          </w:tcPr>
          <w:p w14:paraId="73E56C0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金额（万元）</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2D79B68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备注</w:t>
            </w:r>
          </w:p>
        </w:tc>
      </w:tr>
      <w:tr w14:paraId="00F14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3AEFF5A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bdr w:val="none" w:color="auto" w:sz="0" w:space="0"/>
                <w:lang w:val="en-US" w:eastAsia="zh-CN" w:bidi="ar"/>
              </w:rPr>
              <w:t>一</w:t>
            </w:r>
          </w:p>
        </w:tc>
        <w:tc>
          <w:tcPr>
            <w:tcW w:w="4770" w:type="dxa"/>
            <w:tcBorders>
              <w:top w:val="single" w:color="000000" w:sz="4" w:space="0"/>
              <w:left w:val="single" w:color="000000" w:sz="4" w:space="0"/>
              <w:bottom w:val="single" w:color="000000" w:sz="4" w:space="0"/>
              <w:right w:val="single" w:color="000000" w:sz="4" w:space="0"/>
            </w:tcBorders>
            <w:shd w:val="clear"/>
            <w:vAlign w:val="center"/>
          </w:tcPr>
          <w:p w14:paraId="284CF54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bdr w:val="none" w:color="auto" w:sz="0" w:space="0"/>
                <w:lang w:val="en-US" w:eastAsia="zh-CN" w:bidi="ar"/>
              </w:rPr>
              <w:t>工程费用</w:t>
            </w:r>
          </w:p>
        </w:tc>
        <w:tc>
          <w:tcPr>
            <w:tcW w:w="2160" w:type="dxa"/>
            <w:tcBorders>
              <w:top w:val="single" w:color="000000" w:sz="4" w:space="0"/>
              <w:left w:val="single" w:color="000000" w:sz="4" w:space="0"/>
              <w:bottom w:val="single" w:color="000000" w:sz="4" w:space="0"/>
              <w:right w:val="single" w:color="000000" w:sz="4" w:space="0"/>
            </w:tcBorders>
            <w:shd w:val="clear"/>
            <w:vAlign w:val="center"/>
          </w:tcPr>
          <w:p w14:paraId="55E767F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bdr w:val="none" w:color="auto" w:sz="0" w:space="0"/>
                <w:lang w:val="en-US" w:eastAsia="zh-CN" w:bidi="ar"/>
              </w:rPr>
              <w:t xml:space="preserve">253.96 </w:t>
            </w:r>
          </w:p>
        </w:tc>
        <w:tc>
          <w:tcPr>
            <w:tcW w:w="13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612E853">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项目实施过程中最大限度吸纳当地农民工参与工程建设，累计用工人数不得少于</w:t>
            </w:r>
            <w:r>
              <w:rPr>
                <w:rFonts w:hint="default" w:ascii="Times New Roman" w:hAnsi="Times New Roman" w:eastAsia="宋体" w:cs="Times New Roman"/>
                <w:i w:val="0"/>
                <w:iCs w:val="0"/>
                <w:color w:val="000000"/>
                <w:kern w:val="0"/>
                <w:sz w:val="28"/>
                <w:szCs w:val="28"/>
                <w:u w:val="none"/>
                <w:bdr w:val="none" w:color="auto" w:sz="0" w:space="0"/>
                <w:lang w:val="en-US" w:eastAsia="zh-CN" w:bidi="ar"/>
              </w:rPr>
              <w:t>20</w:t>
            </w: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人，发放劳务报酬金额不得低于</w:t>
            </w:r>
            <w:r>
              <w:rPr>
                <w:rFonts w:hint="default" w:ascii="Times New Roman" w:hAnsi="Times New Roman" w:eastAsia="宋体" w:cs="Times New Roman"/>
                <w:i w:val="0"/>
                <w:iCs w:val="0"/>
                <w:color w:val="000000"/>
                <w:kern w:val="0"/>
                <w:sz w:val="28"/>
                <w:szCs w:val="28"/>
                <w:u w:val="none"/>
                <w:bdr w:val="none" w:color="auto" w:sz="0" w:space="0"/>
                <w:lang w:val="en-US" w:eastAsia="zh-CN" w:bidi="ar"/>
              </w:rPr>
              <w:t>60</w:t>
            </w: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万元。</w:t>
            </w:r>
          </w:p>
        </w:tc>
      </w:tr>
      <w:tr w14:paraId="0FF6A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2AEE2453">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w:t>
            </w:r>
          </w:p>
        </w:tc>
        <w:tc>
          <w:tcPr>
            <w:tcW w:w="4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4C9D42">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黔江区太极镇</w:t>
            </w:r>
            <w:r>
              <w:rPr>
                <w:rFonts w:hint="default" w:ascii="Times New Roman" w:hAnsi="Times New Roman" w:eastAsia="宋体" w:cs="Times New Roman"/>
                <w:i w:val="0"/>
                <w:iCs w:val="0"/>
                <w:color w:val="000000"/>
                <w:kern w:val="0"/>
                <w:sz w:val="28"/>
                <w:szCs w:val="28"/>
                <w:u w:val="none"/>
                <w:bdr w:val="none" w:color="auto" w:sz="0" w:space="0"/>
                <w:lang w:val="en-US" w:eastAsia="zh-CN" w:bidi="ar"/>
              </w:rPr>
              <w:t>2026</w:t>
            </w: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年鹿子村巴渝和美乡村建设项目</w:t>
            </w:r>
          </w:p>
        </w:tc>
        <w:tc>
          <w:tcPr>
            <w:tcW w:w="216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D380E5">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253.96 </w:t>
            </w:r>
          </w:p>
        </w:tc>
        <w:tc>
          <w:tcPr>
            <w:tcW w:w="13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C55ABC">
            <w:pPr>
              <w:jc w:val="center"/>
              <w:rPr>
                <w:rFonts w:hint="default" w:ascii="Times New Roman" w:hAnsi="Times New Roman" w:eastAsia="宋体" w:cs="Times New Roman"/>
                <w:i w:val="0"/>
                <w:iCs w:val="0"/>
                <w:color w:val="000000"/>
                <w:sz w:val="28"/>
                <w:szCs w:val="28"/>
                <w:u w:val="none"/>
              </w:rPr>
            </w:pPr>
          </w:p>
        </w:tc>
      </w:tr>
      <w:tr w14:paraId="49A6D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3261901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bdr w:val="none" w:color="auto" w:sz="0" w:space="0"/>
                <w:lang w:val="en-US" w:eastAsia="zh-CN" w:bidi="ar"/>
              </w:rPr>
              <w:t>二</w:t>
            </w:r>
          </w:p>
        </w:tc>
        <w:tc>
          <w:tcPr>
            <w:tcW w:w="4770" w:type="dxa"/>
            <w:tcBorders>
              <w:top w:val="single" w:color="000000" w:sz="4" w:space="0"/>
              <w:left w:val="single" w:color="000000" w:sz="4" w:space="0"/>
              <w:bottom w:val="single" w:color="000000" w:sz="4" w:space="0"/>
              <w:right w:val="single" w:color="000000" w:sz="4" w:space="0"/>
            </w:tcBorders>
            <w:shd w:val="clear"/>
            <w:vAlign w:val="center"/>
          </w:tcPr>
          <w:p w14:paraId="60A7D67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bdr w:val="none" w:color="auto" w:sz="0" w:space="0"/>
                <w:lang w:val="en-US" w:eastAsia="zh-CN" w:bidi="ar"/>
              </w:rPr>
              <w:t>工程建设其他费</w:t>
            </w:r>
          </w:p>
        </w:tc>
        <w:tc>
          <w:tcPr>
            <w:tcW w:w="2160" w:type="dxa"/>
            <w:tcBorders>
              <w:top w:val="single" w:color="000000" w:sz="4" w:space="0"/>
              <w:left w:val="single" w:color="000000" w:sz="4" w:space="0"/>
              <w:bottom w:val="single" w:color="000000" w:sz="4" w:space="0"/>
              <w:right w:val="single" w:color="000000" w:sz="4" w:space="0"/>
            </w:tcBorders>
            <w:shd w:val="clear"/>
            <w:vAlign w:val="center"/>
          </w:tcPr>
          <w:p w14:paraId="716EB05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bdr w:val="none" w:color="auto" w:sz="0" w:space="0"/>
                <w:lang w:val="en-US" w:eastAsia="zh-CN" w:bidi="ar"/>
              </w:rPr>
              <w:t xml:space="preserve">26.64 </w:t>
            </w:r>
          </w:p>
        </w:tc>
        <w:tc>
          <w:tcPr>
            <w:tcW w:w="13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3369ACC">
            <w:pPr>
              <w:jc w:val="center"/>
              <w:rPr>
                <w:rFonts w:hint="default" w:ascii="Times New Roman" w:hAnsi="Times New Roman" w:eastAsia="宋体" w:cs="Times New Roman"/>
                <w:i w:val="0"/>
                <w:iCs w:val="0"/>
                <w:color w:val="000000"/>
                <w:sz w:val="28"/>
                <w:szCs w:val="28"/>
                <w:u w:val="none"/>
              </w:rPr>
            </w:pPr>
          </w:p>
        </w:tc>
      </w:tr>
      <w:tr w14:paraId="5D3ED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151C28F3">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w:t>
            </w:r>
          </w:p>
        </w:tc>
        <w:tc>
          <w:tcPr>
            <w:tcW w:w="4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15F89B">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场地准备及临时设施费</w:t>
            </w:r>
          </w:p>
        </w:tc>
        <w:tc>
          <w:tcPr>
            <w:tcW w:w="216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BBCB93">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1.27 </w:t>
            </w:r>
          </w:p>
        </w:tc>
        <w:tc>
          <w:tcPr>
            <w:tcW w:w="13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9A5149">
            <w:pPr>
              <w:jc w:val="center"/>
              <w:rPr>
                <w:rFonts w:hint="default" w:ascii="Times New Roman" w:hAnsi="Times New Roman" w:eastAsia="宋体" w:cs="Times New Roman"/>
                <w:i w:val="0"/>
                <w:iCs w:val="0"/>
                <w:color w:val="000000"/>
                <w:sz w:val="28"/>
                <w:szCs w:val="28"/>
                <w:u w:val="none"/>
              </w:rPr>
            </w:pPr>
          </w:p>
        </w:tc>
      </w:tr>
      <w:tr w14:paraId="7E0D4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495961A8">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2</w:t>
            </w:r>
          </w:p>
        </w:tc>
        <w:tc>
          <w:tcPr>
            <w:tcW w:w="4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3601F8">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项目建设管理费</w:t>
            </w:r>
          </w:p>
        </w:tc>
        <w:tc>
          <w:tcPr>
            <w:tcW w:w="216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9949ED">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5.89 </w:t>
            </w:r>
          </w:p>
        </w:tc>
        <w:tc>
          <w:tcPr>
            <w:tcW w:w="13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5A0A199">
            <w:pPr>
              <w:jc w:val="center"/>
              <w:rPr>
                <w:rFonts w:hint="default" w:ascii="Times New Roman" w:hAnsi="Times New Roman" w:eastAsia="宋体" w:cs="Times New Roman"/>
                <w:i w:val="0"/>
                <w:iCs w:val="0"/>
                <w:color w:val="000000"/>
                <w:sz w:val="28"/>
                <w:szCs w:val="28"/>
                <w:u w:val="none"/>
              </w:rPr>
            </w:pPr>
          </w:p>
        </w:tc>
      </w:tr>
      <w:tr w14:paraId="123B1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3E5A7C68">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3</w:t>
            </w:r>
          </w:p>
        </w:tc>
        <w:tc>
          <w:tcPr>
            <w:tcW w:w="4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75B191">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工程建设监理费</w:t>
            </w:r>
          </w:p>
        </w:tc>
        <w:tc>
          <w:tcPr>
            <w:tcW w:w="216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D555D2">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6.10 </w:t>
            </w:r>
          </w:p>
        </w:tc>
        <w:tc>
          <w:tcPr>
            <w:tcW w:w="13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8CFF435">
            <w:pPr>
              <w:jc w:val="center"/>
              <w:rPr>
                <w:rFonts w:hint="default" w:ascii="Times New Roman" w:hAnsi="Times New Roman" w:eastAsia="宋体" w:cs="Times New Roman"/>
                <w:i w:val="0"/>
                <w:iCs w:val="0"/>
                <w:color w:val="000000"/>
                <w:sz w:val="28"/>
                <w:szCs w:val="28"/>
                <w:u w:val="none"/>
              </w:rPr>
            </w:pPr>
          </w:p>
        </w:tc>
      </w:tr>
      <w:tr w14:paraId="6F57B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3762EECD">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4</w:t>
            </w:r>
          </w:p>
        </w:tc>
        <w:tc>
          <w:tcPr>
            <w:tcW w:w="4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B2898F">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工程勘察设计费</w:t>
            </w:r>
          </w:p>
        </w:tc>
        <w:tc>
          <w:tcPr>
            <w:tcW w:w="216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A40B1E">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7.00 </w:t>
            </w:r>
          </w:p>
        </w:tc>
        <w:tc>
          <w:tcPr>
            <w:tcW w:w="13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D5B9A7A">
            <w:pPr>
              <w:jc w:val="center"/>
              <w:rPr>
                <w:rFonts w:hint="default" w:ascii="Times New Roman" w:hAnsi="Times New Roman" w:eastAsia="宋体" w:cs="Times New Roman"/>
                <w:i w:val="0"/>
                <w:iCs w:val="0"/>
                <w:color w:val="000000"/>
                <w:sz w:val="28"/>
                <w:szCs w:val="28"/>
                <w:u w:val="none"/>
              </w:rPr>
            </w:pPr>
          </w:p>
        </w:tc>
      </w:tr>
      <w:tr w14:paraId="27A87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2E2DE9E6">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5</w:t>
            </w:r>
          </w:p>
        </w:tc>
        <w:tc>
          <w:tcPr>
            <w:tcW w:w="4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5BF25E">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工程造价咨询费</w:t>
            </w:r>
          </w:p>
        </w:tc>
        <w:tc>
          <w:tcPr>
            <w:tcW w:w="216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98028C">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3.64 </w:t>
            </w:r>
          </w:p>
        </w:tc>
        <w:tc>
          <w:tcPr>
            <w:tcW w:w="13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9F20B6">
            <w:pPr>
              <w:jc w:val="center"/>
              <w:rPr>
                <w:rFonts w:hint="default" w:ascii="Times New Roman" w:hAnsi="Times New Roman" w:eastAsia="宋体" w:cs="Times New Roman"/>
                <w:i w:val="0"/>
                <w:iCs w:val="0"/>
                <w:color w:val="000000"/>
                <w:sz w:val="28"/>
                <w:szCs w:val="28"/>
                <w:u w:val="none"/>
              </w:rPr>
            </w:pPr>
          </w:p>
        </w:tc>
      </w:tr>
      <w:tr w14:paraId="51CB7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32AF752D">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6</w:t>
            </w:r>
          </w:p>
        </w:tc>
        <w:tc>
          <w:tcPr>
            <w:tcW w:w="4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DEBA97">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设计文件审查费</w:t>
            </w:r>
          </w:p>
        </w:tc>
        <w:tc>
          <w:tcPr>
            <w:tcW w:w="216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715398">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0.71 </w:t>
            </w:r>
          </w:p>
        </w:tc>
        <w:tc>
          <w:tcPr>
            <w:tcW w:w="13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AFC2ED">
            <w:pPr>
              <w:jc w:val="center"/>
              <w:rPr>
                <w:rFonts w:hint="default" w:ascii="Times New Roman" w:hAnsi="Times New Roman" w:eastAsia="宋体" w:cs="Times New Roman"/>
                <w:i w:val="0"/>
                <w:iCs w:val="0"/>
                <w:color w:val="000000"/>
                <w:sz w:val="28"/>
                <w:szCs w:val="28"/>
                <w:u w:val="none"/>
              </w:rPr>
            </w:pPr>
          </w:p>
        </w:tc>
      </w:tr>
      <w:tr w14:paraId="6F3B0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51B4FD11">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7</w:t>
            </w:r>
          </w:p>
        </w:tc>
        <w:tc>
          <w:tcPr>
            <w:tcW w:w="4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580F0A">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安全生产保障费</w:t>
            </w:r>
          </w:p>
        </w:tc>
        <w:tc>
          <w:tcPr>
            <w:tcW w:w="216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FD777B">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1.27 </w:t>
            </w:r>
          </w:p>
        </w:tc>
        <w:tc>
          <w:tcPr>
            <w:tcW w:w="13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3E01338">
            <w:pPr>
              <w:jc w:val="center"/>
              <w:rPr>
                <w:rFonts w:hint="default" w:ascii="Times New Roman" w:hAnsi="Times New Roman" w:eastAsia="宋体" w:cs="Times New Roman"/>
                <w:i w:val="0"/>
                <w:iCs w:val="0"/>
                <w:color w:val="000000"/>
                <w:sz w:val="28"/>
                <w:szCs w:val="28"/>
                <w:u w:val="none"/>
              </w:rPr>
            </w:pPr>
          </w:p>
        </w:tc>
      </w:tr>
      <w:tr w14:paraId="5C34B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72D25474">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8</w:t>
            </w:r>
          </w:p>
        </w:tc>
        <w:tc>
          <w:tcPr>
            <w:tcW w:w="4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C74D7F">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工程保险费</w:t>
            </w:r>
          </w:p>
        </w:tc>
        <w:tc>
          <w:tcPr>
            <w:tcW w:w="216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BA54C3">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0.76 </w:t>
            </w:r>
          </w:p>
        </w:tc>
        <w:tc>
          <w:tcPr>
            <w:tcW w:w="13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E95452B">
            <w:pPr>
              <w:jc w:val="center"/>
              <w:rPr>
                <w:rFonts w:hint="default" w:ascii="Times New Roman" w:hAnsi="Times New Roman" w:eastAsia="宋体" w:cs="Times New Roman"/>
                <w:i w:val="0"/>
                <w:iCs w:val="0"/>
                <w:color w:val="000000"/>
                <w:sz w:val="28"/>
                <w:szCs w:val="28"/>
                <w:u w:val="none"/>
              </w:rPr>
            </w:pPr>
          </w:p>
        </w:tc>
      </w:tr>
      <w:tr w14:paraId="37EE5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2750F9E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bdr w:val="none" w:color="auto" w:sz="0" w:space="0"/>
                <w:lang w:val="en-US" w:eastAsia="zh-CN" w:bidi="ar"/>
              </w:rPr>
              <w:t>三</w:t>
            </w:r>
          </w:p>
        </w:tc>
        <w:tc>
          <w:tcPr>
            <w:tcW w:w="4770" w:type="dxa"/>
            <w:tcBorders>
              <w:top w:val="single" w:color="000000" w:sz="4" w:space="0"/>
              <w:left w:val="single" w:color="000000" w:sz="4" w:space="0"/>
              <w:bottom w:val="single" w:color="000000" w:sz="4" w:space="0"/>
              <w:right w:val="single" w:color="000000" w:sz="4" w:space="0"/>
            </w:tcBorders>
            <w:shd w:val="clear"/>
            <w:vAlign w:val="center"/>
          </w:tcPr>
          <w:p w14:paraId="7383E1E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bdr w:val="none" w:color="auto" w:sz="0" w:space="0"/>
                <w:lang w:val="en-US" w:eastAsia="zh-CN" w:bidi="ar"/>
              </w:rPr>
              <w:t>基本预备费</w:t>
            </w:r>
          </w:p>
        </w:tc>
        <w:tc>
          <w:tcPr>
            <w:tcW w:w="2160" w:type="dxa"/>
            <w:tcBorders>
              <w:top w:val="single" w:color="000000" w:sz="4" w:space="0"/>
              <w:left w:val="single" w:color="000000" w:sz="4" w:space="0"/>
              <w:bottom w:val="single" w:color="000000" w:sz="4" w:space="0"/>
              <w:right w:val="single" w:color="000000" w:sz="4" w:space="0"/>
            </w:tcBorders>
            <w:shd w:val="clear"/>
            <w:vAlign w:val="center"/>
          </w:tcPr>
          <w:p w14:paraId="4334458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bdr w:val="none" w:color="auto" w:sz="0" w:space="0"/>
                <w:lang w:val="en-US" w:eastAsia="zh-CN" w:bidi="ar"/>
              </w:rPr>
              <w:t xml:space="preserve">14.03 </w:t>
            </w:r>
          </w:p>
        </w:tc>
        <w:tc>
          <w:tcPr>
            <w:tcW w:w="13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D1BE603">
            <w:pPr>
              <w:jc w:val="center"/>
              <w:rPr>
                <w:rFonts w:hint="default" w:ascii="Times New Roman" w:hAnsi="Times New Roman" w:eastAsia="宋体" w:cs="Times New Roman"/>
                <w:i w:val="0"/>
                <w:iCs w:val="0"/>
                <w:color w:val="000000"/>
                <w:sz w:val="28"/>
                <w:szCs w:val="28"/>
                <w:u w:val="none"/>
              </w:rPr>
            </w:pPr>
          </w:p>
        </w:tc>
      </w:tr>
      <w:tr w14:paraId="3313B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7DCCC1B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bdr w:val="none" w:color="auto" w:sz="0" w:space="0"/>
                <w:lang w:val="en-US" w:eastAsia="zh-CN" w:bidi="ar"/>
              </w:rPr>
              <w:t>四</w:t>
            </w:r>
          </w:p>
        </w:tc>
        <w:tc>
          <w:tcPr>
            <w:tcW w:w="4770" w:type="dxa"/>
            <w:tcBorders>
              <w:top w:val="single" w:color="000000" w:sz="4" w:space="0"/>
              <w:left w:val="single" w:color="000000" w:sz="4" w:space="0"/>
              <w:bottom w:val="single" w:color="000000" w:sz="4" w:space="0"/>
              <w:right w:val="single" w:color="000000" w:sz="4" w:space="0"/>
            </w:tcBorders>
            <w:shd w:val="clear"/>
            <w:vAlign w:val="center"/>
          </w:tcPr>
          <w:p w14:paraId="475ABF9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bdr w:val="none" w:color="auto" w:sz="0" w:space="0"/>
                <w:lang w:val="en-US" w:eastAsia="zh-CN" w:bidi="ar"/>
              </w:rPr>
              <w:t>建设项目总投资估算</w:t>
            </w:r>
          </w:p>
        </w:tc>
        <w:tc>
          <w:tcPr>
            <w:tcW w:w="2160" w:type="dxa"/>
            <w:tcBorders>
              <w:top w:val="single" w:color="000000" w:sz="4" w:space="0"/>
              <w:left w:val="single" w:color="000000" w:sz="4" w:space="0"/>
              <w:bottom w:val="single" w:color="000000" w:sz="4" w:space="0"/>
              <w:right w:val="single" w:color="000000" w:sz="4" w:space="0"/>
            </w:tcBorders>
            <w:shd w:val="clear"/>
            <w:vAlign w:val="center"/>
          </w:tcPr>
          <w:p w14:paraId="6EFC0D4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bdr w:val="none" w:color="auto" w:sz="0" w:space="0"/>
                <w:lang w:val="en-US" w:eastAsia="zh-CN" w:bidi="ar"/>
              </w:rPr>
              <w:t>294.63</w:t>
            </w:r>
          </w:p>
        </w:tc>
        <w:tc>
          <w:tcPr>
            <w:tcW w:w="13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3E3BFEB">
            <w:pPr>
              <w:jc w:val="center"/>
              <w:rPr>
                <w:rFonts w:hint="default" w:ascii="Times New Roman" w:hAnsi="Times New Roman" w:eastAsia="宋体" w:cs="Times New Roman"/>
                <w:i w:val="0"/>
                <w:iCs w:val="0"/>
                <w:color w:val="000000"/>
                <w:sz w:val="28"/>
                <w:szCs w:val="28"/>
                <w:u w:val="none"/>
              </w:rPr>
            </w:pPr>
          </w:p>
        </w:tc>
      </w:tr>
    </w:tbl>
    <w:p w14:paraId="5C39E2BA"/>
    <w:p w14:paraId="48E4F1DA">
      <w:pPr>
        <w:keepNext w:val="0"/>
        <w:keepLines w:val="0"/>
        <w:pageBreakBefore w:val="0"/>
        <w:widowControl w:val="0"/>
        <w:kinsoku/>
        <w:wordWrap/>
        <w:overflowPunct/>
        <w:topLinePunct w:val="0"/>
        <w:autoSpaceDE/>
        <w:autoSpaceDN/>
        <w:bidi w:val="0"/>
        <w:adjustRightInd/>
        <w:snapToGrid/>
        <w:spacing w:line="240" w:lineRule="exact"/>
        <w:textAlignment w:val="auto"/>
      </w:pPr>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w:t>
      </w:r>
      <w:r>
        <w:rPr>
          <w:rFonts w:hint="eastAsia" w:eastAsia="方正仿宋_GBK"/>
          <w:sz w:val="28"/>
          <w:szCs w:val="28"/>
          <w:u w:val="single"/>
          <w:lang w:eastAsia="zh-CN"/>
        </w:rPr>
        <w:t>、区民宗委</w:t>
      </w:r>
      <w:r>
        <w:rPr>
          <w:rFonts w:hint="eastAsia" w:eastAsia="方正仿宋_GBK"/>
          <w:sz w:val="28"/>
          <w:szCs w:val="28"/>
          <w:u w:val="single"/>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7</w:t>
      </w:r>
      <w:r>
        <w:rPr>
          <w:rFonts w:eastAsia="方正仿宋_GBK"/>
          <w:sz w:val="28"/>
          <w:szCs w:val="28"/>
          <w:u w:val="thick"/>
        </w:rPr>
        <w:t>月</w:t>
      </w:r>
      <w:r>
        <w:rPr>
          <w:rFonts w:hint="eastAsia" w:eastAsia="方正仿宋_GBK"/>
          <w:sz w:val="28"/>
          <w:szCs w:val="28"/>
          <w:u w:val="thick"/>
          <w:lang w:val="en-US" w:eastAsia="zh-CN"/>
        </w:rPr>
        <w:t>13</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3F5C56AC-0FC8-4768-954C-A4336D3E3919}"/>
  </w:font>
  <w:font w:name="方正仿宋_GBK">
    <w:panose1 w:val="03000509000000000000"/>
    <w:charset w:val="86"/>
    <w:family w:val="script"/>
    <w:pitch w:val="default"/>
    <w:sig w:usb0="00000001" w:usb1="080E0000" w:usb2="00000000" w:usb3="00000000" w:csb0="00040000" w:csb1="00000000"/>
    <w:embedRegular r:id="rId2" w:fontKey="{91B44B3C-3DE7-4F94-B8C7-F8A7AB30950C}"/>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3" w:fontKey="{23655659-1FBA-4F4D-B02E-B29CFFA728F4}"/>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4" w:fontKey="{9E6EBA49-AD58-46A2-8E8F-E381E7688CA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0E3E06"/>
    <w:rsid w:val="04BB474E"/>
    <w:rsid w:val="06B156A8"/>
    <w:rsid w:val="09FA769E"/>
    <w:rsid w:val="0B7A378A"/>
    <w:rsid w:val="0C443D5D"/>
    <w:rsid w:val="0C4A4FFD"/>
    <w:rsid w:val="0CFC0645"/>
    <w:rsid w:val="0D37421D"/>
    <w:rsid w:val="0E090617"/>
    <w:rsid w:val="119A3908"/>
    <w:rsid w:val="14CA633F"/>
    <w:rsid w:val="15636F5B"/>
    <w:rsid w:val="175C5702"/>
    <w:rsid w:val="181B2628"/>
    <w:rsid w:val="193E59D1"/>
    <w:rsid w:val="1A261065"/>
    <w:rsid w:val="1F013809"/>
    <w:rsid w:val="1F950368"/>
    <w:rsid w:val="208F215E"/>
    <w:rsid w:val="242A28CA"/>
    <w:rsid w:val="250D18ED"/>
    <w:rsid w:val="254A0970"/>
    <w:rsid w:val="27F93F48"/>
    <w:rsid w:val="28D139F4"/>
    <w:rsid w:val="2AD46A97"/>
    <w:rsid w:val="31A87524"/>
    <w:rsid w:val="39705D78"/>
    <w:rsid w:val="397671E0"/>
    <w:rsid w:val="3EF47EDA"/>
    <w:rsid w:val="40A351EE"/>
    <w:rsid w:val="42212F8E"/>
    <w:rsid w:val="487D33E1"/>
    <w:rsid w:val="4E50267E"/>
    <w:rsid w:val="4F735634"/>
    <w:rsid w:val="4FFB4CF6"/>
    <w:rsid w:val="505A50ED"/>
    <w:rsid w:val="5130612A"/>
    <w:rsid w:val="534E1E00"/>
    <w:rsid w:val="5726180C"/>
    <w:rsid w:val="57A8352A"/>
    <w:rsid w:val="5F75634D"/>
    <w:rsid w:val="5FFE1A79"/>
    <w:rsid w:val="616F605C"/>
    <w:rsid w:val="653B0AE4"/>
    <w:rsid w:val="66560D21"/>
    <w:rsid w:val="678D70A8"/>
    <w:rsid w:val="6A6C1DE8"/>
    <w:rsid w:val="6AF30A16"/>
    <w:rsid w:val="6BAE6A0F"/>
    <w:rsid w:val="6C68355C"/>
    <w:rsid w:val="6CE440E0"/>
    <w:rsid w:val="6EF61234"/>
    <w:rsid w:val="72141C90"/>
    <w:rsid w:val="764E6BC5"/>
    <w:rsid w:val="78624336"/>
    <w:rsid w:val="798F3B70"/>
    <w:rsid w:val="7AED1855"/>
    <w:rsid w:val="7CE02C9B"/>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uiPriority w:val="0"/>
    <w:rPr>
      <w:rFonts w:ascii="方正黑体_GBK" w:hAnsi="方正黑体_GBK" w:eastAsia="方正黑体_GBK" w:cs="方正黑体_GBK"/>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878</Words>
  <Characters>981</Characters>
  <Lines>11</Lines>
  <Paragraphs>3</Paragraphs>
  <TotalTime>0</TotalTime>
  <ScaleCrop>false</ScaleCrop>
  <LinksUpToDate>false</LinksUpToDate>
  <CharactersWithSpaces>1127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2026-04-17T07:19:00Z</cp:lastPrinted>
  <dcterms:modified xsi:type="dcterms:W3CDTF">2026-07-13T06:13:19Z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