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221</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E0AA051">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w w:val="100"/>
          <w:sz w:val="44"/>
          <w:szCs w:val="44"/>
        </w:rPr>
      </w:pPr>
      <w:r>
        <w:rPr>
          <w:rFonts w:hint="eastAsia" w:ascii="方正小标宋_GBK" w:hAnsi="方正小标宋_GBK" w:eastAsia="方正小标宋_GBK" w:cs="方正小标宋_GBK"/>
          <w:w w:val="100"/>
          <w:sz w:val="44"/>
          <w:szCs w:val="44"/>
        </w:rPr>
        <w:t>关于黔江区恐龙遗址公园引调水工程</w:t>
      </w:r>
    </w:p>
    <w:p w14:paraId="160B2561">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w w:val="100"/>
          <w:sz w:val="44"/>
          <w:szCs w:val="44"/>
        </w:rPr>
        <w:t>可行性研究报告的批复</w:t>
      </w:r>
    </w:p>
    <w:p w14:paraId="4D6133C6">
      <w:pPr>
        <w:keepNext w:val="0"/>
        <w:keepLines w:val="0"/>
        <w:pageBreakBefore w:val="0"/>
        <w:widowControl w:val="0"/>
        <w:kinsoku/>
        <w:wordWrap/>
        <w:overflowPunct/>
        <w:topLinePunct w:val="0"/>
        <w:autoSpaceDE/>
        <w:autoSpaceDN/>
        <w:bidi w:val="0"/>
        <w:adjustRightInd/>
        <w:snapToGrid/>
        <w:spacing w:line="575" w:lineRule="exact"/>
        <w:textAlignment w:val="auto"/>
      </w:pPr>
    </w:p>
    <w:p w14:paraId="626F55E1">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重庆市枳丹石城市建设开发有限公司：</w:t>
      </w:r>
    </w:p>
    <w:p w14:paraId="78EF04C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司</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审批</w:t>
      </w:r>
      <w:r>
        <w:rPr>
          <w:rFonts w:hint="default" w:ascii="Times New Roman" w:hAnsi="Times New Roman" w:eastAsia="方正仿宋_GBK" w:cs="Times New Roman"/>
          <w:sz w:val="32"/>
          <w:szCs w:val="32"/>
        </w:rPr>
        <w:t>黔江区恐龙遗址公园引调水工程可行性研究报告</w:t>
      </w:r>
      <w:r>
        <w:rPr>
          <w:rFonts w:hint="default" w:ascii="Times New Roman" w:hAnsi="Times New Roman" w:eastAsia="方正仿宋_GBK" w:cs="Times New Roman"/>
          <w:sz w:val="32"/>
          <w:szCs w:val="32"/>
          <w:lang w:eastAsia="zh-CN"/>
        </w:rPr>
        <w:t>的请示</w:t>
      </w:r>
      <w:r>
        <w:rPr>
          <w:rFonts w:hint="default" w:ascii="Times New Roman" w:hAnsi="Times New Roman" w:eastAsia="方正仿宋_GBK" w:cs="Times New Roman"/>
          <w:sz w:val="32"/>
          <w:szCs w:val="32"/>
        </w:rPr>
        <w:t>》（枳丹石</w:t>
      </w:r>
      <w:r>
        <w:rPr>
          <w:rFonts w:hint="default" w:ascii="Times New Roman" w:hAnsi="Times New Roman" w:eastAsia="方正仿宋_GBK" w:cs="Times New Roman"/>
          <w:sz w:val="32"/>
          <w:szCs w:val="32"/>
          <w:lang w:eastAsia="zh-CN"/>
        </w:rPr>
        <w:t>公司文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193</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投资项目前期工作服务中心组织中实建设工程咨询有限公司</w:t>
      </w:r>
      <w:r>
        <w:rPr>
          <w:rFonts w:hint="default" w:ascii="Times New Roman" w:hAnsi="Times New Roman" w:eastAsia="方正仿宋_GBK" w:cs="Times New Roman"/>
          <w:b w:val="0"/>
          <w:bCs w:val="0"/>
          <w:sz w:val="32"/>
          <w:szCs w:val="32"/>
        </w:rPr>
        <w:t>审核</w:t>
      </w:r>
      <w:r>
        <w:rPr>
          <w:rFonts w:hint="default" w:ascii="Times New Roman" w:hAnsi="Times New Roman" w:eastAsia="方正仿宋_GBK" w:cs="Times New Roman"/>
          <w:b w:val="0"/>
          <w:bCs w:val="0"/>
          <w:sz w:val="32"/>
          <w:szCs w:val="32"/>
          <w:lang w:eastAsia="zh-CN"/>
        </w:rPr>
        <w:t>并出具评审报告。经研究，</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1A88073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一、为提升恐龙遗址公园片区生态供水保障率，完善供水保障体系，同意实施该项目。</w:t>
      </w:r>
    </w:p>
    <w:p w14:paraId="554D3F0C">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w:t>
      </w:r>
      <w:r>
        <w:rPr>
          <w:rFonts w:hint="default" w:ascii="Times New Roman" w:hAnsi="Times New Roman" w:eastAsia="方正仿宋_GBK" w:cs="Times New Roman"/>
          <w:b w:val="0"/>
          <w:bCs w:val="0"/>
          <w:sz w:val="32"/>
          <w:szCs w:val="32"/>
          <w:lang w:val="en-US" w:eastAsia="zh-CN"/>
        </w:rPr>
        <w:t>510</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01</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lang w:val="en-US" w:eastAsia="zh-CN"/>
        </w:rPr>
        <w:t>292378</w:t>
      </w:r>
      <w:r>
        <w:rPr>
          <w:rFonts w:hint="default" w:ascii="Times New Roman" w:hAnsi="Times New Roman" w:eastAsia="方正仿宋_GBK" w:cs="Times New Roman"/>
          <w:b w:val="0"/>
          <w:bCs w:val="0"/>
          <w:sz w:val="32"/>
          <w:szCs w:val="32"/>
        </w:rPr>
        <w:t>。</w:t>
      </w:r>
    </w:p>
    <w:p w14:paraId="65408191">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三、项目业主：重庆市枳丹石城市建设开发有限公司。</w:t>
      </w:r>
    </w:p>
    <w:p w14:paraId="785AB08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四、项目建设地点：黔江区</w:t>
      </w:r>
      <w:r>
        <w:rPr>
          <w:rFonts w:hint="default" w:ascii="Times New Roman" w:hAnsi="Times New Roman" w:eastAsia="方正仿宋_GBK" w:cs="Times New Roman"/>
          <w:b w:val="0"/>
          <w:bCs w:val="0"/>
          <w:sz w:val="32"/>
          <w:szCs w:val="32"/>
          <w:lang w:eastAsia="zh-CN"/>
        </w:rPr>
        <w:t>正阳街道</w:t>
      </w:r>
      <w:r>
        <w:rPr>
          <w:rFonts w:hint="default" w:ascii="Times New Roman" w:hAnsi="Times New Roman" w:eastAsia="方正仿宋_GBK" w:cs="Times New Roman"/>
          <w:b w:val="0"/>
          <w:bCs w:val="0"/>
          <w:sz w:val="32"/>
          <w:szCs w:val="32"/>
        </w:rPr>
        <w:t>。</w:t>
      </w:r>
    </w:p>
    <w:p w14:paraId="30A4665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铺设供水管道总长7.14km，其中DN500PE管1.55km，DN400PE管0.34km，DN300PE管1.32km，DN200管道0.71km，DN150管道3.22km，配套建设钢筋砼闸阀井、排气阀井、排泥阀井等附属设施；在工程起点新建控制机房1座；在工程前段沿线设置减压池1座</w:t>
      </w:r>
      <w:r>
        <w:rPr>
          <w:rFonts w:hint="default" w:ascii="Times New Roman" w:hAnsi="Times New Roman" w:eastAsia="方正仿宋_GBK" w:cs="Times New Roman"/>
          <w:b w:val="0"/>
          <w:bCs w:val="0"/>
          <w:sz w:val="32"/>
          <w:szCs w:val="32"/>
        </w:rPr>
        <w:t>。</w:t>
      </w:r>
    </w:p>
    <w:p w14:paraId="100D23D1">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w:t>
      </w:r>
      <w:bookmarkStart w:id="0" w:name="_GoBack"/>
      <w:bookmarkEnd w:id="0"/>
      <w:r>
        <w:rPr>
          <w:rFonts w:hint="default" w:ascii="Times New Roman" w:hAnsi="Times New Roman" w:eastAsia="方正仿宋_GBK" w:cs="Times New Roman"/>
          <w:b w:val="0"/>
          <w:bCs w:val="0"/>
          <w:sz w:val="32"/>
          <w:szCs w:val="32"/>
        </w:rPr>
        <w:t>估算总投资1646.66万元，其中：建筑工程911.16万元，机电设备及安装工程127.32万元，施工临时工程148.23万元，独立费用182.98万元，基本预备费136.97万元，建设征地与移民安置补偿85.00万元，环境保护工程25.00万元，水土保持工程30.00万元。</w:t>
      </w:r>
      <w:r>
        <w:rPr>
          <w:rFonts w:hint="default" w:ascii="Times New Roman" w:hAnsi="Times New Roman" w:eastAsia="方正仿宋_GBK" w:cs="Times New Roman"/>
          <w:b w:val="0"/>
          <w:bCs w:val="0"/>
          <w:sz w:val="32"/>
          <w:szCs w:val="32"/>
          <w:lang w:eastAsia="zh-CN"/>
        </w:rPr>
        <w:t>资金来源为</w:t>
      </w:r>
      <w:r>
        <w:rPr>
          <w:rFonts w:hint="default" w:ascii="Times New Roman" w:hAnsi="Times New Roman" w:eastAsia="方正仿宋_GBK" w:cs="Times New Roman"/>
          <w:b w:val="0"/>
          <w:bCs w:val="0"/>
          <w:sz w:val="32"/>
          <w:szCs w:val="32"/>
        </w:rPr>
        <w:t>争取市级及以上补助资金、专项债券</w:t>
      </w:r>
      <w:r>
        <w:rPr>
          <w:rFonts w:hint="default" w:ascii="Times New Roman" w:hAnsi="Times New Roman" w:eastAsia="方正仿宋_GBK" w:cs="Times New Roman"/>
          <w:b w:val="0"/>
          <w:bCs w:val="0"/>
          <w:sz w:val="32"/>
          <w:szCs w:val="32"/>
          <w:lang w:eastAsia="zh-CN"/>
        </w:rPr>
        <w:t>和</w:t>
      </w:r>
      <w:r>
        <w:rPr>
          <w:rFonts w:hint="default" w:ascii="Times New Roman" w:hAnsi="Times New Roman" w:eastAsia="方正仿宋_GBK" w:cs="Times New Roman"/>
          <w:b w:val="0"/>
          <w:bCs w:val="0"/>
          <w:sz w:val="32"/>
          <w:szCs w:val="32"/>
        </w:rPr>
        <w:t>业主自筹。</w:t>
      </w:r>
    </w:p>
    <w:p w14:paraId="4B872BA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个月。</w:t>
      </w:r>
    </w:p>
    <w:p w14:paraId="18E16C4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为工程施工，勘察、设计、监理等与工程建设有关的服务，以及与工程建设有关的重要设备、材料等的采购。达到依法必须招标限额标准的，招标方式为公开招标，招标组织形式为委托招标，招标公告在指定媒介公开发布。</w:t>
      </w:r>
    </w:p>
    <w:p w14:paraId="051B5B0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九、有关要求</w:t>
      </w:r>
      <w:r>
        <w:rPr>
          <w:rFonts w:hint="eastAsia"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请接此批复后，</w:t>
      </w:r>
      <w:r>
        <w:rPr>
          <w:rFonts w:hint="default" w:ascii="Times New Roman" w:hAnsi="Times New Roman" w:eastAsia="方正仿宋_GBK" w:cs="Times New Roman"/>
          <w:b w:val="0"/>
          <w:bCs w:val="0"/>
          <w:sz w:val="32"/>
          <w:szCs w:val="32"/>
          <w:lang w:eastAsia="zh-CN"/>
        </w:rPr>
        <w:t>严格执行项目基本建设程序，加</w:t>
      </w:r>
      <w:r>
        <w:rPr>
          <w:rFonts w:hint="default" w:ascii="Times New Roman" w:hAnsi="Times New Roman" w:eastAsia="方正仿宋_GBK" w:cs="Times New Roman"/>
          <w:b w:val="0"/>
          <w:bCs w:val="0"/>
          <w:sz w:val="32"/>
          <w:szCs w:val="32"/>
        </w:rPr>
        <w:t>紧推进项目</w:t>
      </w:r>
      <w:r>
        <w:rPr>
          <w:rFonts w:hint="default" w:ascii="Times New Roman" w:hAnsi="Times New Roman" w:eastAsia="方正仿宋_GBK" w:cs="Times New Roman"/>
          <w:b w:val="0"/>
          <w:bCs w:val="0"/>
          <w:sz w:val="32"/>
          <w:szCs w:val="32"/>
          <w:lang w:eastAsia="zh-CN"/>
        </w:rPr>
        <w:t>前期</w:t>
      </w:r>
      <w:r>
        <w:rPr>
          <w:rFonts w:hint="default" w:ascii="Times New Roman" w:hAnsi="Times New Roman" w:eastAsia="方正仿宋_GBK" w:cs="Times New Roman"/>
          <w:b w:val="0"/>
          <w:bCs w:val="0"/>
          <w:sz w:val="32"/>
          <w:szCs w:val="32"/>
        </w:rPr>
        <w:t>工作</w:t>
      </w:r>
      <w:r>
        <w:rPr>
          <w:rFonts w:hint="default" w:ascii="Times New Roman" w:hAnsi="Times New Roman" w:eastAsia="方正仿宋_GBK" w:cs="Times New Roman"/>
          <w:b w:val="0"/>
          <w:bCs w:val="0"/>
          <w:sz w:val="32"/>
          <w:szCs w:val="32"/>
          <w:lang w:eastAsia="zh-CN"/>
        </w:rPr>
        <w:t>进度</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eastAsia="zh-CN"/>
        </w:rPr>
        <w:t>强化</w:t>
      </w:r>
      <w:r>
        <w:rPr>
          <w:rFonts w:hint="default" w:ascii="Times New Roman" w:hAnsi="Times New Roman" w:eastAsia="方正仿宋_GBK" w:cs="Times New Roman"/>
          <w:b w:val="0"/>
          <w:bCs w:val="0"/>
          <w:sz w:val="32"/>
          <w:szCs w:val="32"/>
        </w:rPr>
        <w:t>资金</w:t>
      </w:r>
      <w:r>
        <w:rPr>
          <w:rFonts w:hint="default" w:ascii="Times New Roman" w:hAnsi="Times New Roman" w:eastAsia="方正仿宋_GBK" w:cs="Times New Roman"/>
          <w:b w:val="0"/>
          <w:bCs w:val="0"/>
          <w:sz w:val="32"/>
          <w:szCs w:val="32"/>
          <w:lang w:eastAsia="zh-CN"/>
        </w:rPr>
        <w:t>筹集与管理</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eastAsia="zh-CN"/>
        </w:rPr>
        <w:t>认真落实安全生产责任制，加强工程投资、工期和质量控制，确保早日开工建设，及早建成投用</w:t>
      </w:r>
      <w:r>
        <w:rPr>
          <w:rFonts w:hint="default" w:ascii="Times New Roman" w:hAnsi="Times New Roman" w:eastAsia="方正仿宋_GBK" w:cs="Times New Roman"/>
          <w:b w:val="0"/>
          <w:bCs w:val="0"/>
          <w:sz w:val="32"/>
          <w:szCs w:val="32"/>
        </w:rPr>
        <w:t>。</w:t>
      </w:r>
    </w:p>
    <w:p w14:paraId="4672A685">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p>
    <w:p w14:paraId="72A61335">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附件：黔江区恐龙遗址公园引调水工程投资估算表</w:t>
      </w:r>
    </w:p>
    <w:p w14:paraId="011991FA">
      <w:pPr>
        <w:keepNext w:val="0"/>
        <w:keepLines w:val="0"/>
        <w:pageBreakBefore w:val="0"/>
        <w:widowControl w:val="0"/>
        <w:kinsoku/>
        <w:wordWrap/>
        <w:overflowPunct/>
        <w:topLinePunct w:val="0"/>
        <w:autoSpaceDE/>
        <w:autoSpaceDN/>
        <w:bidi w:val="0"/>
        <w:adjustRightInd/>
        <w:snapToGrid/>
        <w:spacing w:line="575" w:lineRule="exact"/>
        <w:ind w:left="0" w:leftChars="0" w:firstLine="1478" w:firstLineChars="462"/>
        <w:textAlignment w:val="auto"/>
        <w:rPr>
          <w:rFonts w:hint="eastAsia" w:ascii="Times New Roman" w:hAnsi="Times New Roman" w:eastAsia="方正仿宋_GBK" w:cs="Times New Roman"/>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p>
    <w:p w14:paraId="439FEFB5">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p>
    <w:p w14:paraId="45386926">
      <w:pPr>
        <w:keepNext w:val="0"/>
        <w:keepLines w:val="0"/>
        <w:pageBreakBefore w:val="0"/>
        <w:widowControl w:val="0"/>
        <w:kinsoku/>
        <w:wordWrap/>
        <w:overflowPunct/>
        <w:topLinePunct w:val="0"/>
        <w:autoSpaceDE/>
        <w:autoSpaceDN/>
        <w:bidi w:val="0"/>
        <w:adjustRightInd/>
        <w:snapToGrid/>
        <w:spacing w:line="575" w:lineRule="exact"/>
        <w:ind w:firstLine="3520" w:firstLineChars="1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79C98930">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7</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13</w:t>
      </w:r>
      <w:r>
        <w:rPr>
          <w:rFonts w:hint="default" w:ascii="Times New Roman" w:hAnsi="Times New Roman" w:eastAsia="方正仿宋_GBK" w:cs="Times New Roman"/>
          <w:sz w:val="32"/>
          <w:szCs w:val="32"/>
        </w:rPr>
        <w:t>日</w:t>
      </w:r>
    </w:p>
    <w:p w14:paraId="1B883126">
      <w:pPr>
        <w:pStyle w:val="5"/>
        <w:spacing w:line="500" w:lineRule="exact"/>
        <w:rPr>
          <w:rFonts w:hint="eastAsia" w:ascii="方正黑体_GBK" w:hAnsi="方正黑体_GBK" w:eastAsia="方正黑体_GBK" w:cs="方正黑体_GBK"/>
          <w:sz w:val="32"/>
          <w:szCs w:val="32"/>
        </w:rPr>
      </w:pPr>
    </w:p>
    <w:p w14:paraId="4F27955C">
      <w:pPr>
        <w:pStyle w:val="5"/>
        <w:spacing w:line="500" w:lineRule="exact"/>
        <w:rPr>
          <w:rFonts w:hint="eastAsia" w:ascii="方正黑体_GBK" w:hAnsi="方正黑体_GBK" w:eastAsia="方正黑体_GBK" w:cs="方正黑体_GBK"/>
          <w:sz w:val="32"/>
          <w:szCs w:val="32"/>
        </w:rPr>
      </w:pPr>
    </w:p>
    <w:p w14:paraId="0F81FA8C">
      <w:pPr>
        <w:pStyle w:val="5"/>
        <w:spacing w:line="500" w:lineRule="exact"/>
        <w:rPr>
          <w:rFonts w:hint="eastAsia" w:ascii="方正黑体_GBK" w:hAnsi="方正黑体_GBK" w:eastAsia="方正黑体_GBK" w:cs="方正黑体_GBK"/>
          <w:sz w:val="32"/>
          <w:szCs w:val="32"/>
        </w:rPr>
      </w:pPr>
    </w:p>
    <w:p w14:paraId="24261C7A">
      <w:pPr>
        <w:pStyle w:val="5"/>
        <w:spacing w:line="500" w:lineRule="exact"/>
        <w:rPr>
          <w:rFonts w:hint="eastAsia" w:ascii="方正黑体_GBK" w:hAnsi="方正黑体_GBK" w:eastAsia="方正黑体_GBK" w:cs="方正黑体_GBK"/>
          <w:sz w:val="32"/>
          <w:szCs w:val="32"/>
        </w:rPr>
      </w:pPr>
    </w:p>
    <w:p w14:paraId="40458B3D">
      <w:pPr>
        <w:pStyle w:val="5"/>
        <w:spacing w:line="500" w:lineRule="exact"/>
        <w:rPr>
          <w:rFonts w:hint="eastAsia" w:ascii="方正黑体_GBK" w:hAnsi="方正黑体_GBK" w:eastAsia="方正黑体_GBK" w:cs="方正黑体_GBK"/>
          <w:sz w:val="32"/>
          <w:szCs w:val="32"/>
        </w:rPr>
      </w:pPr>
    </w:p>
    <w:p w14:paraId="2D9690B4">
      <w:pPr>
        <w:pStyle w:val="5"/>
        <w:spacing w:line="500" w:lineRule="exact"/>
        <w:rPr>
          <w:rFonts w:hint="eastAsia" w:ascii="方正黑体_GBK" w:hAnsi="方正黑体_GBK" w:eastAsia="方正黑体_GBK" w:cs="方正黑体_GBK"/>
          <w:sz w:val="32"/>
          <w:szCs w:val="32"/>
        </w:rPr>
      </w:pPr>
    </w:p>
    <w:p w14:paraId="74E14B5B">
      <w:pPr>
        <w:pStyle w:val="5"/>
        <w:spacing w:line="500" w:lineRule="exact"/>
        <w:rPr>
          <w:rFonts w:hint="eastAsia" w:ascii="方正黑体_GBK" w:hAnsi="方正黑体_GBK" w:eastAsia="方正黑体_GBK" w:cs="方正黑体_GBK"/>
          <w:sz w:val="32"/>
          <w:szCs w:val="32"/>
        </w:rPr>
      </w:pPr>
    </w:p>
    <w:p w14:paraId="7A66CB42">
      <w:pPr>
        <w:pStyle w:val="5"/>
        <w:spacing w:line="500" w:lineRule="exact"/>
        <w:rPr>
          <w:rFonts w:hint="eastAsia" w:ascii="方正黑体_GBK" w:hAnsi="方正黑体_GBK" w:eastAsia="方正黑体_GBK" w:cs="方正黑体_GBK"/>
          <w:sz w:val="32"/>
          <w:szCs w:val="32"/>
        </w:rPr>
      </w:pPr>
    </w:p>
    <w:p w14:paraId="0C1025B2">
      <w:pPr>
        <w:pStyle w:val="5"/>
        <w:spacing w:line="500" w:lineRule="exact"/>
        <w:rPr>
          <w:rFonts w:hint="eastAsia" w:ascii="方正黑体_GBK" w:hAnsi="方正黑体_GBK" w:eastAsia="方正黑体_GBK" w:cs="方正黑体_GBK"/>
          <w:sz w:val="32"/>
          <w:szCs w:val="32"/>
        </w:rPr>
      </w:pPr>
    </w:p>
    <w:p w14:paraId="52B0D5B7">
      <w:pPr>
        <w:pStyle w:val="5"/>
        <w:spacing w:line="500" w:lineRule="exact"/>
        <w:rPr>
          <w:rFonts w:hint="eastAsia" w:ascii="方正黑体_GBK" w:hAnsi="方正黑体_GBK" w:eastAsia="方正黑体_GBK" w:cs="方正黑体_GBK"/>
          <w:sz w:val="32"/>
          <w:szCs w:val="32"/>
        </w:rPr>
      </w:pPr>
    </w:p>
    <w:p w14:paraId="3851103F">
      <w:pPr>
        <w:pStyle w:val="5"/>
        <w:spacing w:line="500" w:lineRule="exact"/>
        <w:rPr>
          <w:rFonts w:hint="eastAsia" w:ascii="方正黑体_GBK" w:hAnsi="方正黑体_GBK" w:eastAsia="方正黑体_GBK" w:cs="方正黑体_GBK"/>
          <w:sz w:val="32"/>
          <w:szCs w:val="32"/>
        </w:rPr>
      </w:pPr>
    </w:p>
    <w:p w14:paraId="45765CE2">
      <w:pPr>
        <w:pStyle w:val="5"/>
        <w:spacing w:line="500" w:lineRule="exact"/>
        <w:rPr>
          <w:rFonts w:hint="eastAsia" w:ascii="方正黑体_GBK" w:hAnsi="方正黑体_GBK" w:eastAsia="方正黑体_GBK" w:cs="方正黑体_GBK"/>
          <w:sz w:val="32"/>
          <w:szCs w:val="32"/>
        </w:rPr>
      </w:pPr>
    </w:p>
    <w:p w14:paraId="4D4DB00E">
      <w:pPr>
        <w:pStyle w:val="5"/>
        <w:spacing w:line="500" w:lineRule="exact"/>
        <w:rPr>
          <w:rFonts w:hint="eastAsia" w:ascii="方正黑体_GBK" w:hAnsi="方正黑体_GBK" w:eastAsia="方正黑体_GBK" w:cs="方正黑体_GBK"/>
          <w:sz w:val="32"/>
          <w:szCs w:val="32"/>
        </w:rPr>
      </w:pPr>
    </w:p>
    <w:p w14:paraId="29AA4AC5">
      <w:pPr>
        <w:pStyle w:val="5"/>
        <w:spacing w:line="500" w:lineRule="exact"/>
        <w:rPr>
          <w:rFonts w:hint="eastAsia" w:ascii="方正黑体_GBK" w:hAnsi="方正黑体_GBK" w:eastAsia="方正黑体_GBK" w:cs="方正黑体_GBK"/>
          <w:sz w:val="32"/>
          <w:szCs w:val="32"/>
        </w:rPr>
      </w:pPr>
    </w:p>
    <w:p w14:paraId="78E94625">
      <w:pPr>
        <w:pStyle w:val="5"/>
        <w:spacing w:line="500" w:lineRule="exact"/>
        <w:rPr>
          <w:rFonts w:hint="eastAsia" w:ascii="方正黑体_GBK" w:hAnsi="方正黑体_GBK" w:eastAsia="方正黑体_GBK" w:cs="方正黑体_GBK"/>
          <w:sz w:val="32"/>
          <w:szCs w:val="32"/>
        </w:rPr>
      </w:pPr>
    </w:p>
    <w:p w14:paraId="5856C499">
      <w:pPr>
        <w:pStyle w:val="5"/>
        <w:spacing w:line="500" w:lineRule="exact"/>
        <w:rPr>
          <w:rFonts w:hint="eastAsia" w:ascii="方正黑体_GBK" w:hAnsi="方正黑体_GBK" w:eastAsia="方正黑体_GBK" w:cs="方正黑体_GBK"/>
          <w:sz w:val="32"/>
          <w:szCs w:val="32"/>
        </w:rPr>
      </w:pPr>
    </w:p>
    <w:p w14:paraId="2165D3FE">
      <w:pPr>
        <w:pStyle w:val="5"/>
        <w:spacing w:line="500" w:lineRule="exact"/>
        <w:rPr>
          <w:rFonts w:hint="eastAsia" w:ascii="方正黑体_GBK" w:hAnsi="方正黑体_GBK" w:eastAsia="方正黑体_GBK" w:cs="方正黑体_GBK"/>
          <w:sz w:val="32"/>
          <w:szCs w:val="32"/>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32"/>
          <w:szCs w:val="32"/>
        </w:rPr>
      </w:pP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黔江区恐龙遗址公园引调水工程投资估算表</w:t>
      </w:r>
    </w:p>
    <w:p w14:paraId="69A33E80">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36"/>
          <w:szCs w:val="36"/>
        </w:rPr>
      </w:pPr>
    </w:p>
    <w:p w14:paraId="18AEF91B">
      <w:pPr>
        <w:pStyle w:val="5"/>
        <w:spacing w:line="500" w:lineRule="exact"/>
        <w:jc w:val="righ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单位：万元</w:t>
      </w:r>
    </w:p>
    <w:tbl>
      <w:tblPr>
        <w:tblStyle w:val="10"/>
        <w:tblW w:w="910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5"/>
        <w:gridCol w:w="4320"/>
        <w:gridCol w:w="2910"/>
      </w:tblGrid>
      <w:tr w14:paraId="2BB5B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blHeader/>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D978">
            <w:pPr>
              <w:keepNext w:val="0"/>
              <w:keepLines w:val="0"/>
              <w:widowControl/>
              <w:suppressLineNumbers w:val="0"/>
              <w:jc w:val="center"/>
              <w:textAlignment w:val="center"/>
              <w:rPr>
                <w:rFonts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序号</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C7F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工程或费用名称</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6AA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 xml:space="preserve">金  </w:t>
            </w:r>
            <w:r>
              <w:rPr>
                <w:rStyle w:val="26"/>
                <w:lang w:val="en-US" w:eastAsia="zh-CN" w:bidi="ar"/>
              </w:rPr>
              <w:t>额</w:t>
            </w:r>
          </w:p>
        </w:tc>
      </w:tr>
      <w:tr w14:paraId="37C6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1E9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一</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5F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工程部分</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E79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1506.66 </w:t>
            </w:r>
          </w:p>
        </w:tc>
      </w:tr>
      <w:tr w14:paraId="7883C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44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（一）</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E16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建筑工程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313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911.16 </w:t>
            </w:r>
          </w:p>
        </w:tc>
      </w:tr>
      <w:tr w14:paraId="46187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2EE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CFA8">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引水工程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62B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12.33 </w:t>
            </w:r>
          </w:p>
        </w:tc>
      </w:tr>
      <w:tr w14:paraId="59012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238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291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管道工程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8D5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838.83 </w:t>
            </w:r>
          </w:p>
        </w:tc>
      </w:tr>
      <w:tr w14:paraId="69776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ACC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1C6E">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其他建筑工程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B18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60.00 </w:t>
            </w:r>
          </w:p>
        </w:tc>
      </w:tr>
      <w:tr w14:paraId="3D9BB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4C7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（二）</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9B0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机电设备及安装工程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222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127.32 </w:t>
            </w:r>
          </w:p>
        </w:tc>
      </w:tr>
      <w:tr w14:paraId="171A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A65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（三）</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747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施工临时工程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487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148.23 </w:t>
            </w:r>
          </w:p>
        </w:tc>
      </w:tr>
      <w:tr w14:paraId="4946C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8EF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（四）</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6CC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独立费用</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29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182.98 </w:t>
            </w:r>
          </w:p>
        </w:tc>
      </w:tr>
      <w:tr w14:paraId="6796A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34F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7A67">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建设管理费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BC6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24.77 </w:t>
            </w:r>
          </w:p>
        </w:tc>
      </w:tr>
      <w:tr w14:paraId="0D812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FAC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D4E7">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工程建设监理费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740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24.82 </w:t>
            </w:r>
          </w:p>
        </w:tc>
      </w:tr>
      <w:tr w14:paraId="21CBA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1CB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A954">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生产准备费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987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5.21 </w:t>
            </w:r>
          </w:p>
        </w:tc>
      </w:tr>
      <w:tr w14:paraId="6246A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D73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6C48">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科研勘察设计费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161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80.08 </w:t>
            </w:r>
          </w:p>
        </w:tc>
      </w:tr>
      <w:tr w14:paraId="55052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18E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2CA0">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其他</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69E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48.10 </w:t>
            </w:r>
          </w:p>
        </w:tc>
      </w:tr>
      <w:tr w14:paraId="1B8B3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1FD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Style w:val="27"/>
                <w:rFonts w:eastAsia="宋体"/>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C9BA">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工程质量检测费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069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4.15 </w:t>
            </w:r>
          </w:p>
        </w:tc>
      </w:tr>
      <w:tr w14:paraId="4B7DB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711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Style w:val="27"/>
                <w:rFonts w:eastAsia="宋体"/>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62BE">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工程咨询费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4B8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30.81 </w:t>
            </w:r>
          </w:p>
        </w:tc>
      </w:tr>
      <w:tr w14:paraId="60919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583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Style w:val="27"/>
                <w:rFonts w:eastAsia="宋体"/>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68B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交易服务费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978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7.80 </w:t>
            </w:r>
          </w:p>
        </w:tc>
      </w:tr>
      <w:tr w14:paraId="7FE22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66F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Style w:val="27"/>
                <w:rFonts w:eastAsia="宋体"/>
                <w:lang w:val="en-US" w:eastAsia="zh-CN" w:bidi="ar"/>
              </w:rPr>
              <w:t>4</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F4B6">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工程保险费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AF1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5.34 </w:t>
            </w:r>
          </w:p>
        </w:tc>
      </w:tr>
      <w:tr w14:paraId="50D95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0ED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（五）</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0E2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基本预备费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946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136.97 </w:t>
            </w:r>
          </w:p>
        </w:tc>
      </w:tr>
      <w:tr w14:paraId="3D3C2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A31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二</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85B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专项部分</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93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140.00 </w:t>
            </w:r>
          </w:p>
        </w:tc>
      </w:tr>
      <w:tr w14:paraId="139D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07C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8AB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建设征地与移民安置补偿投资</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F06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85.00 </w:t>
            </w:r>
          </w:p>
        </w:tc>
      </w:tr>
      <w:tr w14:paraId="728F5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464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D9E5">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环境保护工程投资</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0B4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25.00 </w:t>
            </w:r>
          </w:p>
        </w:tc>
      </w:tr>
      <w:tr w14:paraId="3E041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18C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B3A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水土保持工程投资</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385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30.00 </w:t>
            </w:r>
          </w:p>
        </w:tc>
      </w:tr>
      <w:tr w14:paraId="5DAC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46E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三</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0EC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建设项目总投资估算</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F9B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1646.66 </w:t>
            </w:r>
          </w:p>
        </w:tc>
      </w:tr>
    </w:tbl>
    <w:p w14:paraId="5C39E2BA"/>
    <w:p w14:paraId="48E4F1DA">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ABE8DD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9EEFD0A">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494EEC4">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8ECAAA7">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FD643B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4EB47C0">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D8C5710">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9DFE022">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78D1EA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FEBC1E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80305E3">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464C43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165F030">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714396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4BAB0F3">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D12474C">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DFD507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83A5DF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E4A4F0D">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B2847A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5A9806D">
      <w:pPr>
        <w:keepNext w:val="0"/>
        <w:keepLines w:val="0"/>
        <w:pageBreakBefore w:val="0"/>
        <w:widowControl w:val="0"/>
        <w:kinsoku/>
        <w:wordWrap/>
        <w:overflowPunct/>
        <w:topLinePunct w:val="0"/>
        <w:autoSpaceDE/>
        <w:autoSpaceDN/>
        <w:bidi w:val="0"/>
        <w:adjustRightInd/>
        <w:snapToGrid/>
        <w:spacing w:line="240" w:lineRule="exact"/>
        <w:textAlignment w:val="auto"/>
      </w:pPr>
    </w:p>
    <w:p w14:paraId="193065E7">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7135CA5">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4F58B11">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79327E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350E73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7E868C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0D56C62">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007AB75">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D6DC9A4">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7D9818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0EC650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、区水利局</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D9CC89EC-AEB8-4DCE-8DC4-65950D967E48}"/>
  </w:font>
  <w:font w:name="方正仿宋_GBK">
    <w:panose1 w:val="03000509000000000000"/>
    <w:charset w:val="86"/>
    <w:family w:val="script"/>
    <w:pitch w:val="default"/>
    <w:sig w:usb0="00000001" w:usb1="080E0000" w:usb2="00000000" w:usb3="00000000" w:csb0="00040000" w:csb1="00000000"/>
    <w:embedRegular r:id="rId2" w:fontKey="{F9E21442-AD8A-4C0C-8EC2-DF4F9F973D55}"/>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F7D655DD-D793-413D-A5E4-075C82748B41}"/>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4" w:fontKey="{4D15D32B-BCC6-44B8-8BC1-53CF94A6E4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0190546"/>
    <w:rsid w:val="119A3908"/>
    <w:rsid w:val="14CA633F"/>
    <w:rsid w:val="15636F5B"/>
    <w:rsid w:val="175C5702"/>
    <w:rsid w:val="181B2628"/>
    <w:rsid w:val="193E59D1"/>
    <w:rsid w:val="1A261065"/>
    <w:rsid w:val="1B705EB8"/>
    <w:rsid w:val="1F013809"/>
    <w:rsid w:val="1F950368"/>
    <w:rsid w:val="208F215E"/>
    <w:rsid w:val="237F64BA"/>
    <w:rsid w:val="242A28CA"/>
    <w:rsid w:val="250D18ED"/>
    <w:rsid w:val="254A0970"/>
    <w:rsid w:val="27F93F48"/>
    <w:rsid w:val="28D139F4"/>
    <w:rsid w:val="2AD46A97"/>
    <w:rsid w:val="31A87524"/>
    <w:rsid w:val="39705D78"/>
    <w:rsid w:val="397671E0"/>
    <w:rsid w:val="3EF47EDA"/>
    <w:rsid w:val="40A351EE"/>
    <w:rsid w:val="42212F8E"/>
    <w:rsid w:val="487D33E1"/>
    <w:rsid w:val="4E50267E"/>
    <w:rsid w:val="4EDA19EA"/>
    <w:rsid w:val="4F735634"/>
    <w:rsid w:val="4FFB4CF6"/>
    <w:rsid w:val="505A50ED"/>
    <w:rsid w:val="5130612A"/>
    <w:rsid w:val="529E721A"/>
    <w:rsid w:val="534E1E00"/>
    <w:rsid w:val="5726180C"/>
    <w:rsid w:val="57A8352A"/>
    <w:rsid w:val="5F75634D"/>
    <w:rsid w:val="5FFE1A79"/>
    <w:rsid w:val="616F605C"/>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7D5B057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
    <w:basedOn w:val="11"/>
    <w:qFormat/>
    <w:uiPriority w:val="0"/>
    <w:rPr>
      <w:rFonts w:hint="eastAsia" w:ascii="方正黑体_GBK" w:hAnsi="方正黑体_GBK" w:eastAsia="方正黑体_GBK" w:cs="方正黑体_GBK"/>
      <w:color w:val="000000"/>
      <w:sz w:val="32"/>
      <w:szCs w:val="32"/>
      <w:u w:val="none"/>
    </w:rPr>
  </w:style>
  <w:style w:type="character" w:customStyle="1" w:styleId="27">
    <w:name w:val="font31"/>
    <w:basedOn w:val="11"/>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5</Pages>
  <Words>1058</Words>
  <Characters>1297</Characters>
  <Lines>11</Lines>
  <Paragraphs>3</Paragraphs>
  <TotalTime>1</TotalTime>
  <ScaleCrop>false</ScaleCrop>
  <LinksUpToDate>false</LinksUpToDate>
  <CharactersWithSpaces>1448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2026-04-17T07:19:00Z</cp:lastPrinted>
  <dcterms:modified xsi:type="dcterms:W3CDTF">2026-07-14T03:00:50Z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