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236</w:t>
      </w:r>
      <w:r>
        <w:rPr>
          <w:rFonts w:eastAsia="方正仿宋_GBK"/>
          <w:sz w:val="32"/>
          <w:szCs w:val="32"/>
        </w:rPr>
        <w:t>号</w:t>
      </w:r>
    </w:p>
    <w:p w14:paraId="5F9EF067">
      <w:pPr>
        <w:spacing w:line="520" w:lineRule="exact"/>
        <w:rPr>
          <w:rFonts w:hint="eastAsia" w:eastAsia="方正仿宋_GBK"/>
          <w:sz w:val="32"/>
          <w:szCs w:val="32"/>
        </w:rPr>
      </w:pPr>
      <w:r>
        <w:rPr>
          <w:rFonts w:hint="eastAsia" w:eastAsia="方正仿宋_GBK"/>
          <w:sz w:val="32"/>
          <w:szCs w:val="32"/>
        </w:rPr>
        <w:t xml:space="preserve"> </w:t>
      </w:r>
    </w:p>
    <w:p w14:paraId="7CF43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617CEB70">
      <w:pPr>
        <w:snapToGrid w:val="0"/>
        <w:spacing w:line="595" w:lineRule="exact"/>
        <w:ind w:firstLine="200"/>
        <w:jc w:val="center"/>
        <w:rPr>
          <w:rFonts w:hint="eastAsia" w:eastAsia="方正小标宋_GBK"/>
          <w:sz w:val="44"/>
          <w:szCs w:val="44"/>
          <w:lang w:eastAsia="zh-CN"/>
        </w:rPr>
      </w:pPr>
      <w:r>
        <w:rPr>
          <w:rFonts w:hint="eastAsia" w:eastAsia="方正小标宋_GBK"/>
          <w:sz w:val="44"/>
          <w:szCs w:val="44"/>
          <w:lang w:eastAsia="zh-CN"/>
        </w:rPr>
        <w:t>关于城南街道2026年一心社区道路抢险项目</w:t>
      </w:r>
    </w:p>
    <w:p w14:paraId="394BCD27">
      <w:pPr>
        <w:snapToGrid w:val="0"/>
        <w:spacing w:line="595" w:lineRule="exact"/>
        <w:ind w:firstLine="200"/>
        <w:jc w:val="center"/>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09883340">
      <w:pPr>
        <w:spacing w:line="595" w:lineRule="exact"/>
        <w:rPr>
          <w:szCs w:val="32"/>
        </w:rPr>
      </w:pPr>
    </w:p>
    <w:p w14:paraId="1C896228">
      <w:pPr>
        <w:spacing w:line="500" w:lineRule="exact"/>
        <w:rPr>
          <w:rFonts w:eastAsia="方正仿宋_GBK"/>
          <w:sz w:val="32"/>
          <w:szCs w:val="32"/>
        </w:rPr>
      </w:pPr>
      <w:r>
        <w:rPr>
          <w:rFonts w:hint="eastAsia" w:eastAsia="方正仿宋_GBK"/>
          <w:sz w:val="32"/>
          <w:szCs w:val="32"/>
          <w:lang w:eastAsia="zh-CN"/>
        </w:rPr>
        <w:t>黔江区人民政府城南街道办事处</w:t>
      </w:r>
      <w:r>
        <w:rPr>
          <w:rFonts w:eastAsia="方正仿宋_GBK"/>
          <w:sz w:val="32"/>
          <w:szCs w:val="32"/>
        </w:rPr>
        <w:t>：</w:t>
      </w:r>
    </w:p>
    <w:p w14:paraId="19ED7852">
      <w:pPr>
        <w:pStyle w:val="4"/>
        <w:spacing w:line="500" w:lineRule="exact"/>
        <w:ind w:firstLine="640" w:firstLineChars="200"/>
        <w:rPr>
          <w:rFonts w:hint="default" w:ascii="Times New Roman" w:hAnsi="Times New Roman" w:eastAsia="方正仿宋_GBK" w:cs="Times New Roman"/>
          <w:szCs w:val="32"/>
          <w:lang w:eastAsia="zh-CN"/>
        </w:rPr>
      </w:pPr>
      <w:r>
        <w:rPr>
          <w:rFonts w:hint="eastAsia" w:ascii="方正仿宋_GBK" w:hAnsi="方正仿宋_GBK" w:eastAsia="方正仿宋_GBK" w:cs="方正仿宋_GBK"/>
          <w:szCs w:val="32"/>
          <w:lang w:eastAsia="zh-CN"/>
        </w:rPr>
        <w:t>你单位《关于审批城南</w:t>
      </w:r>
      <w:r>
        <w:rPr>
          <w:rFonts w:hint="default" w:ascii="Times New Roman" w:hAnsi="Times New Roman" w:eastAsia="方正仿宋_GBK" w:cs="Times New Roman"/>
          <w:szCs w:val="32"/>
          <w:lang w:eastAsia="zh-CN"/>
        </w:rPr>
        <w:t>街道2026年一心社区道路抢险项目</w:t>
      </w:r>
    </w:p>
    <w:p w14:paraId="17DCC8E9">
      <w:pPr>
        <w:pStyle w:val="4"/>
        <w:spacing w:line="500" w:lineRule="exact"/>
        <w:ind w:left="0" w:leftChars="0" w:firstLine="0" w:firstLineChars="0"/>
        <w:rPr>
          <w:rFonts w:hint="default" w:ascii="Times New Roman" w:hAnsi="Times New Roman" w:eastAsia="方正仿宋_GBK" w:cs="Times New Roman"/>
          <w:szCs w:val="32"/>
        </w:rPr>
      </w:pPr>
      <w:r>
        <w:rPr>
          <w:rFonts w:hint="default" w:ascii="Times New Roman" w:hAnsi="Times New Roman" w:eastAsia="方正仿宋_GBK" w:cs="Times New Roman"/>
          <w:szCs w:val="32"/>
          <w:lang w:eastAsia="zh-CN"/>
        </w:rPr>
        <w:t>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城南办事处函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68</w:t>
      </w:r>
      <w:r>
        <w:rPr>
          <w:rFonts w:hint="default" w:ascii="Times New Roman" w:hAnsi="Times New Roman" w:eastAsia="方正仿宋_GBK" w:cs="Times New Roman"/>
          <w:szCs w:val="32"/>
        </w:rPr>
        <w:t>号）收悉。结合黔江区政府投资</w:t>
      </w:r>
      <w:r>
        <w:rPr>
          <w:rFonts w:hint="default"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意见，经研究，同意实施城南街道2026年一心社区道路抢险项目（项目代码：</w:t>
      </w:r>
      <w:r>
        <w:rPr>
          <w:rFonts w:hint="default" w:ascii="Times New Roman" w:hAnsi="Times New Roman" w:eastAsia="方正仿宋_GBK" w:cs="Times New Roman"/>
          <w:szCs w:val="32"/>
          <w:lang w:val="en-US" w:eastAsia="zh-CN"/>
        </w:rPr>
        <w:t>2606</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208536</w:t>
      </w:r>
      <w:r>
        <w:rPr>
          <w:rFonts w:hint="default" w:ascii="Times New Roman" w:hAnsi="Times New Roman" w:eastAsia="方正仿宋_GBK" w:cs="Times New Roman"/>
          <w:szCs w:val="32"/>
        </w:rPr>
        <w:t>）。现将项目可行性研究报告批复如下：</w:t>
      </w:r>
    </w:p>
    <w:p w14:paraId="49991ABB">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lang w:val="en-US" w:eastAsia="zh-CN"/>
        </w:rPr>
        <w:t>、</w:t>
      </w:r>
      <w:r>
        <w:rPr>
          <w:rFonts w:hint="eastAsia" w:eastAsia="方正黑体_GBK"/>
          <w:sz w:val="32"/>
          <w:szCs w:val="32"/>
        </w:rPr>
        <w:t>项目</w:t>
      </w:r>
      <w:r>
        <w:rPr>
          <w:rFonts w:hint="eastAsia" w:eastAsia="方正黑体_GBK"/>
          <w:sz w:val="32"/>
          <w:szCs w:val="32"/>
          <w:lang w:eastAsia="zh-CN"/>
        </w:rPr>
        <w:t>业主</w:t>
      </w:r>
      <w:r>
        <w:rPr>
          <w:rFonts w:hint="eastAsia" w:eastAsia="方正黑体_GBK"/>
          <w:sz w:val="32"/>
          <w:szCs w:val="32"/>
          <w:lang w:val="en-US" w:eastAsia="zh-CN"/>
        </w:rPr>
        <w:t>：</w:t>
      </w:r>
      <w:bookmarkStart w:id="0" w:name="OLE_LINK2"/>
      <w:r>
        <w:rPr>
          <w:rFonts w:hint="eastAsia" w:ascii="方正仿宋_GBK" w:hAnsi="方正仿宋_GBK" w:eastAsia="方正仿宋_GBK" w:cs="方正仿宋_GBK"/>
          <w:kern w:val="2"/>
          <w:sz w:val="32"/>
          <w:szCs w:val="32"/>
          <w:lang w:val="en-US" w:eastAsia="zh-CN" w:bidi="ar-SA"/>
        </w:rPr>
        <w:t>黔江区</w:t>
      </w:r>
      <w:bookmarkEnd w:id="0"/>
      <w:r>
        <w:rPr>
          <w:rFonts w:hint="eastAsia" w:ascii="方正仿宋_GBK" w:hAnsi="方正仿宋_GBK" w:eastAsia="方正仿宋_GBK" w:cs="方正仿宋_GBK"/>
          <w:kern w:val="2"/>
          <w:sz w:val="32"/>
          <w:szCs w:val="32"/>
          <w:lang w:val="en-US" w:eastAsia="zh-CN" w:bidi="ar-SA"/>
        </w:rPr>
        <w:t>人民政府城南街道办事处</w:t>
      </w:r>
    </w:p>
    <w:p w14:paraId="2D90A0A8">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二</w:t>
      </w:r>
      <w:r>
        <w:rPr>
          <w:rFonts w:hint="eastAsia" w:eastAsia="方正黑体_GBK"/>
          <w:sz w:val="32"/>
          <w:szCs w:val="32"/>
        </w:rPr>
        <w:t>、建设地点：</w:t>
      </w:r>
      <w:r>
        <w:rPr>
          <w:rFonts w:hint="eastAsia" w:ascii="方正仿宋_GBK" w:hAnsi="方正仿宋_GBK" w:eastAsia="方正仿宋_GBK" w:cs="方正仿宋_GBK"/>
          <w:kern w:val="2"/>
          <w:sz w:val="32"/>
          <w:szCs w:val="32"/>
          <w:lang w:val="en-US" w:eastAsia="zh-CN" w:bidi="ar-SA"/>
        </w:rPr>
        <w:t>城南街道一心社区</w:t>
      </w:r>
    </w:p>
    <w:p w14:paraId="5F46DCF5">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eastAsia="zh-CN"/>
        </w:rPr>
        <w:t>三</w:t>
      </w:r>
      <w:r>
        <w:rPr>
          <w:rFonts w:hint="eastAsia" w:eastAsia="方正黑体_GBK"/>
          <w:sz w:val="32"/>
          <w:szCs w:val="32"/>
        </w:rPr>
        <w:t>、主要建设内容及规模</w:t>
      </w:r>
      <w:r>
        <w:rPr>
          <w:rFonts w:hint="eastAsia" w:ascii="方正仿宋_GBK" w:hAnsi="方正仿宋_GBK" w:eastAsia="方正仿宋_GBK" w:cs="方正仿宋_GBK"/>
          <w:kern w:val="2"/>
          <w:sz w:val="32"/>
          <w:szCs w:val="32"/>
          <w:lang w:val="en-US" w:eastAsia="zh-CN" w:bidi="ar-SA"/>
        </w:rPr>
        <w:t>：维修整治</w:t>
      </w:r>
      <w:r>
        <w:rPr>
          <w:rFonts w:hint="default" w:ascii="Times New Roman" w:hAnsi="Times New Roman" w:eastAsia="方正仿宋_GBK" w:cs="Times New Roman"/>
          <w:kern w:val="2"/>
          <w:sz w:val="32"/>
          <w:szCs w:val="32"/>
          <w:lang w:val="en-US" w:eastAsia="zh-CN" w:bidi="ar-SA"/>
        </w:rPr>
        <w:t>长度46.0米。</w:t>
      </w:r>
      <w:r>
        <w:rPr>
          <w:rFonts w:hint="eastAsia" w:ascii="方正仿宋_GBK" w:hAnsi="方正仿宋_GBK" w:eastAsia="方正仿宋_GBK" w:cs="方正仿宋_GBK"/>
          <w:kern w:val="2"/>
          <w:sz w:val="32"/>
          <w:szCs w:val="32"/>
          <w:lang w:val="en-US" w:eastAsia="zh-CN" w:bidi="ar-SA"/>
        </w:rPr>
        <w:t>主要包括破损混凝土路面挖除、挡墙砌筑、混凝土路面恢复、钢筋混凝土圆管涵、波形梁护栏拆装等建设内容。</w:t>
      </w:r>
    </w:p>
    <w:p w14:paraId="5F0342CD">
      <w:pPr>
        <w:spacing w:line="500" w:lineRule="exact"/>
        <w:ind w:firstLine="640" w:firstLineChars="200"/>
        <w:rPr>
          <w:rFonts w:hint="eastAsia" w:eastAsia="方正仿宋_GBK"/>
          <w:sz w:val="32"/>
          <w:szCs w:val="32"/>
        </w:rPr>
      </w:pPr>
      <w:r>
        <w:rPr>
          <w:rFonts w:hint="eastAsia" w:eastAsia="方正黑体_GBK"/>
          <w:sz w:val="32"/>
          <w:szCs w:val="32"/>
          <w:lang w:eastAsia="zh-CN"/>
        </w:rPr>
        <w:t>四</w:t>
      </w:r>
      <w:r>
        <w:rPr>
          <w:rFonts w:hint="eastAsia" w:eastAsia="方正黑体_GBK"/>
          <w:sz w:val="32"/>
          <w:szCs w:val="32"/>
        </w:rPr>
        <w:t>、</w:t>
      </w:r>
      <w:r>
        <w:rPr>
          <w:rFonts w:eastAsia="方正黑体_GBK"/>
          <w:sz w:val="32"/>
          <w:szCs w:val="32"/>
        </w:rPr>
        <w:t>建设工期：</w:t>
      </w:r>
      <w:r>
        <w:rPr>
          <w:rFonts w:hint="eastAsia" w:eastAsia="方正黑体_GBK"/>
          <w:sz w:val="32"/>
          <w:szCs w:val="32"/>
          <w:lang w:val="en-US" w:eastAsia="zh-CN"/>
        </w:rPr>
        <w:t>2</w:t>
      </w:r>
      <w:r>
        <w:rPr>
          <w:rFonts w:eastAsia="方正仿宋_GBK"/>
          <w:sz w:val="32"/>
          <w:szCs w:val="32"/>
        </w:rPr>
        <w:t>个月</w:t>
      </w:r>
    </w:p>
    <w:p w14:paraId="5D255D63">
      <w:pPr>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zh-CN" w:eastAsia="zh-CN"/>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sz w:val="32"/>
          <w:szCs w:val="32"/>
          <w:lang w:val="en-US" w:eastAsia="zh-CN"/>
        </w:rPr>
        <w:t>项目估算总投</w:t>
      </w:r>
      <w:r>
        <w:rPr>
          <w:rFonts w:hint="default" w:ascii="Times New Roman" w:hAnsi="Times New Roman" w:eastAsia="方正仿宋_GBK" w:cs="Times New Roman"/>
          <w:sz w:val="32"/>
          <w:szCs w:val="32"/>
          <w:lang w:val="en-US" w:eastAsia="zh-CN"/>
        </w:rPr>
        <w:t>资24.66万元，其中：</w:t>
      </w:r>
      <w:bookmarkStart w:id="1" w:name="_Hlk133242824"/>
      <w:r>
        <w:rPr>
          <w:rFonts w:hint="default" w:ascii="Times New Roman" w:hAnsi="Times New Roman" w:eastAsia="方正仿宋_GBK" w:cs="Times New Roman"/>
          <w:sz w:val="32"/>
          <w:szCs w:val="32"/>
          <w:lang w:val="en-US" w:eastAsia="zh-CN"/>
        </w:rPr>
        <w:t>工程费用22.49万元，</w:t>
      </w:r>
      <w:bookmarkEnd w:id="1"/>
      <w:r>
        <w:rPr>
          <w:rFonts w:hint="default" w:ascii="Times New Roman" w:hAnsi="Times New Roman" w:eastAsia="方正仿宋_GBK" w:cs="Times New Roman"/>
          <w:sz w:val="32"/>
          <w:szCs w:val="32"/>
          <w:lang w:val="en-US" w:eastAsia="zh-CN"/>
        </w:rPr>
        <w:t>工程建设其他费1.45万元，基本预备费0.72万元。</w:t>
      </w:r>
      <w:r>
        <w:rPr>
          <w:rFonts w:hint="default" w:ascii="Times New Roman" w:hAnsi="Times New Roman" w:eastAsia="方正仿宋_GBK" w:cs="Times New Roman"/>
          <w:sz w:val="32"/>
          <w:szCs w:val="32"/>
          <w:lang w:eastAsia="zh-CN"/>
        </w:rPr>
        <w:t>资金来源为中央自然灾害救灾资金</w:t>
      </w:r>
      <w:r>
        <w:rPr>
          <w:rFonts w:hint="default" w:ascii="Times New Roman" w:hAnsi="Times New Roman" w:eastAsia="方正仿宋_GBK" w:cs="Times New Roman"/>
          <w:sz w:val="32"/>
          <w:szCs w:val="32"/>
          <w:lang w:val="en-US" w:eastAsia="zh-CN"/>
        </w:rPr>
        <w:t>15万元、农村公路养护工程政策性补助资金5万元、非税奖补资金3万元</w:t>
      </w:r>
      <w:r>
        <w:rPr>
          <w:rFonts w:hint="eastAsia" w:ascii="方正仿宋_GBK" w:eastAsia="方正仿宋_GBK"/>
          <w:sz w:val="32"/>
          <w:szCs w:val="32"/>
          <w:lang w:eastAsia="zh-CN"/>
        </w:rPr>
        <w:t>，不足部分由业主自筹。</w:t>
      </w:r>
    </w:p>
    <w:p w14:paraId="77711B88">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方正仿宋_GBK" w:hAnsi="方正仿宋_GBK" w:eastAsia="方正仿宋_GBK" w:cs="方正仿宋_GBK"/>
          <w:color w:val="auto"/>
          <w:spacing w:val="0"/>
          <w:position w:val="0"/>
          <w:sz w:val="32"/>
          <w:szCs w:val="32"/>
          <w:shd w:val="clear" w:color="auto" w:fill="auto"/>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、招标核准：</w:t>
      </w:r>
      <w:r>
        <w:rPr>
          <w:rFonts w:hint="eastAsia"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招标范围、招标方式及招标组织形式严格按照《中华人民共和国招标投标法实施条例》《重庆市招标投标条例》《重庆市黔江区限额以下工程建设项目发包管理暂行办法》及相关法律规定组织实施。</w:t>
      </w:r>
    </w:p>
    <w:p w14:paraId="4E5F3581">
      <w:pPr>
        <w:pStyle w:val="6"/>
        <w:spacing w:line="52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w:t>
      </w:r>
      <w:r>
        <w:rPr>
          <w:rFonts w:hint="eastAsia" w:ascii="Times New Roman" w:hAnsi="Times New Roman" w:eastAsia="方正仿宋_GBK"/>
          <w:sz w:val="32"/>
          <w:szCs w:val="32"/>
          <w:lang w:val="en-US" w:eastAsia="zh-CN"/>
        </w:rPr>
        <w:t>，抓紧开展下步工作。要严格执行项目法人责任制、招标投标制、工程监理制、合同管理制，严格控制工程投资标准，防止工程超过审定投资。</w:t>
      </w:r>
    </w:p>
    <w:p w14:paraId="2765A1A5">
      <w:pPr>
        <w:pStyle w:val="6"/>
        <w:spacing w:line="500" w:lineRule="exact"/>
        <w:rPr>
          <w:rFonts w:hint="eastAsia" w:ascii="Times New Roman" w:hAnsi="Times New Roman" w:eastAsia="方正仿宋_GBK"/>
          <w:sz w:val="32"/>
          <w:szCs w:val="32"/>
        </w:rPr>
      </w:pPr>
    </w:p>
    <w:p w14:paraId="7DB6E18C">
      <w:pPr>
        <w:pStyle w:val="6"/>
        <w:spacing w:line="520" w:lineRule="exact"/>
        <w:ind w:left="1598" w:leftChars="304" w:hanging="960" w:hangingChars="300"/>
        <w:rPr>
          <w:rFonts w:hint="eastAsia" w:ascii="Times New Roman" w:hAnsi="Times New Roman" w:eastAsia="方正仿宋_GBK"/>
          <w:sz w:val="32"/>
          <w:szCs w:val="32"/>
        </w:rPr>
      </w:pPr>
      <w:r>
        <w:rPr>
          <w:rFonts w:hint="eastAsia" w:ascii="Times New Roman" w:hAnsi="Times New Roman" w:eastAsia="方正仿宋_GBK"/>
          <w:sz w:val="32"/>
          <w:szCs w:val="32"/>
        </w:rPr>
        <w:t>附件：城南街道2026年一心社区道路抢险项目投资估算表</w:t>
      </w:r>
    </w:p>
    <w:p w14:paraId="099444FF">
      <w:pPr>
        <w:pStyle w:val="6"/>
        <w:spacing w:line="520" w:lineRule="exact"/>
        <w:ind w:left="1598" w:leftChars="304" w:hanging="960" w:hangingChars="300"/>
        <w:rPr>
          <w:rFonts w:hint="eastAsia" w:ascii="Times New Roman" w:hAnsi="Times New Roman" w:eastAsia="方正仿宋_GBK"/>
          <w:sz w:val="32"/>
          <w:szCs w:val="32"/>
        </w:rPr>
      </w:pPr>
    </w:p>
    <w:p w14:paraId="16396E47">
      <w:pPr>
        <w:pStyle w:val="6"/>
        <w:spacing w:line="520" w:lineRule="exact"/>
        <w:rPr>
          <w:rFonts w:hint="eastAsia" w:ascii="Times New Roman" w:hAnsi="Times New Roman" w:eastAsia="方正仿宋_GBK"/>
          <w:sz w:val="32"/>
          <w:szCs w:val="32"/>
        </w:rPr>
      </w:pPr>
    </w:p>
    <w:p w14:paraId="61A365CE">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2147DA82">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7</w:t>
      </w:r>
      <w:r>
        <w:rPr>
          <w:rFonts w:eastAsia="方正仿宋_GBK"/>
        </w:rPr>
        <w:t>月</w:t>
      </w:r>
      <w:r>
        <w:rPr>
          <w:rFonts w:hint="eastAsia" w:eastAsia="方正仿宋_GBK"/>
          <w:lang w:val="en-US" w:eastAsia="zh-CN"/>
        </w:rPr>
        <w:t>17</w:t>
      </w:r>
      <w:r>
        <w:rPr>
          <w:rFonts w:eastAsia="方正仿宋_GBK"/>
        </w:rPr>
        <w:t>日</w:t>
      </w:r>
    </w:p>
    <w:p w14:paraId="12B846BA">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63A7FCF">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2CB1CDBF">
      <w:pPr>
        <w:pStyle w:val="6"/>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城南街道2026年一心社区道路抢险项目投资估算表</w:t>
      </w:r>
    </w:p>
    <w:p w14:paraId="28DF84C1">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89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5232"/>
        <w:gridCol w:w="2415"/>
      </w:tblGrid>
      <w:tr w14:paraId="754C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9D513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232" w:type="dxa"/>
            <w:tcBorders>
              <w:top w:val="single" w:color="000000" w:sz="4" w:space="0"/>
              <w:left w:val="single" w:color="000000" w:sz="4" w:space="0"/>
              <w:bottom w:val="single" w:color="000000" w:sz="4" w:space="0"/>
              <w:right w:val="single" w:color="000000" w:sz="4" w:space="0"/>
            </w:tcBorders>
            <w:noWrap w:val="0"/>
            <w:vAlign w:val="center"/>
          </w:tcPr>
          <w:p w14:paraId="0D94AAFB">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CAA333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37B8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4B0FC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232" w:type="dxa"/>
            <w:tcBorders>
              <w:top w:val="single" w:color="000000" w:sz="4" w:space="0"/>
              <w:left w:val="single" w:color="000000" w:sz="4" w:space="0"/>
              <w:bottom w:val="single" w:color="000000" w:sz="4" w:space="0"/>
              <w:right w:val="single" w:color="000000" w:sz="4" w:space="0"/>
            </w:tcBorders>
            <w:noWrap w:val="0"/>
            <w:vAlign w:val="center"/>
          </w:tcPr>
          <w:p w14:paraId="5FA062C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692E35D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22.49 </w:t>
            </w:r>
          </w:p>
        </w:tc>
      </w:tr>
      <w:tr w14:paraId="0E41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88F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2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9A44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城南街道2026年一心社区道路抢险项目</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0AD4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22.49 </w:t>
            </w:r>
          </w:p>
        </w:tc>
      </w:tr>
      <w:tr w14:paraId="585E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C433B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232" w:type="dxa"/>
            <w:tcBorders>
              <w:top w:val="single" w:color="000000" w:sz="4" w:space="0"/>
              <w:left w:val="single" w:color="000000" w:sz="4" w:space="0"/>
              <w:bottom w:val="single" w:color="000000" w:sz="4" w:space="0"/>
              <w:right w:val="single" w:color="000000" w:sz="4" w:space="0"/>
            </w:tcBorders>
            <w:noWrap w:val="0"/>
            <w:vAlign w:val="center"/>
          </w:tcPr>
          <w:p w14:paraId="4C35902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0944C18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1.45 </w:t>
            </w:r>
          </w:p>
        </w:tc>
      </w:tr>
      <w:tr w14:paraId="5C84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F86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2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B538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工程监理费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CBC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0.67 </w:t>
            </w:r>
          </w:p>
        </w:tc>
      </w:tr>
      <w:tr w14:paraId="41A8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916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2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70ED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97F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0.67 </w:t>
            </w:r>
          </w:p>
        </w:tc>
      </w:tr>
      <w:tr w14:paraId="66E7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84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2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4A51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ECE7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0.02 </w:t>
            </w:r>
          </w:p>
        </w:tc>
      </w:tr>
      <w:tr w14:paraId="271C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8B9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2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E85A8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6380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0.09 </w:t>
            </w:r>
          </w:p>
        </w:tc>
      </w:tr>
      <w:tr w14:paraId="709A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822FE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232" w:type="dxa"/>
            <w:tcBorders>
              <w:top w:val="single" w:color="000000" w:sz="4" w:space="0"/>
              <w:left w:val="single" w:color="000000" w:sz="4" w:space="0"/>
              <w:bottom w:val="single" w:color="000000" w:sz="4" w:space="0"/>
              <w:right w:val="single" w:color="000000" w:sz="4" w:space="0"/>
            </w:tcBorders>
            <w:noWrap w:val="0"/>
            <w:vAlign w:val="center"/>
          </w:tcPr>
          <w:p w14:paraId="5BB3EE0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6C2736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0.72 </w:t>
            </w:r>
          </w:p>
        </w:tc>
      </w:tr>
      <w:tr w14:paraId="3903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5B710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232" w:type="dxa"/>
            <w:tcBorders>
              <w:top w:val="single" w:color="000000" w:sz="4" w:space="0"/>
              <w:left w:val="single" w:color="000000" w:sz="4" w:space="0"/>
              <w:bottom w:val="single" w:color="000000" w:sz="4" w:space="0"/>
              <w:right w:val="single" w:color="000000" w:sz="4" w:space="0"/>
            </w:tcBorders>
            <w:noWrap w:val="0"/>
            <w:vAlign w:val="center"/>
          </w:tcPr>
          <w:p w14:paraId="56D0AA5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05927A2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24.66</w:t>
            </w:r>
          </w:p>
        </w:tc>
      </w:tr>
    </w:tbl>
    <w:p w14:paraId="2F93A19E">
      <w:pPr>
        <w:pStyle w:val="6"/>
        <w:rPr>
          <w:rFonts w:hint="eastAsia" w:ascii="方正黑体_GBK" w:hAnsi="方正黑体_GBK" w:eastAsia="方正黑体_GBK" w:cs="方正黑体_GBK"/>
          <w:sz w:val="32"/>
          <w:szCs w:val="32"/>
        </w:rPr>
      </w:pPr>
    </w:p>
    <w:p w14:paraId="7F335012">
      <w:pPr>
        <w:keepNext w:val="0"/>
        <w:keepLines w:val="0"/>
        <w:pageBreakBefore w:val="0"/>
        <w:widowControl w:val="0"/>
        <w:kinsoku/>
        <w:wordWrap/>
        <w:overflowPunct/>
        <w:topLinePunct w:val="0"/>
        <w:autoSpaceDE/>
        <w:autoSpaceDN/>
        <w:bidi w:val="0"/>
        <w:adjustRightInd/>
        <w:snapToGrid/>
        <w:spacing w:line="240" w:lineRule="exact"/>
        <w:textAlignment w:val="auto"/>
      </w:pPr>
    </w:p>
    <w:p w14:paraId="520136D3">
      <w:pPr>
        <w:pStyle w:val="2"/>
      </w:pPr>
    </w:p>
    <w:p w14:paraId="21878F90">
      <w:pPr>
        <w:pStyle w:val="3"/>
      </w:pPr>
    </w:p>
    <w:p w14:paraId="4CAD7084">
      <w:pPr>
        <w:pStyle w:val="3"/>
      </w:pPr>
    </w:p>
    <w:p w14:paraId="20106764">
      <w:pPr>
        <w:pStyle w:val="3"/>
      </w:pPr>
    </w:p>
    <w:p w14:paraId="37D98189">
      <w:pPr>
        <w:keepNext w:val="0"/>
        <w:keepLines w:val="0"/>
        <w:pageBreakBefore w:val="0"/>
        <w:widowControl w:val="0"/>
        <w:kinsoku/>
        <w:wordWrap/>
        <w:overflowPunct/>
        <w:topLinePunct w:val="0"/>
        <w:autoSpaceDE/>
        <w:autoSpaceDN/>
        <w:bidi w:val="0"/>
        <w:adjustRightInd/>
        <w:snapToGrid/>
        <w:spacing w:line="240" w:lineRule="exact"/>
        <w:textAlignment w:val="auto"/>
      </w:pPr>
      <w:bookmarkStart w:id="2" w:name="_GoBack"/>
      <w:bookmarkEnd w:id="2"/>
    </w:p>
    <w:p w14:paraId="00EC650E">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7</w:t>
      </w:r>
      <w:r>
        <w:rPr>
          <w:rFonts w:eastAsia="方正仿宋_GBK"/>
          <w:sz w:val="28"/>
          <w:szCs w:val="28"/>
          <w:u w:val="thick"/>
        </w:rPr>
        <w:t>月</w:t>
      </w:r>
      <w:r>
        <w:rPr>
          <w:rFonts w:hint="eastAsia" w:eastAsia="方正仿宋_GBK"/>
          <w:sz w:val="28"/>
          <w:szCs w:val="28"/>
          <w:u w:val="thick"/>
          <w:lang w:val="en-US" w:eastAsia="zh-CN"/>
        </w:rPr>
        <w:t>20</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A0305D94-E461-4D12-A98C-7878E77B44F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760A1AE9-8CFF-4801-A7E7-B68FC299D105}"/>
  </w:font>
  <w:font w:name="方正楷体_GBK">
    <w:panose1 w:val="03000509000000000000"/>
    <w:charset w:val="86"/>
    <w:family w:val="auto"/>
    <w:pitch w:val="default"/>
    <w:sig w:usb0="00000001" w:usb1="080E0000" w:usb2="00000000" w:usb3="00000000" w:csb0="00040000" w:csb1="00000000"/>
    <w:embedRegular r:id="rId3" w:fontKey="{6545B518-059E-4BC7-8E4D-D56027D9EF3D}"/>
  </w:font>
  <w:font w:name="方正小标宋_GBK">
    <w:panose1 w:val="03000509000000000000"/>
    <w:charset w:val="86"/>
    <w:family w:val="script"/>
    <w:pitch w:val="default"/>
    <w:sig w:usb0="00000001" w:usb1="080E0000" w:usb2="00000000" w:usb3="00000000" w:csb0="00040000" w:csb1="00000000"/>
    <w:embedRegular r:id="rId4" w:fontKey="{B46DAC42-2446-47A9-9724-4091597C9D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0E3E06"/>
    <w:rsid w:val="04BB474E"/>
    <w:rsid w:val="06B156A8"/>
    <w:rsid w:val="09FA769E"/>
    <w:rsid w:val="0B7A378A"/>
    <w:rsid w:val="0C443D5D"/>
    <w:rsid w:val="0C4A4FFD"/>
    <w:rsid w:val="0CFC0645"/>
    <w:rsid w:val="0D37421D"/>
    <w:rsid w:val="0E090617"/>
    <w:rsid w:val="10190546"/>
    <w:rsid w:val="119A3908"/>
    <w:rsid w:val="135944C5"/>
    <w:rsid w:val="14CA633F"/>
    <w:rsid w:val="15636F5B"/>
    <w:rsid w:val="175C5702"/>
    <w:rsid w:val="181B2628"/>
    <w:rsid w:val="193E59D1"/>
    <w:rsid w:val="1A261065"/>
    <w:rsid w:val="1F013809"/>
    <w:rsid w:val="1F950368"/>
    <w:rsid w:val="208F215E"/>
    <w:rsid w:val="237F64BA"/>
    <w:rsid w:val="240A66CC"/>
    <w:rsid w:val="242A28CA"/>
    <w:rsid w:val="250D18ED"/>
    <w:rsid w:val="254A0970"/>
    <w:rsid w:val="27D05536"/>
    <w:rsid w:val="27F93F48"/>
    <w:rsid w:val="28D139F4"/>
    <w:rsid w:val="295E32C2"/>
    <w:rsid w:val="2AD46A97"/>
    <w:rsid w:val="2E624573"/>
    <w:rsid w:val="31A87524"/>
    <w:rsid w:val="37A34A15"/>
    <w:rsid w:val="39705D78"/>
    <w:rsid w:val="397671E0"/>
    <w:rsid w:val="3EF47EDA"/>
    <w:rsid w:val="40A351EE"/>
    <w:rsid w:val="42212F8E"/>
    <w:rsid w:val="487D33E1"/>
    <w:rsid w:val="4E50267E"/>
    <w:rsid w:val="4EDA19EA"/>
    <w:rsid w:val="4F735634"/>
    <w:rsid w:val="4FFB4CF6"/>
    <w:rsid w:val="505A50ED"/>
    <w:rsid w:val="5130612A"/>
    <w:rsid w:val="529E721A"/>
    <w:rsid w:val="534E1E00"/>
    <w:rsid w:val="5726180C"/>
    <w:rsid w:val="57A8352A"/>
    <w:rsid w:val="5F75634D"/>
    <w:rsid w:val="5FFE1A79"/>
    <w:rsid w:val="616F605C"/>
    <w:rsid w:val="653B0AE4"/>
    <w:rsid w:val="66560D21"/>
    <w:rsid w:val="678D70A8"/>
    <w:rsid w:val="68E65C61"/>
    <w:rsid w:val="6A6C1DE8"/>
    <w:rsid w:val="6A825D43"/>
    <w:rsid w:val="6AF30A16"/>
    <w:rsid w:val="6BAE6A0F"/>
    <w:rsid w:val="6C68355C"/>
    <w:rsid w:val="6CE440E0"/>
    <w:rsid w:val="6ECA1139"/>
    <w:rsid w:val="6EF61234"/>
    <w:rsid w:val="72141C90"/>
    <w:rsid w:val="72A76461"/>
    <w:rsid w:val="764E6BC5"/>
    <w:rsid w:val="78624336"/>
    <w:rsid w:val="798F3B70"/>
    <w:rsid w:val="7AED1855"/>
    <w:rsid w:val="7CE02C9B"/>
    <w:rsid w:val="7D5B0573"/>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1"/>
    <w:basedOn w:val="13"/>
    <w:qFormat/>
    <w:uiPriority w:val="0"/>
    <w:rPr>
      <w:rFonts w:hint="eastAsia" w:ascii="方正黑体_GBK" w:hAnsi="方正黑体_GBK" w:eastAsia="方正黑体_GBK" w:cs="方正黑体_GBK"/>
      <w:color w:val="000000"/>
      <w:sz w:val="32"/>
      <w:szCs w:val="32"/>
      <w:u w:val="none"/>
    </w:rPr>
  </w:style>
  <w:style w:type="character" w:customStyle="1" w:styleId="28">
    <w:name w:val="font3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3</Pages>
  <Words>1149</Words>
  <Characters>1311</Characters>
  <Lines>11</Lines>
  <Paragraphs>3</Paragraphs>
  <TotalTime>1</TotalTime>
  <ScaleCrop>false</ScaleCrop>
  <LinksUpToDate>false</LinksUpToDate>
  <CharactersWithSpaces>1450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2026-07-20T07:47:21Z</cp:lastPrinted>
  <dcterms:modified xsi:type="dcterms:W3CDTF">2026-07-20T07:47:24Z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