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259</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5D3CE9FA">
      <w:pPr>
        <w:keepNext w:val="0"/>
        <w:keepLines w:val="0"/>
        <w:pageBreakBefore w:val="0"/>
        <w:widowControl w:val="0"/>
        <w:kinsoku/>
        <w:wordWrap/>
        <w:overflowPunct/>
        <w:topLinePunct w:val="0"/>
        <w:autoSpaceDE/>
        <w:autoSpaceDN/>
        <w:bidi w:val="0"/>
        <w:spacing w:line="575"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关于黔江区2026年</w:t>
      </w:r>
      <w:r>
        <w:rPr>
          <w:rFonts w:hint="eastAsia" w:ascii="方正小标宋_GBK" w:hAnsi="方正小标宋_GBK" w:eastAsia="方正小标宋_GBK" w:cs="方正小标宋_GBK"/>
          <w:sz w:val="44"/>
          <w:szCs w:val="44"/>
        </w:rPr>
        <w:t>“四好农村路”城</w:t>
      </w:r>
      <w:r>
        <w:rPr>
          <w:rFonts w:hint="default" w:ascii="Times New Roman" w:hAnsi="Times New Roman" w:eastAsia="方正小标宋_GBK" w:cs="Times New Roman"/>
          <w:sz w:val="44"/>
          <w:szCs w:val="44"/>
        </w:rPr>
        <w:t>南街道</w:t>
      </w:r>
    </w:p>
    <w:p w14:paraId="4FF18509">
      <w:pPr>
        <w:keepNext w:val="0"/>
        <w:keepLines w:val="0"/>
        <w:pageBreakBefore w:val="0"/>
        <w:widowControl w:val="0"/>
        <w:kinsoku/>
        <w:wordWrap/>
        <w:overflowPunct/>
        <w:topLinePunct w:val="0"/>
        <w:autoSpaceDE/>
        <w:autoSpaceDN/>
        <w:bidi w:val="0"/>
        <w:spacing w:line="575"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南沟社区打狗湾至黑山社区邬家院子道路工程</w:t>
      </w:r>
    </w:p>
    <w:p w14:paraId="239A27C0">
      <w:pPr>
        <w:keepNext w:val="0"/>
        <w:keepLines w:val="0"/>
        <w:pageBreakBefore w:val="0"/>
        <w:widowControl w:val="0"/>
        <w:kinsoku/>
        <w:wordWrap/>
        <w:overflowPunct/>
        <w:topLinePunct w:val="0"/>
        <w:autoSpaceDE/>
        <w:autoSpaceDN/>
        <w:bidi w:val="0"/>
        <w:spacing w:line="575"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可行性研究报告的批复</w:t>
      </w:r>
    </w:p>
    <w:p w14:paraId="2CD56406">
      <w:pPr>
        <w:keepNext w:val="0"/>
        <w:keepLines w:val="0"/>
        <w:pageBreakBefore w:val="0"/>
        <w:widowControl w:val="0"/>
        <w:kinsoku/>
        <w:wordWrap/>
        <w:overflowPunct/>
        <w:topLinePunct w:val="0"/>
        <w:autoSpaceDE/>
        <w:autoSpaceDN/>
        <w:bidi w:val="0"/>
        <w:spacing w:line="575" w:lineRule="exact"/>
        <w:textAlignment w:val="auto"/>
        <w:rPr>
          <w:rFonts w:hint="default" w:ascii="Times New Roman" w:hAnsi="Times New Roman" w:cs="Times New Roman"/>
          <w:szCs w:val="32"/>
        </w:rPr>
      </w:pPr>
    </w:p>
    <w:p w14:paraId="76DE1AA0">
      <w:pPr>
        <w:keepNext w:val="0"/>
        <w:keepLines w:val="0"/>
        <w:pageBreakBefore w:val="0"/>
        <w:widowControl w:val="0"/>
        <w:kinsoku/>
        <w:wordWrap/>
        <w:overflowPunct/>
        <w:topLinePunct w:val="0"/>
        <w:autoSpaceDE/>
        <w:autoSpaceDN/>
        <w:bidi w:val="0"/>
        <w:spacing w:line="575" w:lineRule="exact"/>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黔江区人民政府城南街道办事处</w:t>
      </w:r>
      <w:r>
        <w:rPr>
          <w:rFonts w:hint="default" w:ascii="Times New Roman" w:hAnsi="Times New Roman" w:eastAsia="方正仿宋_GBK" w:cs="Times New Roman"/>
          <w:sz w:val="32"/>
          <w:szCs w:val="32"/>
        </w:rPr>
        <w:t>：</w:t>
      </w:r>
    </w:p>
    <w:p w14:paraId="057C168F">
      <w:pPr>
        <w:pStyle w:val="3"/>
        <w:keepNext w:val="0"/>
        <w:keepLines w:val="0"/>
        <w:pageBreakBefore w:val="0"/>
        <w:widowControl w:val="0"/>
        <w:kinsoku/>
        <w:wordWrap/>
        <w:overflowPunct/>
        <w:topLinePunct w:val="0"/>
        <w:autoSpaceDE/>
        <w:autoSpaceDN/>
        <w:bidi w:val="0"/>
        <w:spacing w:line="575" w:lineRule="exact"/>
        <w:ind w:firstLine="640" w:firstLineChars="200"/>
        <w:textAlignment w:val="auto"/>
        <w:rPr>
          <w:rFonts w:hint="default" w:ascii="Times New Roman" w:hAnsi="Times New Roman" w:eastAsia="方正仿宋_GBK" w:cs="Times New Roman"/>
          <w:szCs w:val="32"/>
        </w:rPr>
      </w:pPr>
      <w:r>
        <w:rPr>
          <w:rFonts w:hint="default" w:ascii="Times New Roman" w:hAnsi="Times New Roman" w:eastAsia="方正仿宋_GBK" w:cs="Times New Roman"/>
          <w:szCs w:val="32"/>
        </w:rPr>
        <w:t>你单位《关于</w:t>
      </w:r>
      <w:r>
        <w:rPr>
          <w:rFonts w:hint="eastAsia" w:ascii="Times New Roman" w:hAnsi="Times New Roman" w:eastAsia="方正仿宋_GBK" w:cs="Times New Roman"/>
          <w:szCs w:val="32"/>
          <w:lang w:eastAsia="zh-CN"/>
        </w:rPr>
        <w:t>审查黔江区2026年“四好农村路”城南街道南沟社区打狗湾至黑山社区邬家院子道路工程</w:t>
      </w:r>
      <w:r>
        <w:rPr>
          <w:rFonts w:hint="default" w:ascii="Times New Roman" w:hAnsi="Times New Roman" w:eastAsia="方正仿宋_GBK" w:cs="Times New Roman"/>
          <w:szCs w:val="32"/>
          <w:lang w:eastAsia="zh-CN"/>
        </w:rPr>
        <w:t>可行性研究报告的</w:t>
      </w:r>
      <w:r>
        <w:rPr>
          <w:rFonts w:hint="eastAsia" w:ascii="Times New Roman" w:hAnsi="Times New Roman" w:eastAsia="方正仿宋_GBK" w:cs="Times New Roman"/>
          <w:szCs w:val="32"/>
          <w:lang w:eastAsia="zh-CN"/>
        </w:rPr>
        <w:t>函</w:t>
      </w:r>
      <w:r>
        <w:rPr>
          <w:rFonts w:hint="default" w:ascii="Times New Roman" w:hAnsi="Times New Roman" w:eastAsia="方正仿宋_GBK" w:cs="Times New Roman"/>
          <w:szCs w:val="32"/>
        </w:rPr>
        <w:t>》收悉。结合黔江区政府投资</w:t>
      </w:r>
      <w:r>
        <w:rPr>
          <w:rFonts w:hint="eastAsia" w:ascii="Times New Roman" w:hAnsi="Times New Roman" w:eastAsia="方正仿宋_GBK" w:cs="Times New Roman"/>
          <w:szCs w:val="32"/>
          <w:lang w:eastAsia="zh-CN"/>
        </w:rPr>
        <w:t>项目前期工作服务</w:t>
      </w:r>
      <w:r>
        <w:rPr>
          <w:rFonts w:hint="default" w:ascii="Times New Roman" w:hAnsi="Times New Roman" w:eastAsia="方正仿宋_GBK" w:cs="Times New Roman"/>
          <w:szCs w:val="32"/>
        </w:rPr>
        <w:t>中心的评</w:t>
      </w:r>
      <w:r>
        <w:rPr>
          <w:rFonts w:hint="eastAsia" w:ascii="Times New Roman" w:hAnsi="Times New Roman" w:eastAsia="方正仿宋_GBK" w:cs="Times New Roman"/>
          <w:szCs w:val="32"/>
          <w:lang w:eastAsia="zh-CN"/>
        </w:rPr>
        <w:t>审</w:t>
      </w:r>
      <w:r>
        <w:rPr>
          <w:rFonts w:hint="default" w:ascii="Times New Roman" w:hAnsi="Times New Roman" w:eastAsia="方正仿宋_GBK" w:cs="Times New Roman"/>
          <w:szCs w:val="32"/>
        </w:rPr>
        <w:t>意见，现</w:t>
      </w:r>
      <w:r>
        <w:rPr>
          <w:rFonts w:hint="eastAsia" w:ascii="Times New Roman" w:hAnsi="Times New Roman" w:eastAsia="方正仿宋_GBK" w:cs="Times New Roman"/>
          <w:szCs w:val="32"/>
          <w:lang w:eastAsia="zh-CN"/>
        </w:rPr>
        <w:t>就黔江区2026年“四好农村路”城南街道南沟社区打狗湾至黑山社区邬家院子道路工程</w:t>
      </w:r>
      <w:r>
        <w:rPr>
          <w:rFonts w:hint="eastAsia" w:ascii="Times New Roman" w:hAnsi="Times New Roman" w:eastAsia="方正仿宋_GBK" w:cs="Times New Roman"/>
          <w:szCs w:val="32"/>
          <w:lang w:val="en-US" w:eastAsia="zh-CN"/>
        </w:rPr>
        <w:t>(项目代码：2607-500114-04-01-601609）</w:t>
      </w:r>
      <w:r>
        <w:rPr>
          <w:rFonts w:hint="default" w:ascii="Times New Roman" w:hAnsi="Times New Roman" w:eastAsia="方正仿宋_GBK" w:cs="Times New Roman"/>
          <w:szCs w:val="32"/>
        </w:rPr>
        <w:t>可行性研究报告批复如下：</w:t>
      </w:r>
    </w:p>
    <w:p w14:paraId="53456138">
      <w:pPr>
        <w:keepNext w:val="0"/>
        <w:keepLines w:val="0"/>
        <w:pageBreakBefore w:val="0"/>
        <w:widowControl w:val="0"/>
        <w:numPr>
          <w:ilvl w:val="0"/>
          <w:numId w:val="0"/>
        </w:numPr>
        <w:kinsoku/>
        <w:wordWrap/>
        <w:overflowPunct/>
        <w:topLinePunct w:val="0"/>
        <w:autoSpaceDE/>
        <w:autoSpaceDN/>
        <w:bidi w:val="0"/>
        <w:spacing w:line="575" w:lineRule="exact"/>
        <w:ind w:left="0" w:leftChars="0" w:right="0" w:rightChars="0" w:firstLine="640" w:firstLineChars="200"/>
        <w:jc w:val="both"/>
        <w:textAlignment w:val="auto"/>
        <w:outlineLvl w:val="9"/>
        <w:rPr>
          <w:rFonts w:hint="eastAsia"/>
          <w:lang w:eastAsia="zh-CN"/>
        </w:rPr>
      </w:pPr>
      <w:r>
        <w:rPr>
          <w:rFonts w:hint="eastAsia"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项目</w:t>
      </w:r>
      <w:r>
        <w:rPr>
          <w:rFonts w:hint="default" w:ascii="Times New Roman" w:hAnsi="Times New Roman" w:eastAsia="方正黑体_GBK" w:cs="Times New Roman"/>
          <w:sz w:val="32"/>
          <w:szCs w:val="32"/>
          <w:lang w:eastAsia="zh-CN"/>
        </w:rPr>
        <w:t>业主</w:t>
      </w:r>
      <w:r>
        <w:rPr>
          <w:rFonts w:hint="default" w:ascii="Times New Roman" w:hAnsi="Times New Roman" w:eastAsia="方正黑体_GBK" w:cs="Times New Roman"/>
          <w:sz w:val="32"/>
          <w:szCs w:val="32"/>
        </w:rPr>
        <w:t>：</w:t>
      </w:r>
      <w:r>
        <w:rPr>
          <w:rFonts w:hint="eastAsia" w:ascii="Times New Roman" w:hAnsi="Times New Roman" w:eastAsia="方正仿宋_GBK" w:cs="Times New Roman"/>
          <w:sz w:val="32"/>
          <w:szCs w:val="32"/>
          <w:lang w:eastAsia="zh-CN"/>
        </w:rPr>
        <w:t>黔江区人民政府城南街道办事处</w:t>
      </w:r>
    </w:p>
    <w:p w14:paraId="12B1870E">
      <w:pPr>
        <w:pStyle w:val="2"/>
        <w:keepNext w:val="0"/>
        <w:keepLines w:val="0"/>
        <w:pageBreakBefore w:val="0"/>
        <w:widowControl w:val="0"/>
        <w:kinsoku/>
        <w:wordWrap/>
        <w:overflowPunct/>
        <w:topLinePunct w:val="0"/>
        <w:autoSpaceDE/>
        <w:autoSpaceDN/>
        <w:bidi w:val="0"/>
        <w:spacing w:after="0" w:line="575" w:lineRule="exact"/>
        <w:ind w:left="0" w:leftChars="0" w:right="0" w:rightChars="0" w:firstLine="640" w:firstLineChars="200"/>
        <w:jc w:val="both"/>
        <w:textAlignment w:val="auto"/>
        <w:outlineLvl w:val="9"/>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黑体_GBK" w:cs="Times New Roman"/>
          <w:kern w:val="2"/>
          <w:sz w:val="32"/>
          <w:szCs w:val="32"/>
          <w:lang w:val="en-US" w:eastAsia="zh-CN" w:bidi="ar-SA"/>
        </w:rPr>
        <w:t>代建业主</w:t>
      </w:r>
      <w:r>
        <w:rPr>
          <w:rFonts w:hint="eastAsia" w:ascii="Times New Roman" w:hAnsi="Times New Roman" w:eastAsia="方正仿宋_GBK" w:cs="Times New Roman"/>
          <w:kern w:val="2"/>
          <w:sz w:val="32"/>
          <w:szCs w:val="32"/>
          <w:lang w:val="en-US" w:eastAsia="zh-CN" w:bidi="ar-SA"/>
        </w:rPr>
        <w:t>：重庆市枳丹石城市建设开发有限公司</w:t>
      </w:r>
    </w:p>
    <w:p w14:paraId="553D07C7">
      <w:pPr>
        <w:keepNext w:val="0"/>
        <w:keepLines w:val="0"/>
        <w:pageBreakBefore w:val="0"/>
        <w:widowControl w:val="0"/>
        <w:numPr>
          <w:ilvl w:val="0"/>
          <w:numId w:val="0"/>
        </w:numPr>
        <w:kinsoku/>
        <w:wordWrap/>
        <w:overflowPunct/>
        <w:topLinePunct w:val="0"/>
        <w:autoSpaceDE/>
        <w:autoSpaceDN/>
        <w:bidi w:val="0"/>
        <w:spacing w:line="575" w:lineRule="exact"/>
        <w:ind w:left="0" w:leftChars="0" w:right="0" w:rightChars="0" w:firstLine="640" w:firstLineChars="200"/>
        <w:jc w:val="both"/>
        <w:textAlignment w:val="auto"/>
        <w:outlineLvl w:val="9"/>
        <w:rPr>
          <w:rFonts w:hint="eastAsia" w:ascii="Times New Roman" w:hAnsi="Times New Roman" w:eastAsia="方正仿宋_GBK" w:cs="Times New Roman"/>
          <w:kern w:val="2"/>
          <w:sz w:val="32"/>
          <w:szCs w:val="32"/>
          <w:lang w:val="zh-CN" w:eastAsia="zh-CN" w:bidi="ar-SA"/>
        </w:rPr>
      </w:pPr>
      <w:r>
        <w:rPr>
          <w:rFonts w:hint="eastAsia" w:ascii="Times New Roman" w:hAnsi="Times New Roman" w:eastAsia="方正黑体_GBK" w:cs="Times New Roman"/>
          <w:sz w:val="32"/>
          <w:szCs w:val="32"/>
          <w:lang w:eastAsia="zh-CN"/>
        </w:rPr>
        <w:t>二</w:t>
      </w:r>
      <w:r>
        <w:rPr>
          <w:rFonts w:hint="default" w:ascii="Times New Roman" w:hAnsi="Times New Roman" w:eastAsia="方正黑体_GBK" w:cs="Times New Roman"/>
          <w:sz w:val="32"/>
          <w:szCs w:val="32"/>
        </w:rPr>
        <w:t>、建设地点：</w:t>
      </w:r>
      <w:r>
        <w:rPr>
          <w:rFonts w:hint="eastAsia" w:ascii="Times New Roman" w:hAnsi="Times New Roman" w:eastAsia="方正仿宋_GBK" w:cs="Times New Roman"/>
          <w:kern w:val="2"/>
          <w:sz w:val="32"/>
          <w:szCs w:val="32"/>
          <w:lang w:val="en-US" w:eastAsia="zh-CN" w:bidi="ar-SA"/>
        </w:rPr>
        <w:t>城南街道</w:t>
      </w:r>
    </w:p>
    <w:p w14:paraId="7DCBFC67">
      <w:pPr>
        <w:keepNext w:val="0"/>
        <w:keepLines w:val="0"/>
        <w:pageBreakBefore w:val="0"/>
        <w:widowControl w:val="0"/>
        <w:kinsoku/>
        <w:wordWrap/>
        <w:overflowPunct/>
        <w:topLinePunct w:val="0"/>
        <w:autoSpaceDE/>
        <w:autoSpaceDN/>
        <w:bidi w:val="0"/>
        <w:adjustRightInd w:val="0"/>
        <w:snapToGrid w:val="0"/>
        <w:spacing w:line="575"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黑体_GBK" w:cs="Times New Roman"/>
          <w:sz w:val="32"/>
          <w:szCs w:val="32"/>
          <w:lang w:eastAsia="zh-CN"/>
        </w:rPr>
        <w:t>三</w:t>
      </w:r>
      <w:r>
        <w:rPr>
          <w:rFonts w:hint="default" w:ascii="Times New Roman" w:hAnsi="Times New Roman" w:eastAsia="方正黑体_GBK" w:cs="Times New Roman"/>
          <w:sz w:val="32"/>
          <w:szCs w:val="32"/>
        </w:rPr>
        <w:t>、主要建设内容及规模</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kern w:val="2"/>
          <w:sz w:val="32"/>
          <w:szCs w:val="32"/>
          <w:lang w:val="en-US" w:eastAsia="zh-CN" w:bidi="ar-SA"/>
        </w:rPr>
        <w:t>项目</w:t>
      </w:r>
      <w:r>
        <w:rPr>
          <w:rFonts w:hint="eastAsia" w:ascii="Times New Roman" w:hAnsi="Times New Roman" w:eastAsia="方正仿宋_GBK" w:cs="Times New Roman"/>
          <w:kern w:val="2"/>
          <w:sz w:val="32"/>
          <w:szCs w:val="32"/>
          <w:lang w:val="zh-CN" w:eastAsia="zh-CN" w:bidi="ar-SA"/>
        </w:rPr>
        <w:t>路线全长6.33</w:t>
      </w:r>
      <w:r>
        <w:rPr>
          <w:rFonts w:hint="eastAsia" w:ascii="Times New Roman" w:hAnsi="Times New Roman" w:eastAsia="方正仿宋_GBK" w:cs="Times New Roman"/>
          <w:kern w:val="2"/>
          <w:sz w:val="32"/>
          <w:szCs w:val="32"/>
          <w:lang w:val="en-US" w:eastAsia="zh-CN" w:bidi="ar-SA"/>
        </w:rPr>
        <w:t>5</w:t>
      </w:r>
      <w:r>
        <w:rPr>
          <w:rFonts w:hint="eastAsia" w:ascii="Times New Roman" w:hAnsi="Times New Roman" w:eastAsia="方正仿宋_GBK" w:cs="Times New Roman"/>
          <w:kern w:val="2"/>
          <w:sz w:val="32"/>
          <w:szCs w:val="32"/>
          <w:lang w:val="zh-CN" w:eastAsia="zh-CN" w:bidi="ar-SA"/>
        </w:rPr>
        <w:t>km，</w:t>
      </w:r>
      <w:r>
        <w:rPr>
          <w:rFonts w:hint="eastAsia" w:ascii="Times New Roman" w:hAnsi="Times New Roman" w:eastAsia="方正仿宋_GBK" w:cs="Times New Roman"/>
          <w:kern w:val="2"/>
          <w:sz w:val="32"/>
          <w:szCs w:val="32"/>
          <w:lang w:val="en-US" w:eastAsia="zh-CN" w:bidi="ar-SA"/>
        </w:rPr>
        <w:t>起于南沟社区打狗湾，顺畅衔接现状已投用的黔托路，止于黑山社区邬家院子聚居片区，道路等级为四级公路（I类），设计时速为15km/h，标准路基宽度为6.5m，双向两车道。主要包括路基工程、路面工程、桥梁涵洞工程、交叉工程、交通工程等建设内容。</w:t>
      </w:r>
    </w:p>
    <w:p w14:paraId="0C5AD4EE">
      <w:pPr>
        <w:keepNext w:val="0"/>
        <w:keepLines w:val="0"/>
        <w:pageBreakBefore w:val="0"/>
        <w:widowControl w:val="0"/>
        <w:kinsoku/>
        <w:wordWrap/>
        <w:overflowPunct/>
        <w:topLinePunct w:val="0"/>
        <w:autoSpaceDE/>
        <w:autoSpaceDN/>
        <w:bidi w:val="0"/>
        <w:spacing w:line="575"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黑体_GBK" w:cs="Times New Roman"/>
          <w:sz w:val="32"/>
          <w:szCs w:val="32"/>
          <w:lang w:eastAsia="zh-CN"/>
        </w:rPr>
        <w:t>四</w:t>
      </w:r>
      <w:r>
        <w:rPr>
          <w:rFonts w:hint="default" w:ascii="Times New Roman" w:hAnsi="Times New Roman" w:eastAsia="方正黑体_GBK" w:cs="Times New Roman"/>
          <w:sz w:val="32"/>
          <w:szCs w:val="32"/>
        </w:rPr>
        <w:t>、建设工期：</w:t>
      </w:r>
      <w:r>
        <w:rPr>
          <w:rFonts w:hint="eastAsia" w:ascii="Times New Roman" w:hAnsi="Times New Roman" w:eastAsia="方正黑体_GBK" w:cs="Times New Roman"/>
          <w:sz w:val="32"/>
          <w:szCs w:val="32"/>
          <w:lang w:val="en-US" w:eastAsia="zh-CN"/>
        </w:rPr>
        <w:t>8</w:t>
      </w:r>
      <w:r>
        <w:rPr>
          <w:rFonts w:hint="default" w:ascii="Times New Roman" w:hAnsi="Times New Roman" w:eastAsia="方正仿宋_GBK" w:cs="Times New Roman"/>
          <w:sz w:val="32"/>
          <w:szCs w:val="32"/>
        </w:rPr>
        <w:t>个月。</w:t>
      </w:r>
    </w:p>
    <w:p w14:paraId="3B705926">
      <w:pPr>
        <w:pStyle w:val="5"/>
        <w:keepNext w:val="0"/>
        <w:keepLines w:val="0"/>
        <w:pageBreakBefore w:val="0"/>
        <w:widowControl w:val="0"/>
        <w:kinsoku/>
        <w:wordWrap/>
        <w:overflowPunct/>
        <w:topLinePunct w:val="0"/>
        <w:autoSpaceDE/>
        <w:autoSpaceDN/>
        <w:bidi w:val="0"/>
        <w:spacing w:line="575" w:lineRule="exact"/>
        <w:ind w:firstLine="640" w:firstLineChars="200"/>
        <w:textAlignment w:val="auto"/>
        <w:rPr>
          <w:rFonts w:hint="default" w:ascii="Times New Roman" w:hAnsi="Times New Roman" w:eastAsia="方正仿宋_GBK" w:cs="Times New Roman"/>
          <w:sz w:val="32"/>
          <w:szCs w:val="32"/>
          <w:lang w:val="zh-CN"/>
        </w:rPr>
      </w:pPr>
      <w:r>
        <w:rPr>
          <w:rFonts w:hint="eastAsia" w:ascii="Times New Roman" w:hAnsi="Times New Roman" w:eastAsia="方正黑体_GBK" w:cs="Times New Roman"/>
          <w:sz w:val="32"/>
          <w:szCs w:val="32"/>
          <w:lang w:eastAsia="zh-CN"/>
        </w:rPr>
        <w:t>五</w:t>
      </w:r>
      <w:r>
        <w:rPr>
          <w:rFonts w:hint="default" w:ascii="Times New Roman" w:hAnsi="Times New Roman" w:eastAsia="方正黑体_GBK" w:cs="Times New Roman"/>
          <w:sz w:val="32"/>
          <w:szCs w:val="32"/>
        </w:rPr>
        <w:t>、项目总投资及资金来源：</w:t>
      </w:r>
      <w:r>
        <w:rPr>
          <w:rFonts w:hint="default" w:ascii="Times New Roman" w:hAnsi="Times New Roman" w:eastAsia="方正仿宋_GBK" w:cs="Times New Roman"/>
          <w:b w:val="0"/>
          <w:bCs w:val="0"/>
          <w:kern w:val="2"/>
          <w:sz w:val="32"/>
          <w:szCs w:val="24"/>
          <w:lang w:val="en-US" w:eastAsia="zh-CN" w:bidi="ar-SA"/>
        </w:rPr>
        <w:t>项目估算总投资2096.55万元，其中：工程费用1751.91万元，工程建设其他费用171.53万元，预备费173.11万元。</w:t>
      </w:r>
      <w:r>
        <w:rPr>
          <w:rFonts w:hint="default" w:ascii="Times New Roman" w:hAnsi="Times New Roman" w:eastAsia="方正仿宋_GBK" w:cs="Times New Roman"/>
          <w:sz w:val="32"/>
          <w:szCs w:val="32"/>
          <w:lang w:val="zh-CN"/>
        </w:rPr>
        <w:t>资金来源为</w:t>
      </w:r>
      <w:r>
        <w:rPr>
          <w:rFonts w:hint="eastAsia" w:ascii="Times New Roman" w:hAnsi="Times New Roman" w:eastAsia="方正仿宋_GBK" w:cs="Times New Roman"/>
          <w:sz w:val="32"/>
          <w:szCs w:val="32"/>
          <w:lang w:val="zh-CN"/>
        </w:rPr>
        <w:t>国市补助资金</w:t>
      </w:r>
      <w:r>
        <w:rPr>
          <w:rFonts w:hint="default" w:ascii="Times New Roman" w:hAnsi="Times New Roman" w:eastAsia="方正仿宋_GBK" w:cs="Times New Roman"/>
          <w:sz w:val="32"/>
          <w:szCs w:val="32"/>
          <w:lang w:val="zh-CN"/>
        </w:rPr>
        <w:t>，不足部分由</w:t>
      </w:r>
      <w:r>
        <w:rPr>
          <w:rFonts w:hint="eastAsia" w:ascii="Times New Roman" w:hAnsi="Times New Roman" w:eastAsia="方正仿宋_GBK" w:cs="Times New Roman"/>
          <w:sz w:val="32"/>
          <w:szCs w:val="32"/>
          <w:lang w:val="zh-CN"/>
        </w:rPr>
        <w:t>区级财政统筹解决</w:t>
      </w:r>
      <w:r>
        <w:rPr>
          <w:rFonts w:hint="default" w:ascii="Times New Roman" w:hAnsi="Times New Roman" w:eastAsia="方正仿宋_GBK" w:cs="Times New Roman"/>
          <w:sz w:val="32"/>
          <w:szCs w:val="32"/>
          <w:lang w:val="zh-CN"/>
        </w:rPr>
        <w:t>。</w:t>
      </w:r>
    </w:p>
    <w:p w14:paraId="70A9DE33">
      <w:pPr>
        <w:pStyle w:val="5"/>
        <w:keepNext w:val="0"/>
        <w:keepLines w:val="0"/>
        <w:pageBreakBefore w:val="0"/>
        <w:widowControl w:val="0"/>
        <w:kinsoku/>
        <w:wordWrap/>
        <w:overflowPunct/>
        <w:topLinePunct w:val="0"/>
        <w:autoSpaceDE/>
        <w:autoSpaceDN/>
        <w:bidi w:val="0"/>
        <w:spacing w:line="575"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黑体_GBK" w:cs="Times New Roman"/>
          <w:sz w:val="32"/>
          <w:szCs w:val="32"/>
          <w:lang w:eastAsia="zh-CN"/>
        </w:rPr>
        <w:t>六</w:t>
      </w:r>
      <w:r>
        <w:rPr>
          <w:rFonts w:hint="default" w:ascii="Times New Roman" w:hAnsi="Times New Roman" w:eastAsia="方正黑体_GBK" w:cs="Times New Roman"/>
          <w:sz w:val="32"/>
          <w:szCs w:val="32"/>
        </w:rPr>
        <w:t>、招标核准：</w:t>
      </w:r>
      <w:r>
        <w:rPr>
          <w:rFonts w:hint="default" w:ascii="Times New Roman" w:hAnsi="Times New Roman" w:eastAsia="方正仿宋_GBK" w:cs="Times New Roman"/>
          <w:sz w:val="32"/>
          <w:szCs w:val="32"/>
        </w:rPr>
        <w:t>本项目的招标范围为工程施工，勘察、设计、监理等与工程建设有关的服务，以及与工程建设有关的重要设备、材料的采购等。</w:t>
      </w:r>
      <w:r>
        <w:rPr>
          <w:rFonts w:hint="eastAsia" w:ascii="Times New Roman" w:hAnsi="Times New Roman" w:eastAsia="方正仿宋_GBK" w:cs="Times New Roman"/>
          <w:sz w:val="32"/>
          <w:szCs w:val="32"/>
          <w:lang w:eastAsia="zh-CN"/>
        </w:rPr>
        <w:t>按照招标投标法相关规定，依法必须招标的，</w:t>
      </w:r>
      <w:r>
        <w:rPr>
          <w:rFonts w:hint="default" w:ascii="Times New Roman" w:hAnsi="Times New Roman" w:eastAsia="方正仿宋_GBK" w:cs="Times New Roman"/>
          <w:sz w:val="32"/>
          <w:szCs w:val="32"/>
        </w:rPr>
        <w:t>招标方式为公开招标，招标组织形式为委托招标。招标公告在指定媒介公开发布。</w:t>
      </w:r>
    </w:p>
    <w:p w14:paraId="5C103CA2">
      <w:pPr>
        <w:pStyle w:val="5"/>
        <w:keepNext w:val="0"/>
        <w:keepLines w:val="0"/>
        <w:pageBreakBefore w:val="0"/>
        <w:widowControl w:val="0"/>
        <w:kinsoku/>
        <w:wordWrap/>
        <w:overflowPunct/>
        <w:topLinePunct w:val="0"/>
        <w:autoSpaceDE/>
        <w:autoSpaceDN/>
        <w:bidi w:val="0"/>
        <w:spacing w:line="575"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黑体_GBK" w:cs="Times New Roman"/>
          <w:sz w:val="32"/>
          <w:szCs w:val="32"/>
          <w:lang w:eastAsia="zh-CN"/>
        </w:rPr>
        <w:t>七</w:t>
      </w:r>
      <w:r>
        <w:rPr>
          <w:rFonts w:hint="default" w:ascii="Times New Roman" w:hAnsi="Times New Roman" w:eastAsia="方正黑体_GBK" w:cs="Times New Roman"/>
          <w:sz w:val="32"/>
          <w:szCs w:val="32"/>
        </w:rPr>
        <w:t>、有关事项：</w:t>
      </w:r>
      <w:r>
        <w:rPr>
          <w:rFonts w:hint="default" w:ascii="Times New Roman" w:hAnsi="Times New Roman" w:eastAsia="方正仿宋_GBK" w:cs="Times New Roman"/>
          <w:sz w:val="32"/>
          <w:szCs w:val="32"/>
        </w:rPr>
        <w:t>请你单位根据本批复，结合项目可行性研究报告评估意见，进一步深化初步设计等前期工作，及时将投资概算报送我委审批。要严格执行项目法人责任制、招标投标制、工程监理制、合同管理制，严格控制工程投资标准，防止工程超概。</w:t>
      </w:r>
    </w:p>
    <w:p w14:paraId="01E771BB">
      <w:pPr>
        <w:pStyle w:val="5"/>
        <w:keepNext w:val="0"/>
        <w:keepLines w:val="0"/>
        <w:pageBreakBefore w:val="0"/>
        <w:widowControl w:val="0"/>
        <w:kinsoku/>
        <w:wordWrap/>
        <w:overflowPunct/>
        <w:topLinePunct w:val="0"/>
        <w:autoSpaceDE/>
        <w:autoSpaceDN/>
        <w:bidi w:val="0"/>
        <w:spacing w:line="575" w:lineRule="exact"/>
        <w:ind w:firstLine="640" w:firstLineChars="200"/>
        <w:textAlignment w:val="auto"/>
        <w:rPr>
          <w:rFonts w:hint="default" w:ascii="Times New Roman" w:hAnsi="Times New Roman" w:eastAsia="方正仿宋_GBK" w:cs="Times New Roman"/>
          <w:sz w:val="32"/>
          <w:szCs w:val="32"/>
        </w:rPr>
      </w:pPr>
    </w:p>
    <w:p w14:paraId="28114FAD">
      <w:pPr>
        <w:pStyle w:val="5"/>
        <w:keepNext w:val="0"/>
        <w:keepLines w:val="0"/>
        <w:pageBreakBefore w:val="0"/>
        <w:widowControl w:val="0"/>
        <w:kinsoku/>
        <w:wordWrap/>
        <w:overflowPunct/>
        <w:topLinePunct w:val="0"/>
        <w:autoSpaceDE/>
        <w:autoSpaceDN/>
        <w:bidi w:val="0"/>
        <w:spacing w:line="575" w:lineRule="exact"/>
        <w:ind w:firstLine="640" w:firstLineChars="200"/>
        <w:textAlignment w:val="auto"/>
        <w:rPr>
          <w:rFonts w:hint="default" w:ascii="Times New Roman" w:hAnsi="Times New Roman" w:eastAsia="方正仿宋_GBK" w:cs="Times New Roman"/>
          <w:sz w:val="32"/>
          <w:szCs w:val="32"/>
        </w:rPr>
      </w:pPr>
    </w:p>
    <w:p w14:paraId="0D1F4062">
      <w:pPr>
        <w:keepNext w:val="0"/>
        <w:keepLines w:val="0"/>
        <w:pageBreakBefore w:val="0"/>
        <w:widowControl w:val="0"/>
        <w:kinsoku/>
        <w:wordWrap/>
        <w:overflowPunct/>
        <w:topLinePunct w:val="0"/>
        <w:autoSpaceDE/>
        <w:autoSpaceDN/>
        <w:bidi w:val="0"/>
        <w:spacing w:line="575" w:lineRule="exact"/>
        <w:ind w:left="1598" w:leftChars="304" w:hanging="960" w:hangingChars="3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附件：黔江区2026年“四好农村路”城南街道南沟社区打狗湾至黑山社区邬家院子道路工程投资估算表</w:t>
      </w:r>
    </w:p>
    <w:p w14:paraId="217462AE">
      <w:pPr>
        <w:pStyle w:val="2"/>
        <w:rPr>
          <w:rFonts w:hint="default"/>
          <w:lang w:eastAsia="zh-CN"/>
        </w:rPr>
      </w:pPr>
    </w:p>
    <w:p w14:paraId="0099ABB9">
      <w:pPr>
        <w:pStyle w:val="2"/>
        <w:rPr>
          <w:rFonts w:hint="default"/>
          <w:lang w:eastAsia="zh-CN"/>
        </w:rPr>
      </w:pPr>
    </w:p>
    <w:p w14:paraId="68874FFF">
      <w:pPr>
        <w:spacing w:line="500" w:lineRule="exact"/>
        <w:ind w:firstLine="4160" w:firstLineChars="13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重庆市黔江区发展和改革委员会</w:t>
      </w:r>
    </w:p>
    <w:p w14:paraId="4A446BC5">
      <w:pPr>
        <w:spacing w:line="500" w:lineRule="exact"/>
        <w:rPr>
          <w:rFonts w:hint="default" w:ascii="Times New Roman" w:hAnsi="Times New Roman" w:eastAsia="方正仿宋_GBK" w:cs="Times New Roman"/>
          <w:sz w:val="28"/>
          <w:szCs w:val="28"/>
        </w:rPr>
      </w:pPr>
      <w:r>
        <w:rPr>
          <w:rFonts w:hint="default" w:ascii="Times New Roman" w:hAnsi="Times New Roman" w:eastAsia="方正仿宋_GBK" w:cs="Times New Roman"/>
          <w:sz w:val="32"/>
          <w:szCs w:val="32"/>
          <w:lang w:eastAsia="zh-CN"/>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 xml:space="preserve">  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年</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eastAsia="zh-CN"/>
        </w:rPr>
        <w:t>月</w:t>
      </w:r>
      <w:r>
        <w:rPr>
          <w:rFonts w:hint="eastAsia" w:ascii="Times New Roman" w:hAnsi="Times New Roman" w:eastAsia="方正仿宋_GBK" w:cs="Times New Roman"/>
          <w:sz w:val="32"/>
          <w:szCs w:val="32"/>
          <w:lang w:val="en-US" w:eastAsia="zh-CN"/>
        </w:rPr>
        <w:t>27</w:t>
      </w:r>
      <w:r>
        <w:rPr>
          <w:rFonts w:hint="default" w:ascii="Times New Roman" w:hAnsi="Times New Roman" w:eastAsia="方正仿宋_GBK" w:cs="Times New Roman"/>
          <w:sz w:val="32"/>
          <w:szCs w:val="32"/>
          <w:lang w:eastAsia="zh-CN"/>
        </w:rPr>
        <w:t>日</w:t>
      </w:r>
    </w:p>
    <w:p w14:paraId="15080E53">
      <w:pPr>
        <w:pStyle w:val="5"/>
        <w:spacing w:line="500" w:lineRule="exact"/>
        <w:rPr>
          <w:rFonts w:hint="default" w:ascii="Times New Roman" w:hAnsi="Times New Roman" w:eastAsia="方正仿宋_GBK" w:cs="Times New Roman"/>
          <w:sz w:val="28"/>
          <w:szCs w:val="28"/>
        </w:rPr>
      </w:pPr>
    </w:p>
    <w:p w14:paraId="1855ED9C">
      <w:pPr>
        <w:pStyle w:val="5"/>
        <w:spacing w:line="500" w:lineRule="exact"/>
        <w:ind w:firstLine="280" w:firstLineChars="100"/>
        <w:rPr>
          <w:rFonts w:hint="default" w:ascii="Times New Roman" w:hAnsi="Times New Roman" w:eastAsia="方正仿宋_GBK" w:cs="Times New Roman"/>
          <w:sz w:val="28"/>
          <w:szCs w:val="28"/>
        </w:rPr>
      </w:pPr>
    </w:p>
    <w:p w14:paraId="14648979">
      <w:pPr>
        <w:pStyle w:val="5"/>
        <w:spacing w:line="500" w:lineRule="exact"/>
        <w:ind w:firstLine="280" w:firstLineChars="100"/>
        <w:rPr>
          <w:rFonts w:hint="default" w:ascii="Times New Roman" w:hAnsi="Times New Roman" w:eastAsia="方正仿宋_GBK" w:cs="Times New Roman"/>
          <w:sz w:val="28"/>
          <w:szCs w:val="28"/>
        </w:rPr>
      </w:pPr>
    </w:p>
    <w:p w14:paraId="11D04CDB">
      <w:pPr>
        <w:pStyle w:val="5"/>
        <w:spacing w:line="500" w:lineRule="exact"/>
        <w:ind w:firstLine="280" w:firstLineChars="100"/>
        <w:rPr>
          <w:rFonts w:hint="default" w:ascii="Times New Roman" w:hAnsi="Times New Roman" w:eastAsia="方正仿宋_GBK" w:cs="Times New Roman"/>
          <w:sz w:val="28"/>
          <w:szCs w:val="28"/>
        </w:rPr>
      </w:pPr>
    </w:p>
    <w:p w14:paraId="60BA11CD">
      <w:pPr>
        <w:pStyle w:val="5"/>
        <w:spacing w:line="500" w:lineRule="exact"/>
        <w:ind w:firstLine="280" w:firstLineChars="100"/>
        <w:rPr>
          <w:rFonts w:hint="default" w:ascii="Times New Roman" w:hAnsi="Times New Roman" w:eastAsia="方正仿宋_GBK" w:cs="Times New Roman"/>
          <w:sz w:val="28"/>
          <w:szCs w:val="28"/>
        </w:rPr>
      </w:pPr>
    </w:p>
    <w:p w14:paraId="5F91FAB1">
      <w:pPr>
        <w:pStyle w:val="5"/>
        <w:spacing w:line="500" w:lineRule="exact"/>
        <w:ind w:firstLine="280" w:firstLineChars="100"/>
        <w:rPr>
          <w:rFonts w:hint="default" w:ascii="Times New Roman" w:hAnsi="Times New Roman" w:eastAsia="方正仿宋_GBK" w:cs="Times New Roman"/>
          <w:sz w:val="28"/>
          <w:szCs w:val="28"/>
        </w:rPr>
      </w:pPr>
    </w:p>
    <w:p w14:paraId="11467F26">
      <w:pPr>
        <w:pStyle w:val="5"/>
        <w:spacing w:line="500" w:lineRule="exact"/>
        <w:ind w:firstLine="280" w:firstLineChars="100"/>
        <w:rPr>
          <w:rFonts w:hint="default" w:ascii="Times New Roman" w:hAnsi="Times New Roman" w:eastAsia="方正仿宋_GBK" w:cs="Times New Roman"/>
          <w:sz w:val="28"/>
          <w:szCs w:val="28"/>
        </w:rPr>
      </w:pPr>
    </w:p>
    <w:p w14:paraId="1E414AAE">
      <w:pPr>
        <w:pStyle w:val="5"/>
        <w:spacing w:line="500" w:lineRule="exact"/>
        <w:ind w:firstLine="280" w:firstLineChars="100"/>
        <w:rPr>
          <w:rFonts w:hint="default" w:ascii="Times New Roman" w:hAnsi="Times New Roman" w:eastAsia="方正仿宋_GBK" w:cs="Times New Roman"/>
          <w:sz w:val="28"/>
          <w:szCs w:val="28"/>
        </w:rPr>
      </w:pPr>
    </w:p>
    <w:p w14:paraId="3E5C050C">
      <w:pPr>
        <w:pStyle w:val="5"/>
        <w:spacing w:line="500" w:lineRule="exact"/>
        <w:ind w:firstLine="280" w:firstLineChars="100"/>
        <w:rPr>
          <w:rFonts w:hint="default" w:ascii="Times New Roman" w:hAnsi="Times New Roman" w:eastAsia="方正仿宋_GBK" w:cs="Times New Roman"/>
          <w:sz w:val="28"/>
          <w:szCs w:val="28"/>
        </w:rPr>
      </w:pPr>
    </w:p>
    <w:p w14:paraId="451EEB7F">
      <w:pPr>
        <w:pStyle w:val="5"/>
        <w:spacing w:line="500" w:lineRule="exact"/>
        <w:ind w:firstLine="280" w:firstLineChars="100"/>
        <w:rPr>
          <w:rFonts w:hint="default" w:ascii="Times New Roman" w:hAnsi="Times New Roman" w:eastAsia="方正仿宋_GBK" w:cs="Times New Roman"/>
          <w:sz w:val="28"/>
          <w:szCs w:val="28"/>
        </w:rPr>
      </w:pPr>
    </w:p>
    <w:p w14:paraId="7BF69C66">
      <w:pPr>
        <w:pStyle w:val="5"/>
        <w:spacing w:line="500" w:lineRule="exact"/>
        <w:ind w:firstLine="280" w:firstLineChars="100"/>
        <w:rPr>
          <w:rFonts w:hint="default" w:ascii="Times New Roman" w:hAnsi="Times New Roman" w:eastAsia="方正仿宋_GBK" w:cs="Times New Roman"/>
          <w:sz w:val="28"/>
          <w:szCs w:val="28"/>
        </w:rPr>
      </w:pPr>
    </w:p>
    <w:p w14:paraId="40AB1FDE">
      <w:pPr>
        <w:pStyle w:val="5"/>
        <w:spacing w:line="500" w:lineRule="exact"/>
        <w:ind w:firstLine="280" w:firstLineChars="100"/>
        <w:rPr>
          <w:rFonts w:hint="default" w:ascii="Times New Roman" w:hAnsi="Times New Roman" w:eastAsia="方正仿宋_GBK" w:cs="Times New Roman"/>
          <w:sz w:val="28"/>
          <w:szCs w:val="28"/>
        </w:rPr>
      </w:pPr>
    </w:p>
    <w:p w14:paraId="020EC932">
      <w:pPr>
        <w:pStyle w:val="5"/>
        <w:spacing w:line="500" w:lineRule="exact"/>
        <w:ind w:firstLine="280" w:firstLineChars="100"/>
        <w:rPr>
          <w:rFonts w:hint="default" w:ascii="Times New Roman" w:hAnsi="Times New Roman" w:eastAsia="方正仿宋_GBK" w:cs="Times New Roman"/>
          <w:sz w:val="28"/>
          <w:szCs w:val="28"/>
        </w:rPr>
      </w:pPr>
    </w:p>
    <w:p w14:paraId="184DBB20">
      <w:pPr>
        <w:pStyle w:val="5"/>
        <w:spacing w:line="500" w:lineRule="exact"/>
        <w:ind w:firstLine="280" w:firstLineChars="100"/>
        <w:rPr>
          <w:rFonts w:hint="default" w:ascii="Times New Roman" w:hAnsi="Times New Roman" w:eastAsia="方正仿宋_GBK" w:cs="Times New Roman"/>
          <w:sz w:val="28"/>
          <w:szCs w:val="28"/>
        </w:rPr>
      </w:pPr>
    </w:p>
    <w:p w14:paraId="7DB48AB2">
      <w:pPr>
        <w:pStyle w:val="5"/>
        <w:spacing w:line="500" w:lineRule="exact"/>
        <w:ind w:firstLine="280" w:firstLineChars="100"/>
        <w:rPr>
          <w:rFonts w:hint="default" w:ascii="Times New Roman" w:hAnsi="Times New Roman" w:eastAsia="方正仿宋_GBK" w:cs="Times New Roman"/>
          <w:sz w:val="28"/>
          <w:szCs w:val="28"/>
        </w:rPr>
      </w:pPr>
    </w:p>
    <w:p w14:paraId="7EE8271D">
      <w:pPr>
        <w:pStyle w:val="5"/>
        <w:spacing w:line="500" w:lineRule="exact"/>
        <w:ind w:firstLine="280" w:firstLineChars="100"/>
        <w:rPr>
          <w:rFonts w:hint="default" w:ascii="Times New Roman" w:hAnsi="Times New Roman" w:eastAsia="方正仿宋_GBK" w:cs="Times New Roman"/>
          <w:sz w:val="28"/>
          <w:szCs w:val="28"/>
        </w:rPr>
      </w:pPr>
    </w:p>
    <w:p w14:paraId="4E7C1821">
      <w:pPr>
        <w:pStyle w:val="5"/>
        <w:spacing w:line="5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3CC6CF97">
      <w:pPr>
        <w:pStyle w:val="5"/>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default" w:ascii="Times New Roman" w:hAnsi="Times New Roman" w:eastAsia="方正小标宋_GBK" w:cs="Times New Roman"/>
          <w:sz w:val="36"/>
          <w:szCs w:val="36"/>
          <w:lang w:eastAsia="zh-CN"/>
        </w:rPr>
      </w:pPr>
      <w:r>
        <w:rPr>
          <w:rFonts w:hint="default" w:ascii="Times New Roman" w:hAnsi="Times New Roman" w:eastAsia="方正小标宋_GBK" w:cs="Times New Roman"/>
          <w:sz w:val="36"/>
          <w:szCs w:val="36"/>
          <w:lang w:eastAsia="zh-CN"/>
        </w:rPr>
        <w:t>黔江区2026年“四好农村路”城南街道南沟社区</w:t>
      </w:r>
    </w:p>
    <w:p w14:paraId="687E766E">
      <w:pPr>
        <w:pStyle w:val="5"/>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lang w:eastAsia="zh-CN"/>
        </w:rPr>
        <w:t>打狗湾至黑山社区邬家院子道路工程</w:t>
      </w:r>
      <w:r>
        <w:rPr>
          <w:rFonts w:hint="default" w:ascii="Times New Roman" w:hAnsi="Times New Roman" w:eastAsia="方正小标宋_GBK" w:cs="Times New Roman"/>
          <w:sz w:val="36"/>
          <w:szCs w:val="36"/>
        </w:rPr>
        <w:t>投资估算表</w:t>
      </w:r>
    </w:p>
    <w:p w14:paraId="10C3887E">
      <w:pPr>
        <w:pStyle w:val="5"/>
        <w:jc w:val="center"/>
        <w:rPr>
          <w:rFonts w:hint="default" w:ascii="Times New Roman" w:hAnsi="Times New Roman" w:eastAsia="方正小标宋_GBK" w:cs="Times New Roman"/>
          <w:sz w:val="36"/>
          <w:szCs w:val="36"/>
        </w:rPr>
      </w:pPr>
    </w:p>
    <w:tbl>
      <w:tblPr>
        <w:tblStyle w:val="10"/>
        <w:tblW w:w="879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1"/>
        <w:gridCol w:w="5655"/>
        <w:gridCol w:w="2175"/>
      </w:tblGrid>
      <w:tr w14:paraId="48750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961" w:type="dxa"/>
            <w:tcBorders>
              <w:top w:val="single" w:color="000000" w:sz="4" w:space="0"/>
              <w:left w:val="single" w:color="000000" w:sz="4" w:space="0"/>
              <w:bottom w:val="single" w:color="000000" w:sz="4" w:space="0"/>
              <w:right w:val="single" w:color="000000" w:sz="4" w:space="0"/>
            </w:tcBorders>
            <w:noWrap w:val="0"/>
            <w:vAlign w:val="center"/>
          </w:tcPr>
          <w:p w14:paraId="0325B173">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序 号</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69A5D470">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工程或费用名称</w:t>
            </w:r>
          </w:p>
        </w:tc>
        <w:tc>
          <w:tcPr>
            <w:tcW w:w="2175" w:type="dxa"/>
            <w:tcBorders>
              <w:top w:val="single" w:color="000000" w:sz="4" w:space="0"/>
              <w:left w:val="single" w:color="000000" w:sz="4" w:space="0"/>
              <w:bottom w:val="single" w:color="000000" w:sz="4" w:space="0"/>
              <w:right w:val="single" w:color="000000" w:sz="4" w:space="0"/>
            </w:tcBorders>
            <w:noWrap w:val="0"/>
            <w:vAlign w:val="center"/>
          </w:tcPr>
          <w:p w14:paraId="7D6960E1">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金额（万元）</w:t>
            </w:r>
          </w:p>
        </w:tc>
      </w:tr>
      <w:tr w14:paraId="3793E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961" w:type="dxa"/>
            <w:tcBorders>
              <w:top w:val="single" w:color="000000" w:sz="4" w:space="0"/>
              <w:left w:val="single" w:color="000000" w:sz="4" w:space="0"/>
              <w:bottom w:val="single" w:color="000000" w:sz="4" w:space="0"/>
              <w:right w:val="single" w:color="000000" w:sz="4" w:space="0"/>
            </w:tcBorders>
            <w:noWrap w:val="0"/>
            <w:vAlign w:val="center"/>
          </w:tcPr>
          <w:p w14:paraId="3FFB7642">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lang w:val="en-US" w:eastAsia="zh-CN" w:bidi="ar"/>
              </w:rPr>
              <w:t>一</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3FAE3E77">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工程费用</w:t>
            </w:r>
          </w:p>
        </w:tc>
        <w:tc>
          <w:tcPr>
            <w:tcW w:w="2175" w:type="dxa"/>
            <w:tcBorders>
              <w:top w:val="single" w:color="000000" w:sz="4" w:space="0"/>
              <w:left w:val="single" w:color="000000" w:sz="4" w:space="0"/>
              <w:bottom w:val="single" w:color="000000" w:sz="4" w:space="0"/>
              <w:right w:val="single" w:color="000000" w:sz="4" w:space="0"/>
            </w:tcBorders>
            <w:noWrap w:val="0"/>
            <w:vAlign w:val="center"/>
          </w:tcPr>
          <w:p w14:paraId="00B7DE95">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1751.91 </w:t>
            </w:r>
          </w:p>
        </w:tc>
      </w:tr>
      <w:tr w14:paraId="06DF7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961" w:type="dxa"/>
            <w:tcBorders>
              <w:top w:val="single" w:color="000000" w:sz="4" w:space="0"/>
              <w:left w:val="single" w:color="000000" w:sz="4" w:space="0"/>
              <w:bottom w:val="single" w:color="000000" w:sz="4" w:space="0"/>
              <w:right w:val="single" w:color="000000" w:sz="4" w:space="0"/>
            </w:tcBorders>
            <w:noWrap w:val="0"/>
            <w:vAlign w:val="center"/>
          </w:tcPr>
          <w:p w14:paraId="1B259C5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1D9229B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黔江区2026年“四好农村路”城南街道南沟社区打狗湾至黑山社区邬家院子道路工程</w:t>
            </w:r>
          </w:p>
        </w:tc>
        <w:tc>
          <w:tcPr>
            <w:tcW w:w="2175" w:type="dxa"/>
            <w:tcBorders>
              <w:top w:val="single" w:color="000000" w:sz="4" w:space="0"/>
              <w:left w:val="single" w:color="000000" w:sz="4" w:space="0"/>
              <w:bottom w:val="single" w:color="000000" w:sz="4" w:space="0"/>
              <w:right w:val="single" w:color="000000" w:sz="4" w:space="0"/>
            </w:tcBorders>
            <w:noWrap w:val="0"/>
            <w:vAlign w:val="center"/>
          </w:tcPr>
          <w:p w14:paraId="713927B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1751.91 </w:t>
            </w:r>
          </w:p>
        </w:tc>
      </w:tr>
      <w:tr w14:paraId="32538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61" w:type="dxa"/>
            <w:tcBorders>
              <w:top w:val="single" w:color="000000" w:sz="4" w:space="0"/>
              <w:left w:val="single" w:color="000000" w:sz="4" w:space="0"/>
              <w:bottom w:val="single" w:color="000000" w:sz="4" w:space="0"/>
              <w:right w:val="single" w:color="000000" w:sz="4" w:space="0"/>
            </w:tcBorders>
            <w:noWrap w:val="0"/>
            <w:vAlign w:val="center"/>
          </w:tcPr>
          <w:p w14:paraId="7D54F9BD">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lang w:val="en-US" w:eastAsia="zh-CN" w:bidi="ar"/>
              </w:rPr>
              <w:t>二</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27E1AD76">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工程建设其他费用</w:t>
            </w:r>
          </w:p>
        </w:tc>
        <w:tc>
          <w:tcPr>
            <w:tcW w:w="2175" w:type="dxa"/>
            <w:tcBorders>
              <w:top w:val="single" w:color="000000" w:sz="4" w:space="0"/>
              <w:left w:val="single" w:color="000000" w:sz="4" w:space="0"/>
              <w:bottom w:val="single" w:color="000000" w:sz="4" w:space="0"/>
              <w:right w:val="single" w:color="000000" w:sz="4" w:space="0"/>
            </w:tcBorders>
            <w:noWrap w:val="0"/>
            <w:vAlign w:val="center"/>
          </w:tcPr>
          <w:p w14:paraId="7F6318EB">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171.53 </w:t>
            </w:r>
          </w:p>
        </w:tc>
      </w:tr>
      <w:tr w14:paraId="1A8AE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61" w:type="dxa"/>
            <w:tcBorders>
              <w:top w:val="single" w:color="000000" w:sz="4" w:space="0"/>
              <w:left w:val="single" w:color="000000" w:sz="4" w:space="0"/>
              <w:bottom w:val="single" w:color="000000" w:sz="4" w:space="0"/>
              <w:right w:val="single" w:color="000000" w:sz="4" w:space="0"/>
            </w:tcBorders>
            <w:noWrap w:val="0"/>
            <w:vAlign w:val="center"/>
          </w:tcPr>
          <w:p w14:paraId="1C895EC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1BDF951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建设单位（业主）管理费</w:t>
            </w:r>
          </w:p>
        </w:tc>
        <w:tc>
          <w:tcPr>
            <w:tcW w:w="2175" w:type="dxa"/>
            <w:tcBorders>
              <w:top w:val="single" w:color="000000" w:sz="4" w:space="0"/>
              <w:left w:val="single" w:color="000000" w:sz="4" w:space="0"/>
              <w:bottom w:val="single" w:color="000000" w:sz="4" w:space="0"/>
              <w:right w:val="single" w:color="000000" w:sz="4" w:space="0"/>
            </w:tcBorders>
            <w:noWrap w:val="0"/>
            <w:vAlign w:val="center"/>
          </w:tcPr>
          <w:p w14:paraId="05A9659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64.35 </w:t>
            </w:r>
          </w:p>
        </w:tc>
      </w:tr>
      <w:tr w14:paraId="4833F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61" w:type="dxa"/>
            <w:tcBorders>
              <w:top w:val="single" w:color="000000" w:sz="4" w:space="0"/>
              <w:left w:val="single" w:color="000000" w:sz="4" w:space="0"/>
              <w:bottom w:val="single" w:color="000000" w:sz="4" w:space="0"/>
              <w:right w:val="single" w:color="000000" w:sz="4" w:space="0"/>
            </w:tcBorders>
            <w:noWrap w:val="0"/>
            <w:vAlign w:val="center"/>
          </w:tcPr>
          <w:p w14:paraId="6D36005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26BEE0D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建设项目信息化费</w:t>
            </w:r>
          </w:p>
        </w:tc>
        <w:tc>
          <w:tcPr>
            <w:tcW w:w="2175" w:type="dxa"/>
            <w:tcBorders>
              <w:top w:val="single" w:color="000000" w:sz="4" w:space="0"/>
              <w:left w:val="single" w:color="000000" w:sz="4" w:space="0"/>
              <w:bottom w:val="single" w:color="000000" w:sz="4" w:space="0"/>
              <w:right w:val="single" w:color="000000" w:sz="4" w:space="0"/>
            </w:tcBorders>
            <w:noWrap w:val="0"/>
            <w:vAlign w:val="center"/>
          </w:tcPr>
          <w:p w14:paraId="4EF225A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7.71 </w:t>
            </w:r>
          </w:p>
        </w:tc>
      </w:tr>
      <w:tr w14:paraId="2D88D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61" w:type="dxa"/>
            <w:tcBorders>
              <w:top w:val="single" w:color="000000" w:sz="4" w:space="0"/>
              <w:left w:val="single" w:color="000000" w:sz="4" w:space="0"/>
              <w:bottom w:val="single" w:color="000000" w:sz="4" w:space="0"/>
              <w:right w:val="single" w:color="000000" w:sz="4" w:space="0"/>
            </w:tcBorders>
            <w:noWrap w:val="0"/>
            <w:vAlign w:val="center"/>
          </w:tcPr>
          <w:p w14:paraId="7957381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21C7A61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工程监理费</w:t>
            </w:r>
          </w:p>
        </w:tc>
        <w:tc>
          <w:tcPr>
            <w:tcW w:w="2175" w:type="dxa"/>
            <w:tcBorders>
              <w:top w:val="single" w:color="000000" w:sz="4" w:space="0"/>
              <w:left w:val="single" w:color="000000" w:sz="4" w:space="0"/>
              <w:bottom w:val="single" w:color="000000" w:sz="4" w:space="0"/>
              <w:right w:val="single" w:color="000000" w:sz="4" w:space="0"/>
            </w:tcBorders>
            <w:noWrap w:val="0"/>
            <w:vAlign w:val="center"/>
          </w:tcPr>
          <w:p w14:paraId="728368D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41.46 </w:t>
            </w:r>
          </w:p>
        </w:tc>
      </w:tr>
      <w:tr w14:paraId="3C29A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61" w:type="dxa"/>
            <w:tcBorders>
              <w:top w:val="single" w:color="000000" w:sz="4" w:space="0"/>
              <w:left w:val="single" w:color="000000" w:sz="4" w:space="0"/>
              <w:bottom w:val="single" w:color="000000" w:sz="4" w:space="0"/>
              <w:right w:val="single" w:color="000000" w:sz="4" w:space="0"/>
            </w:tcBorders>
            <w:noWrap w:val="0"/>
            <w:vAlign w:val="center"/>
          </w:tcPr>
          <w:p w14:paraId="4A5A0E5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4</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629A26A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设计文件审查费</w:t>
            </w:r>
          </w:p>
        </w:tc>
        <w:tc>
          <w:tcPr>
            <w:tcW w:w="2175" w:type="dxa"/>
            <w:tcBorders>
              <w:top w:val="single" w:color="000000" w:sz="4" w:space="0"/>
              <w:left w:val="single" w:color="000000" w:sz="4" w:space="0"/>
              <w:bottom w:val="single" w:color="000000" w:sz="4" w:space="0"/>
              <w:right w:val="single" w:color="000000" w:sz="4" w:space="0"/>
            </w:tcBorders>
            <w:noWrap w:val="0"/>
            <w:vAlign w:val="center"/>
          </w:tcPr>
          <w:p w14:paraId="06137B9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1.30 </w:t>
            </w:r>
          </w:p>
        </w:tc>
      </w:tr>
      <w:tr w14:paraId="5D56F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61" w:type="dxa"/>
            <w:tcBorders>
              <w:top w:val="single" w:color="000000" w:sz="4" w:space="0"/>
              <w:left w:val="single" w:color="000000" w:sz="4" w:space="0"/>
              <w:bottom w:val="single" w:color="000000" w:sz="4" w:space="0"/>
              <w:right w:val="single" w:color="000000" w:sz="4" w:space="0"/>
            </w:tcBorders>
            <w:noWrap w:val="0"/>
            <w:vAlign w:val="center"/>
          </w:tcPr>
          <w:p w14:paraId="68A8BFB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5</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7C6FB52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竣（交）工验收试验检测费</w:t>
            </w:r>
          </w:p>
        </w:tc>
        <w:tc>
          <w:tcPr>
            <w:tcW w:w="2175" w:type="dxa"/>
            <w:tcBorders>
              <w:top w:val="single" w:color="000000" w:sz="4" w:space="0"/>
              <w:left w:val="single" w:color="000000" w:sz="4" w:space="0"/>
              <w:bottom w:val="single" w:color="000000" w:sz="4" w:space="0"/>
              <w:right w:val="single" w:color="000000" w:sz="4" w:space="0"/>
            </w:tcBorders>
            <w:noWrap w:val="0"/>
            <w:vAlign w:val="center"/>
          </w:tcPr>
          <w:p w14:paraId="26A6EFD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3.64 </w:t>
            </w:r>
          </w:p>
        </w:tc>
      </w:tr>
      <w:tr w14:paraId="11E96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61" w:type="dxa"/>
            <w:tcBorders>
              <w:top w:val="single" w:color="000000" w:sz="4" w:space="0"/>
              <w:left w:val="single" w:color="000000" w:sz="4" w:space="0"/>
              <w:bottom w:val="single" w:color="000000" w:sz="4" w:space="0"/>
              <w:right w:val="single" w:color="000000" w:sz="4" w:space="0"/>
            </w:tcBorders>
            <w:noWrap w:val="0"/>
            <w:vAlign w:val="center"/>
          </w:tcPr>
          <w:p w14:paraId="1BCE996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6</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209E184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建设项目前期工作费</w:t>
            </w:r>
          </w:p>
        </w:tc>
        <w:tc>
          <w:tcPr>
            <w:tcW w:w="2175" w:type="dxa"/>
            <w:tcBorders>
              <w:top w:val="single" w:color="000000" w:sz="4" w:space="0"/>
              <w:left w:val="single" w:color="000000" w:sz="4" w:space="0"/>
              <w:bottom w:val="single" w:color="000000" w:sz="4" w:space="0"/>
              <w:right w:val="single" w:color="000000" w:sz="4" w:space="0"/>
            </w:tcBorders>
            <w:noWrap w:val="0"/>
            <w:vAlign w:val="center"/>
          </w:tcPr>
          <w:p w14:paraId="7A46179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46.06 </w:t>
            </w:r>
          </w:p>
        </w:tc>
      </w:tr>
      <w:tr w14:paraId="21539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61" w:type="dxa"/>
            <w:tcBorders>
              <w:top w:val="single" w:color="000000" w:sz="4" w:space="0"/>
              <w:left w:val="single" w:color="000000" w:sz="4" w:space="0"/>
              <w:bottom w:val="single" w:color="000000" w:sz="4" w:space="0"/>
              <w:right w:val="single" w:color="000000" w:sz="4" w:space="0"/>
            </w:tcBorders>
            <w:noWrap w:val="0"/>
            <w:vAlign w:val="center"/>
          </w:tcPr>
          <w:p w14:paraId="4A40ABE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7</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36AF5EA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工程保险费</w:t>
            </w:r>
          </w:p>
        </w:tc>
        <w:tc>
          <w:tcPr>
            <w:tcW w:w="2175" w:type="dxa"/>
            <w:tcBorders>
              <w:top w:val="single" w:color="000000" w:sz="4" w:space="0"/>
              <w:left w:val="single" w:color="000000" w:sz="4" w:space="0"/>
              <w:bottom w:val="single" w:color="000000" w:sz="4" w:space="0"/>
              <w:right w:val="single" w:color="000000" w:sz="4" w:space="0"/>
            </w:tcBorders>
            <w:noWrap w:val="0"/>
            <w:vAlign w:val="center"/>
          </w:tcPr>
          <w:p w14:paraId="1F5F271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7.01 </w:t>
            </w:r>
          </w:p>
        </w:tc>
      </w:tr>
      <w:tr w14:paraId="2FBEA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61" w:type="dxa"/>
            <w:tcBorders>
              <w:top w:val="single" w:color="000000" w:sz="4" w:space="0"/>
              <w:left w:val="single" w:color="000000" w:sz="4" w:space="0"/>
              <w:bottom w:val="single" w:color="000000" w:sz="4" w:space="0"/>
              <w:right w:val="single" w:color="000000" w:sz="4" w:space="0"/>
            </w:tcBorders>
            <w:noWrap w:val="0"/>
            <w:vAlign w:val="center"/>
          </w:tcPr>
          <w:p w14:paraId="78C8204F">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lang w:val="en-US" w:eastAsia="zh-CN" w:bidi="ar"/>
              </w:rPr>
              <w:t>三</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00A01D4D">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预备费</w:t>
            </w:r>
          </w:p>
        </w:tc>
        <w:tc>
          <w:tcPr>
            <w:tcW w:w="2175" w:type="dxa"/>
            <w:tcBorders>
              <w:top w:val="single" w:color="000000" w:sz="4" w:space="0"/>
              <w:left w:val="single" w:color="000000" w:sz="4" w:space="0"/>
              <w:bottom w:val="single" w:color="000000" w:sz="4" w:space="0"/>
              <w:right w:val="single" w:color="000000" w:sz="4" w:space="0"/>
            </w:tcBorders>
            <w:noWrap w:val="0"/>
            <w:vAlign w:val="center"/>
          </w:tcPr>
          <w:p w14:paraId="0F408107">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173.11 </w:t>
            </w:r>
          </w:p>
        </w:tc>
      </w:tr>
      <w:tr w14:paraId="10143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61" w:type="dxa"/>
            <w:tcBorders>
              <w:top w:val="single" w:color="000000" w:sz="4" w:space="0"/>
              <w:left w:val="single" w:color="000000" w:sz="4" w:space="0"/>
              <w:bottom w:val="single" w:color="000000" w:sz="4" w:space="0"/>
              <w:right w:val="single" w:color="000000" w:sz="4" w:space="0"/>
            </w:tcBorders>
            <w:noWrap w:val="0"/>
            <w:vAlign w:val="center"/>
          </w:tcPr>
          <w:p w14:paraId="56F0F499">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lang w:val="en-US" w:eastAsia="zh-CN" w:bidi="ar"/>
              </w:rPr>
              <w:t>四</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0FCC190C">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项目总投资</w:t>
            </w:r>
          </w:p>
        </w:tc>
        <w:tc>
          <w:tcPr>
            <w:tcW w:w="2175" w:type="dxa"/>
            <w:tcBorders>
              <w:top w:val="single" w:color="000000" w:sz="4" w:space="0"/>
              <w:left w:val="single" w:color="000000" w:sz="4" w:space="0"/>
              <w:bottom w:val="single" w:color="000000" w:sz="4" w:space="0"/>
              <w:right w:val="single" w:color="000000" w:sz="4" w:space="0"/>
            </w:tcBorders>
            <w:noWrap w:val="0"/>
            <w:vAlign w:val="center"/>
          </w:tcPr>
          <w:p w14:paraId="5D622C78">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2096.55 </w:t>
            </w:r>
          </w:p>
        </w:tc>
      </w:tr>
    </w:tbl>
    <w:p w14:paraId="6A47774E">
      <w:pPr>
        <w:pStyle w:val="5"/>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default" w:ascii="Times New Roman" w:hAnsi="Times New Roman" w:eastAsia="方正黑体_GBK" w:cs="Times New Roman"/>
          <w:sz w:val="32"/>
          <w:szCs w:val="32"/>
          <w:lang w:val="en-US" w:eastAsia="zh-CN"/>
        </w:rPr>
      </w:pPr>
    </w:p>
    <w:p w14:paraId="70C75173">
      <w:pPr>
        <w:pStyle w:val="2"/>
      </w:pPr>
    </w:p>
    <w:p w14:paraId="124E6ADD">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bookmarkStart w:id="0" w:name="_GoBack"/>
      <w:bookmarkEnd w:id="0"/>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7</w:t>
      </w:r>
      <w:r>
        <w:rPr>
          <w:rFonts w:eastAsia="方正仿宋_GBK"/>
          <w:sz w:val="28"/>
          <w:szCs w:val="28"/>
          <w:u w:val="thick"/>
        </w:rPr>
        <w:t>月</w:t>
      </w:r>
      <w:r>
        <w:rPr>
          <w:rFonts w:hint="eastAsia" w:eastAsia="方正仿宋_GBK"/>
          <w:sz w:val="28"/>
          <w:szCs w:val="28"/>
          <w:u w:val="thick"/>
          <w:lang w:val="en-US" w:eastAsia="zh-CN"/>
        </w:rPr>
        <w:t>27</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29D37DF9-22D1-4AA0-A8F3-D75AEEACACE4}"/>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19EDABBC-20CE-46B4-B8A3-E8942F98F393}"/>
  </w:font>
  <w:font w:name="方正楷体_GBK">
    <w:panose1 w:val="03000509000000000000"/>
    <w:charset w:val="86"/>
    <w:family w:val="auto"/>
    <w:pitch w:val="default"/>
    <w:sig w:usb0="00000001" w:usb1="080E0000" w:usb2="00000000" w:usb3="00000000" w:csb0="00040000" w:csb1="00000000"/>
    <w:embedRegular r:id="rId3" w:fontKey="{A207D518-5B60-4893-9446-03679FCD04EB}"/>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4" w:fontKey="{D743D6E7-0ABF-409C-BA37-889B96E5275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3"/>
        <w:rFonts w:hint="eastAsia" w:ascii="宋体" w:hAnsi="宋体" w:cs="宋体"/>
        <w:sz w:val="28"/>
        <w:szCs w:val="28"/>
      </w:rPr>
    </w:pPr>
    <w:r>
      <w:rPr>
        <w:rFonts w:hint="eastAsia" w:ascii="宋体" w:hAnsi="宋体" w:cs="宋体"/>
        <w:sz w:val="28"/>
        <w:szCs w:val="28"/>
      </w:rPr>
      <w:fldChar w:fldCharType="begin"/>
    </w:r>
    <w:r>
      <w:rPr>
        <w:rStyle w:val="13"/>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3"/>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9FA769E"/>
    <w:rsid w:val="0B7A378A"/>
    <w:rsid w:val="0C443D5D"/>
    <w:rsid w:val="0C4A4FFD"/>
    <w:rsid w:val="0CFC0645"/>
    <w:rsid w:val="0D37421D"/>
    <w:rsid w:val="0E090617"/>
    <w:rsid w:val="119A3908"/>
    <w:rsid w:val="14CA633F"/>
    <w:rsid w:val="15636F5B"/>
    <w:rsid w:val="175C5702"/>
    <w:rsid w:val="181B2628"/>
    <w:rsid w:val="18365A0D"/>
    <w:rsid w:val="193E59D1"/>
    <w:rsid w:val="1A261065"/>
    <w:rsid w:val="1F013809"/>
    <w:rsid w:val="1F950368"/>
    <w:rsid w:val="208F215E"/>
    <w:rsid w:val="242A28CA"/>
    <w:rsid w:val="250D18ED"/>
    <w:rsid w:val="254A0970"/>
    <w:rsid w:val="27F93F48"/>
    <w:rsid w:val="28D139F4"/>
    <w:rsid w:val="2AD46A97"/>
    <w:rsid w:val="31A87524"/>
    <w:rsid w:val="34E02B31"/>
    <w:rsid w:val="39705D78"/>
    <w:rsid w:val="397671E0"/>
    <w:rsid w:val="3B007A89"/>
    <w:rsid w:val="3DE43692"/>
    <w:rsid w:val="3EF47EDA"/>
    <w:rsid w:val="40A351EE"/>
    <w:rsid w:val="42212F8E"/>
    <w:rsid w:val="487D33E1"/>
    <w:rsid w:val="4E50267E"/>
    <w:rsid w:val="4F735634"/>
    <w:rsid w:val="4FFB4CF6"/>
    <w:rsid w:val="505A50ED"/>
    <w:rsid w:val="5130612A"/>
    <w:rsid w:val="534E1E00"/>
    <w:rsid w:val="5726180C"/>
    <w:rsid w:val="57A8352A"/>
    <w:rsid w:val="57DD0F68"/>
    <w:rsid w:val="5DFC7A57"/>
    <w:rsid w:val="5F75634D"/>
    <w:rsid w:val="5FFE1A79"/>
    <w:rsid w:val="616F605C"/>
    <w:rsid w:val="653B0AE4"/>
    <w:rsid w:val="66560D21"/>
    <w:rsid w:val="678D70A8"/>
    <w:rsid w:val="6A6C1DE8"/>
    <w:rsid w:val="6AF30A16"/>
    <w:rsid w:val="6BAE6A0F"/>
    <w:rsid w:val="6C68355C"/>
    <w:rsid w:val="6CE440E0"/>
    <w:rsid w:val="6EF61234"/>
    <w:rsid w:val="72141C90"/>
    <w:rsid w:val="764E6BC5"/>
    <w:rsid w:val="78624336"/>
    <w:rsid w:val="798F3B70"/>
    <w:rsid w:val="7AED1855"/>
    <w:rsid w:val="7CE02C9B"/>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customStyle="1" w:styleId="14">
    <w:name w:val="页眉 Char"/>
    <w:basedOn w:val="12"/>
    <w:link w:val="9"/>
    <w:semiHidden/>
    <w:qFormat/>
    <w:locked/>
    <w:uiPriority w:val="0"/>
    <w:rPr>
      <w:rFonts w:eastAsia="宋体"/>
      <w:kern w:val="2"/>
      <w:sz w:val="18"/>
      <w:szCs w:val="18"/>
      <w:lang w:val="en-US" w:eastAsia="zh-CN" w:bidi="ar-SA"/>
    </w:rPr>
  </w:style>
  <w:style w:type="character" w:customStyle="1" w:styleId="15">
    <w:name w:val="font21"/>
    <w:basedOn w:val="12"/>
    <w:qFormat/>
    <w:uiPriority w:val="0"/>
    <w:rPr>
      <w:rFonts w:hint="eastAsia" w:ascii="宋体" w:hAnsi="宋体" w:eastAsia="宋体" w:cs="宋体"/>
      <w:color w:val="000000"/>
      <w:sz w:val="24"/>
      <w:szCs w:val="24"/>
      <w:u w:val="none"/>
    </w:rPr>
  </w:style>
  <w:style w:type="character" w:customStyle="1" w:styleId="16">
    <w:name w:val="font41"/>
    <w:basedOn w:val="12"/>
    <w:qFormat/>
    <w:uiPriority w:val="0"/>
    <w:rPr>
      <w:rFonts w:hint="eastAsia" w:ascii="方正仿宋_GBK" w:hAnsi="方正仿宋_GBK" w:eastAsia="方正仿宋_GBK" w:cs="方正仿宋_GBK"/>
      <w:color w:val="000000"/>
      <w:sz w:val="28"/>
      <w:szCs w:val="28"/>
      <w:u w:val="none"/>
    </w:rPr>
  </w:style>
  <w:style w:type="paragraph" w:customStyle="1" w:styleId="17">
    <w:name w:val="默认段落字体 Para Char Char Char Char"/>
    <w:basedOn w:val="1"/>
    <w:qFormat/>
    <w:uiPriority w:val="0"/>
    <w:rPr>
      <w:szCs w:val="20"/>
    </w:rPr>
  </w:style>
  <w:style w:type="paragraph" w:customStyle="1" w:styleId="18">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9">
    <w:name w:val="font71"/>
    <w:basedOn w:val="12"/>
    <w:qFormat/>
    <w:uiPriority w:val="0"/>
    <w:rPr>
      <w:rFonts w:ascii="方正黑体_GBK" w:hAnsi="方正黑体_GBK" w:eastAsia="方正黑体_GBK" w:cs="方正黑体_GBK"/>
      <w:color w:val="000000"/>
      <w:sz w:val="28"/>
      <w:szCs w:val="28"/>
      <w:u w:val="none"/>
    </w:rPr>
  </w:style>
  <w:style w:type="character" w:customStyle="1" w:styleId="20">
    <w:name w:val="font81"/>
    <w:basedOn w:val="12"/>
    <w:qFormat/>
    <w:uiPriority w:val="0"/>
    <w:rPr>
      <w:rFonts w:ascii="方正楷体_GBK" w:hAnsi="方正楷体_GBK" w:eastAsia="方正楷体_GBK" w:cs="方正楷体_GBK"/>
      <w:b/>
      <w:bCs/>
      <w:color w:val="000000"/>
      <w:sz w:val="24"/>
      <w:szCs w:val="24"/>
      <w:u w:val="none"/>
    </w:rPr>
  </w:style>
  <w:style w:type="character" w:customStyle="1" w:styleId="21">
    <w:name w:val="font91"/>
    <w:basedOn w:val="12"/>
    <w:qFormat/>
    <w:uiPriority w:val="0"/>
    <w:rPr>
      <w:rFonts w:ascii="方正仿宋_GBK" w:hAnsi="方正仿宋_GBK" w:eastAsia="方正仿宋_GBK" w:cs="方正仿宋_GBK"/>
      <w:color w:val="000000"/>
      <w:sz w:val="24"/>
      <w:szCs w:val="24"/>
      <w:u w:val="none"/>
    </w:rPr>
  </w:style>
  <w:style w:type="character" w:customStyle="1" w:styleId="22">
    <w:name w:val="font101"/>
    <w:basedOn w:val="12"/>
    <w:qFormat/>
    <w:uiPriority w:val="0"/>
    <w:rPr>
      <w:rFonts w:hint="eastAsia" w:ascii="方正仿宋_GBK" w:hAnsi="方正仿宋_GBK" w:eastAsia="方正仿宋_GBK" w:cs="方正仿宋_GBK"/>
      <w:color w:val="000000"/>
      <w:sz w:val="24"/>
      <w:szCs w:val="24"/>
      <w:u w:val="none"/>
    </w:rPr>
  </w:style>
  <w:style w:type="character" w:customStyle="1" w:styleId="23">
    <w:name w:val="font61"/>
    <w:basedOn w:val="12"/>
    <w:qFormat/>
    <w:uiPriority w:val="0"/>
    <w:rPr>
      <w:rFonts w:hint="default" w:ascii="Times New Roman" w:hAnsi="Times New Roman" w:cs="Times New Roman"/>
      <w:color w:val="000000"/>
      <w:sz w:val="24"/>
      <w:szCs w:val="24"/>
      <w:u w:val="none"/>
    </w:rPr>
  </w:style>
  <w:style w:type="paragraph" w:customStyle="1" w:styleId="24">
    <w:name w:val="默认"/>
    <w:qFormat/>
    <w:uiPriority w:val="0"/>
    <w:rPr>
      <w:rFonts w:ascii="Helvetica" w:hAnsi="Helvetica" w:eastAsia="Helvetica" w:cs="Helvetica"/>
      <w:color w:val="000000"/>
      <w:sz w:val="22"/>
      <w:szCs w:val="22"/>
      <w:lang w:val="en-US" w:eastAsia="zh-CN" w:bidi="ar-SA"/>
    </w:rPr>
  </w:style>
  <w:style w:type="paragraph" w:customStyle="1" w:styleId="25">
    <w:name w:val="_Style 5"/>
    <w:basedOn w:val="1"/>
    <w:qFormat/>
    <w:uiPriority w:val="0"/>
  </w:style>
  <w:style w:type="character" w:customStyle="1" w:styleId="26">
    <w:name w:val="font51"/>
    <w:basedOn w:val="12"/>
    <w:uiPriority w:val="0"/>
    <w:rPr>
      <w:rFonts w:ascii="方正黑体_GBK" w:hAnsi="方正黑体_GBK" w:eastAsia="方正黑体_GBK" w:cs="方正黑体_GBK"/>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945</Words>
  <Characters>1211</Characters>
  <Lines>11</Lines>
  <Paragraphs>3</Paragraphs>
  <TotalTime>2</TotalTime>
  <ScaleCrop>false</ScaleCrop>
  <LinksUpToDate>false</LinksUpToDate>
  <CharactersWithSpaces>1453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2026-07-23T03:39:00Z</cp:lastPrinted>
  <dcterms:modified xsi:type="dcterms:W3CDTF">2026-07-27T06:33:47Z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