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260</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4C465015">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关于黔江区2026年“四好农村路”城南街道</w:t>
      </w:r>
    </w:p>
    <w:p w14:paraId="0DBD15C5">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南沟社区打狗湾至黑山社区邬家院子道路</w:t>
      </w:r>
    </w:p>
    <w:p w14:paraId="491215CD">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工程投资概算的批复</w:t>
      </w:r>
    </w:p>
    <w:p w14:paraId="019DA933">
      <w:pPr>
        <w:pStyle w:val="5"/>
        <w:keepNext w:val="0"/>
        <w:keepLines w:val="0"/>
        <w:pageBreakBefore w:val="0"/>
        <w:widowControl w:val="0"/>
        <w:kinsoku/>
        <w:wordWrap/>
        <w:overflowPunct/>
        <w:topLinePunct w:val="0"/>
        <w:bidi w:val="0"/>
        <w:spacing w:line="550" w:lineRule="exact"/>
        <w:textAlignment w:val="auto"/>
        <w:rPr>
          <w:rFonts w:hint="default" w:ascii="Times New Roman" w:hAnsi="Times New Roman" w:eastAsia="方正仿宋_GBK" w:cs="Times New Roman"/>
          <w:sz w:val="32"/>
          <w:szCs w:val="32"/>
        </w:rPr>
      </w:pPr>
    </w:p>
    <w:p w14:paraId="2C449DA3">
      <w:pPr>
        <w:keepNext w:val="0"/>
        <w:keepLines w:val="0"/>
        <w:pageBreakBefore w:val="0"/>
        <w:widowControl w:val="0"/>
        <w:kinsoku/>
        <w:wordWrap/>
        <w:overflowPunct/>
        <w:topLinePunct w:val="0"/>
        <w:autoSpaceDE w:val="0"/>
        <w:autoSpaceDN w:val="0"/>
        <w:bidi w:val="0"/>
        <w:adjustRightInd w:val="0"/>
        <w:spacing w:line="550" w:lineRule="exact"/>
        <w:jc w:val="left"/>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sz w:val="32"/>
          <w:szCs w:val="32"/>
          <w:lang w:eastAsia="zh-CN"/>
        </w:rPr>
        <w:t>黔江区人民政府城南街道办事处</w:t>
      </w:r>
      <w:r>
        <w:rPr>
          <w:rFonts w:hint="default" w:ascii="Times New Roman" w:hAnsi="Times New Roman" w:eastAsia="方正仿宋_GBK" w:cs="Times New Roman"/>
          <w:sz w:val="32"/>
          <w:szCs w:val="32"/>
        </w:rPr>
        <w:t>：</w:t>
      </w:r>
    </w:p>
    <w:p w14:paraId="2B1D9A2F">
      <w:pPr>
        <w:keepNext w:val="0"/>
        <w:keepLines w:val="0"/>
        <w:pageBreakBefore w:val="0"/>
        <w:widowControl w:val="0"/>
        <w:kinsoku/>
        <w:wordWrap/>
        <w:overflowPunct/>
        <w:topLinePunct w:val="0"/>
        <w:bidi w:val="0"/>
        <w:snapToGrid w:val="0"/>
        <w:spacing w:line="55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你单位《关于审查黔江区2026年“四好农村路”城南街道南沟社区打狗湾至黑山社区邬家院子道路工程</w:t>
      </w:r>
      <w:r>
        <w:rPr>
          <w:rFonts w:hint="default" w:ascii="Times New Roman" w:hAnsi="Times New Roman" w:eastAsia="方正仿宋_GBK" w:cs="Times New Roman"/>
          <w:sz w:val="32"/>
          <w:szCs w:val="32"/>
        </w:rPr>
        <w:t>概算的</w:t>
      </w:r>
      <w:r>
        <w:rPr>
          <w:rFonts w:hint="default" w:ascii="Times New Roman" w:hAnsi="Times New Roman" w:eastAsia="方正仿宋_GBK" w:cs="Times New Roman"/>
          <w:sz w:val="32"/>
          <w:szCs w:val="32"/>
          <w:lang w:eastAsia="zh-CN"/>
        </w:rPr>
        <w:t>函</w:t>
      </w:r>
      <w:r>
        <w:rPr>
          <w:rFonts w:hint="default" w:ascii="Times New Roman" w:hAnsi="Times New Roman" w:eastAsia="方正仿宋_GBK" w:cs="Times New Roman"/>
          <w:sz w:val="32"/>
          <w:szCs w:val="32"/>
        </w:rPr>
        <w:t>》收悉，经</w:t>
      </w:r>
      <w:r>
        <w:rPr>
          <w:rFonts w:hint="default" w:ascii="Times New Roman" w:hAnsi="Times New Roman" w:eastAsia="方正仿宋_GBK" w:cs="Times New Roman"/>
          <w:sz w:val="32"/>
          <w:szCs w:val="32"/>
          <w:lang w:eastAsia="zh-CN"/>
        </w:rPr>
        <w:t>委托</w:t>
      </w:r>
      <w:r>
        <w:rPr>
          <w:rFonts w:hint="default" w:ascii="Times New Roman" w:hAnsi="Times New Roman" w:eastAsia="方正仿宋_GBK" w:cs="Times New Roman"/>
          <w:kern w:val="0"/>
          <w:sz w:val="32"/>
          <w:szCs w:val="32"/>
          <w:highlight w:val="none"/>
          <w:lang w:eastAsia="zh-CN"/>
        </w:rPr>
        <w:t>中嘉工程项目管理（重庆）有限公司</w:t>
      </w:r>
      <w:r>
        <w:rPr>
          <w:rFonts w:hint="default" w:ascii="Times New Roman" w:hAnsi="Times New Roman" w:eastAsia="方正仿宋_GBK" w:cs="Times New Roman"/>
          <w:sz w:val="32"/>
          <w:szCs w:val="32"/>
          <w:lang w:eastAsia="zh-CN"/>
        </w:rPr>
        <w:t>评审，结合</w:t>
      </w:r>
      <w:r>
        <w:rPr>
          <w:rFonts w:hint="default" w:ascii="Times New Roman" w:hAnsi="Times New Roman" w:eastAsia="方正仿宋_GBK" w:cs="Times New Roman"/>
          <w:sz w:val="32"/>
          <w:szCs w:val="32"/>
        </w:rPr>
        <w:t>区政府投资</w:t>
      </w:r>
      <w:r>
        <w:rPr>
          <w:rFonts w:hint="default" w:ascii="Times New Roman" w:hAnsi="Times New Roman" w:eastAsia="方正仿宋_GBK" w:cs="Times New Roman"/>
          <w:sz w:val="32"/>
          <w:szCs w:val="32"/>
          <w:lang w:eastAsia="zh-CN"/>
        </w:rPr>
        <w:t>项目前期工作服务</w:t>
      </w:r>
      <w:r>
        <w:rPr>
          <w:rFonts w:hint="default" w:ascii="Times New Roman" w:hAnsi="Times New Roman" w:eastAsia="方正仿宋_GBK" w:cs="Times New Roman"/>
          <w:sz w:val="32"/>
          <w:szCs w:val="32"/>
        </w:rPr>
        <w:t>中心</w:t>
      </w:r>
      <w:r>
        <w:rPr>
          <w:rFonts w:hint="default" w:ascii="Times New Roman" w:hAnsi="Times New Roman" w:eastAsia="方正仿宋_GBK" w:cs="Times New Roman"/>
          <w:sz w:val="32"/>
          <w:szCs w:val="32"/>
          <w:lang w:eastAsia="zh-CN"/>
        </w:rPr>
        <w:t>的</w:t>
      </w:r>
      <w:r>
        <w:rPr>
          <w:rFonts w:hint="default" w:ascii="Times New Roman" w:hAnsi="Times New Roman" w:eastAsia="方正仿宋_GBK" w:cs="Times New Roman"/>
          <w:sz w:val="32"/>
          <w:szCs w:val="32"/>
        </w:rPr>
        <w:t>评审</w:t>
      </w:r>
      <w:r>
        <w:rPr>
          <w:rFonts w:hint="default" w:ascii="Times New Roman" w:hAnsi="Times New Roman" w:eastAsia="方正仿宋_GBK" w:cs="Times New Roman"/>
          <w:sz w:val="32"/>
          <w:szCs w:val="32"/>
          <w:lang w:eastAsia="zh-CN"/>
        </w:rPr>
        <w:t>意见，现将黔江区2026年</w:t>
      </w:r>
      <w:r>
        <w:rPr>
          <w:rFonts w:hint="eastAsia" w:ascii="方正仿宋_GBK" w:hAnsi="方正仿宋_GBK" w:eastAsia="方正仿宋_GBK" w:cs="方正仿宋_GBK"/>
          <w:sz w:val="32"/>
          <w:szCs w:val="32"/>
          <w:lang w:eastAsia="zh-CN"/>
        </w:rPr>
        <w:t>“四好农村路”城南</w:t>
      </w:r>
      <w:r>
        <w:rPr>
          <w:rFonts w:hint="default" w:ascii="Times New Roman" w:hAnsi="Times New Roman" w:eastAsia="方正仿宋_GBK" w:cs="Times New Roman"/>
          <w:sz w:val="32"/>
          <w:szCs w:val="32"/>
          <w:lang w:eastAsia="zh-CN"/>
        </w:rPr>
        <w:t>街道南沟社区打狗湾至黑山社区邬家院子道路工程（项目代码：</w:t>
      </w:r>
      <w:r>
        <w:rPr>
          <w:rFonts w:hint="default" w:ascii="Times New Roman" w:hAnsi="Times New Roman" w:eastAsia="方正仿宋_GBK" w:cs="Times New Roman"/>
          <w:sz w:val="32"/>
          <w:szCs w:val="32"/>
          <w:lang w:val="en-US" w:eastAsia="zh-CN"/>
        </w:rPr>
        <w:t>2607</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500114</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04</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01</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601609</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投资概算批复如下：</w:t>
      </w:r>
    </w:p>
    <w:p w14:paraId="3D4F2111">
      <w:pPr>
        <w:keepNext w:val="0"/>
        <w:keepLines w:val="0"/>
        <w:pageBreakBefore w:val="0"/>
        <w:widowControl w:val="0"/>
        <w:kinsoku/>
        <w:wordWrap/>
        <w:overflowPunct/>
        <w:topLinePunct w:val="0"/>
        <w:bidi w:val="0"/>
        <w:spacing w:line="550" w:lineRule="exact"/>
        <w:ind w:firstLine="627" w:firstLineChars="196"/>
        <w:jc w:val="left"/>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一、原则同意工程概算编制原则和标准。</w:t>
      </w:r>
    </w:p>
    <w:p w14:paraId="1B61F096">
      <w:pPr>
        <w:pStyle w:val="5"/>
        <w:keepNext w:val="0"/>
        <w:keepLines w:val="0"/>
        <w:pageBreakBefore w:val="0"/>
        <w:widowControl w:val="0"/>
        <w:kinsoku/>
        <w:wordWrap/>
        <w:overflowPunct/>
        <w:topLinePunct w:val="0"/>
        <w:bidi w:val="0"/>
        <w:spacing w:line="550" w:lineRule="exact"/>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Cs/>
          <w:color w:val="000000"/>
          <w:sz w:val="32"/>
          <w:szCs w:val="32"/>
        </w:rPr>
        <w:t>二、建设规模及主要建设内容：</w:t>
      </w:r>
      <w:r>
        <w:rPr>
          <w:rFonts w:hint="default" w:ascii="Times New Roman" w:hAnsi="Times New Roman" w:eastAsia="方正仿宋_GBK" w:cs="Times New Roman"/>
          <w:kern w:val="2"/>
          <w:sz w:val="32"/>
          <w:szCs w:val="32"/>
          <w:lang w:val="zh-CN" w:eastAsia="zh-CN" w:bidi="ar"/>
        </w:rPr>
        <w:t>项目路线全长6.335km，起于南沟社区打狗湾，顺畅衔接现状已投用的黔托路，止于黑山社区邬家院子聚居片区，道路等级为四级公路（</w:t>
      </w:r>
      <w:r>
        <w:rPr>
          <w:rFonts w:hint="default" w:ascii="Times New Roman" w:hAnsi="Times New Roman" w:eastAsia="方正仿宋_GBK" w:cs="Times New Roman"/>
          <w:kern w:val="2"/>
          <w:sz w:val="32"/>
          <w:szCs w:val="32"/>
          <w:lang w:val="en-US" w:eastAsia="zh-CN" w:bidi="ar"/>
        </w:rPr>
        <w:t>I</w:t>
      </w:r>
      <w:r>
        <w:rPr>
          <w:rFonts w:hint="default" w:ascii="Times New Roman" w:hAnsi="Times New Roman" w:eastAsia="方正仿宋_GBK" w:cs="Times New Roman"/>
          <w:kern w:val="2"/>
          <w:sz w:val="32"/>
          <w:szCs w:val="32"/>
          <w:lang w:val="zh-CN" w:eastAsia="zh-CN" w:bidi="ar"/>
        </w:rPr>
        <w:t>类），设计时速为15km/h，标准路基宽度为6.5m，双向两车道，主要包括路基工程、路面工程、桥梁涵洞工程、交叉工程、交通工程等建设内容</w:t>
      </w:r>
      <w:r>
        <w:rPr>
          <w:rFonts w:hint="default" w:ascii="Times New Roman" w:hAnsi="Times New Roman" w:eastAsia="方正仿宋_GBK" w:cs="Times New Roman"/>
          <w:kern w:val="2"/>
          <w:sz w:val="32"/>
          <w:szCs w:val="32"/>
          <w:lang w:val="en-US" w:eastAsia="zh-CN" w:bidi="ar"/>
        </w:rPr>
        <w:t>。</w:t>
      </w:r>
    </w:p>
    <w:p w14:paraId="0F0E23EE">
      <w:pPr>
        <w:pStyle w:val="5"/>
        <w:keepNext w:val="0"/>
        <w:keepLines w:val="0"/>
        <w:pageBreakBefore w:val="0"/>
        <w:widowControl w:val="0"/>
        <w:kinsoku/>
        <w:wordWrap/>
        <w:overflowPunct/>
        <w:topLinePunct w:val="0"/>
        <w:bidi w:val="0"/>
        <w:spacing w:line="550"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bCs/>
          <w:color w:val="000000"/>
          <w:sz w:val="32"/>
          <w:szCs w:val="32"/>
        </w:rPr>
        <w:t>三、概算总投资及资金来源：概算总投资</w:t>
      </w:r>
      <w:r>
        <w:rPr>
          <w:rFonts w:hint="default" w:ascii="Times New Roman" w:hAnsi="Times New Roman" w:eastAsia="方正仿宋_GBK" w:cs="Times New Roman"/>
          <w:sz w:val="32"/>
          <w:szCs w:val="32"/>
        </w:rPr>
        <w:t>为</w:t>
      </w:r>
      <w:r>
        <w:rPr>
          <w:rFonts w:hint="default" w:ascii="Times New Roman" w:hAnsi="Times New Roman" w:eastAsia="方正仿宋_GBK" w:cs="Times New Roman"/>
          <w:sz w:val="32"/>
          <w:szCs w:val="32"/>
          <w:lang w:val="en-US" w:eastAsia="zh-CN"/>
        </w:rPr>
        <w:t>1897.3</w:t>
      </w:r>
      <w:r>
        <w:rPr>
          <w:rFonts w:hint="default" w:ascii="Times New Roman" w:hAnsi="Times New Roman" w:eastAsia="方正仿宋_GBK" w:cs="Times New Roman"/>
          <w:sz w:val="32"/>
          <w:szCs w:val="32"/>
          <w:lang w:eastAsia="zh-CN"/>
        </w:rPr>
        <w:t>万元，其中：工程费用</w:t>
      </w:r>
      <w:r>
        <w:rPr>
          <w:rFonts w:hint="default" w:ascii="Times New Roman" w:hAnsi="Times New Roman" w:eastAsia="方正仿宋_GBK" w:cs="Times New Roman"/>
          <w:sz w:val="32"/>
          <w:szCs w:val="32"/>
          <w:lang w:val="en-US" w:eastAsia="zh-CN"/>
        </w:rPr>
        <w:t>1668.6</w:t>
      </w:r>
      <w:r>
        <w:rPr>
          <w:rFonts w:hint="default" w:ascii="Times New Roman" w:hAnsi="Times New Roman" w:eastAsia="方正仿宋_GBK" w:cs="Times New Roman"/>
          <w:sz w:val="32"/>
          <w:szCs w:val="32"/>
          <w:lang w:eastAsia="zh-CN"/>
        </w:rPr>
        <w:t>万元，工程建设其他费</w:t>
      </w:r>
      <w:r>
        <w:rPr>
          <w:rFonts w:hint="default" w:ascii="Times New Roman" w:hAnsi="Times New Roman" w:eastAsia="方正仿宋_GBK" w:cs="Times New Roman"/>
          <w:sz w:val="32"/>
          <w:szCs w:val="32"/>
          <w:lang w:val="en-US" w:eastAsia="zh-CN"/>
        </w:rPr>
        <w:t>138.4</w:t>
      </w:r>
      <w:r>
        <w:rPr>
          <w:rFonts w:hint="default" w:ascii="Times New Roman" w:hAnsi="Times New Roman" w:eastAsia="方正仿宋_GBK" w:cs="Times New Roman"/>
          <w:sz w:val="32"/>
          <w:szCs w:val="32"/>
          <w:lang w:eastAsia="zh-CN"/>
        </w:rPr>
        <w:t>万元，基本预备费</w:t>
      </w:r>
      <w:r>
        <w:rPr>
          <w:rFonts w:hint="default" w:ascii="Times New Roman" w:hAnsi="Times New Roman" w:eastAsia="方正仿宋_GBK" w:cs="Times New Roman"/>
          <w:sz w:val="32"/>
          <w:szCs w:val="32"/>
          <w:lang w:val="en-US" w:eastAsia="zh-CN"/>
        </w:rPr>
        <w:t>90.3</w:t>
      </w:r>
      <w:r>
        <w:rPr>
          <w:rFonts w:hint="default" w:ascii="Times New Roman" w:hAnsi="Times New Roman" w:eastAsia="方正仿宋_GBK" w:cs="Times New Roman"/>
          <w:sz w:val="32"/>
          <w:szCs w:val="32"/>
          <w:lang w:eastAsia="zh-CN"/>
        </w:rPr>
        <w:t>万元。</w:t>
      </w:r>
      <w:r>
        <w:rPr>
          <w:rFonts w:hint="default" w:ascii="Times New Roman" w:hAnsi="Times New Roman" w:eastAsia="方正仿宋_GBK" w:cs="Times New Roman"/>
          <w:sz w:val="32"/>
          <w:szCs w:val="32"/>
          <w:lang w:val="zh-CN"/>
        </w:rPr>
        <w:t>资金来源为国市补助资金，不足部分由区级财政统筹解决。</w:t>
      </w:r>
    </w:p>
    <w:p w14:paraId="1ACAA0BD">
      <w:pPr>
        <w:pStyle w:val="5"/>
        <w:keepNext w:val="0"/>
        <w:keepLines w:val="0"/>
        <w:pageBreakBefore w:val="0"/>
        <w:widowControl w:val="0"/>
        <w:kinsoku/>
        <w:wordWrap/>
        <w:overflowPunct/>
        <w:topLinePunct w:val="0"/>
        <w:bidi w:val="0"/>
        <w:spacing w:line="550" w:lineRule="exact"/>
        <w:ind w:firstLine="640" w:firstLineChars="200"/>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四、请据此进一步深化工程设计等前期工作，施工图严格根据经批准的初步设计确定的建设内容、规模和标准等实行限额设计，项目预算按照同口径控制在投资概算以内，并履行完善相关建设手续。要按照资金来源落实建设资金后开展下步工作，严禁新增政府隐性债务。要严格执行工程招投标制，合同管理制，工程监理制，切实加强工程管理，确保工程质量、进度和投资有效控制。</w:t>
      </w:r>
    </w:p>
    <w:p w14:paraId="261AB8AA">
      <w:pPr>
        <w:pStyle w:val="5"/>
        <w:keepNext w:val="0"/>
        <w:keepLines w:val="0"/>
        <w:pageBreakBefore w:val="0"/>
        <w:widowControl w:val="0"/>
        <w:kinsoku/>
        <w:wordWrap/>
        <w:overflowPunct/>
        <w:topLinePunct w:val="0"/>
        <w:bidi w:val="0"/>
        <w:spacing w:line="550" w:lineRule="exact"/>
        <w:textAlignment w:val="auto"/>
        <w:rPr>
          <w:rFonts w:hint="default" w:ascii="Times New Roman" w:hAnsi="Times New Roman" w:eastAsia="方正仿宋_GBK" w:cs="Times New Roman"/>
          <w:sz w:val="32"/>
          <w:szCs w:val="32"/>
        </w:rPr>
      </w:pPr>
    </w:p>
    <w:p w14:paraId="11F3AEE2">
      <w:pPr>
        <w:keepNext w:val="0"/>
        <w:keepLines w:val="0"/>
        <w:pageBreakBefore w:val="0"/>
        <w:widowControl w:val="0"/>
        <w:kinsoku/>
        <w:wordWrap/>
        <w:overflowPunct/>
        <w:topLinePunct w:val="0"/>
        <w:bidi w:val="0"/>
        <w:snapToGrid w:val="0"/>
        <w:spacing w:line="550"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bCs/>
          <w:sz w:val="32"/>
          <w:szCs w:val="32"/>
        </w:rPr>
        <w:t>：黔江区2026年“四好农村路”城南街道南沟社区打狗</w:t>
      </w:r>
    </w:p>
    <w:p w14:paraId="34AC18C0">
      <w:pPr>
        <w:keepNext w:val="0"/>
        <w:keepLines w:val="0"/>
        <w:pageBreakBefore w:val="0"/>
        <w:widowControl w:val="0"/>
        <w:kinsoku/>
        <w:wordWrap/>
        <w:overflowPunct/>
        <w:topLinePunct w:val="0"/>
        <w:bidi w:val="0"/>
        <w:snapToGrid w:val="0"/>
        <w:spacing w:line="55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Cs/>
          <w:sz w:val="32"/>
          <w:szCs w:val="32"/>
        </w:rPr>
        <w:t>湾至黑山社区邬家院子道路工程</w:t>
      </w:r>
      <w:r>
        <w:rPr>
          <w:rFonts w:hint="default" w:ascii="Times New Roman" w:hAnsi="Times New Roman" w:eastAsia="方正仿宋_GBK" w:cs="Times New Roman"/>
          <w:sz w:val="32"/>
          <w:szCs w:val="32"/>
        </w:rPr>
        <w:t>投资概算表</w:t>
      </w:r>
    </w:p>
    <w:p w14:paraId="58BA4DA2">
      <w:pPr>
        <w:keepNext w:val="0"/>
        <w:keepLines w:val="0"/>
        <w:pageBreakBefore w:val="0"/>
        <w:widowControl w:val="0"/>
        <w:kinsoku/>
        <w:wordWrap/>
        <w:overflowPunct/>
        <w:topLinePunct w:val="0"/>
        <w:bidi w:val="0"/>
        <w:spacing w:line="55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p>
    <w:p w14:paraId="70748BFD">
      <w:pPr>
        <w:keepNext w:val="0"/>
        <w:keepLines w:val="0"/>
        <w:pageBreakBefore w:val="0"/>
        <w:widowControl w:val="0"/>
        <w:kinsoku/>
        <w:wordWrap/>
        <w:overflowPunct/>
        <w:topLinePunct w:val="0"/>
        <w:bidi w:val="0"/>
        <w:spacing w:line="550" w:lineRule="exact"/>
        <w:ind w:firstLine="3840" w:firstLineChars="1200"/>
        <w:jc w:val="left"/>
        <w:textAlignment w:val="auto"/>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rPr>
        <w:t>重庆市黔江区发展和改革委员会</w:t>
      </w:r>
      <w:r>
        <w:rPr>
          <w:rFonts w:hint="eastAsia" w:ascii="Times New Roman" w:hAnsi="Times New Roman" w:eastAsia="方正仿宋_GBK" w:cs="Times New Roman"/>
          <w:sz w:val="32"/>
          <w:szCs w:val="32"/>
          <w:lang w:val="en-US" w:eastAsia="zh-CN"/>
        </w:rPr>
        <w:t xml:space="preserve"> </w:t>
      </w:r>
    </w:p>
    <w:p w14:paraId="06FBDFCB">
      <w:pPr>
        <w:pStyle w:val="3"/>
        <w:keepNext w:val="0"/>
        <w:keepLines w:val="0"/>
        <w:pageBreakBefore w:val="0"/>
        <w:widowControl w:val="0"/>
        <w:kinsoku/>
        <w:wordWrap/>
        <w:overflowPunct/>
        <w:topLinePunct w:val="0"/>
        <w:bidi w:val="0"/>
        <w:spacing w:line="550" w:lineRule="exact"/>
        <w:ind w:firstLine="643"/>
        <w:textAlignment w:val="auto"/>
        <w:rPr>
          <w:rFonts w:hint="eastAsia"/>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月</w:t>
      </w:r>
      <w:r>
        <w:rPr>
          <w:rFonts w:hint="eastAsia" w:eastAsia="方正仿宋_GBK" w:cs="Times New Roman"/>
          <w:sz w:val="32"/>
          <w:szCs w:val="32"/>
          <w:lang w:val="en-US" w:eastAsia="zh-CN"/>
        </w:rPr>
        <w:t>30</w:t>
      </w:r>
      <w:r>
        <w:rPr>
          <w:rFonts w:hint="default" w:ascii="Times New Roman" w:hAnsi="Times New Roman" w:eastAsia="方正仿宋_GBK" w:cs="Times New Roman"/>
          <w:sz w:val="32"/>
          <w:szCs w:val="32"/>
        </w:rPr>
        <w:t>日</w:t>
      </w:r>
    </w:p>
    <w:p w14:paraId="5287492F">
      <w:pPr>
        <w:pStyle w:val="5"/>
        <w:rPr>
          <w:rFonts w:hint="eastAsia" w:ascii="方正黑体_GBK" w:hAnsi="方正黑体_GBK" w:eastAsia="方正黑体_GBK" w:cs="方正黑体_GBK"/>
          <w:sz w:val="36"/>
          <w:szCs w:val="36"/>
        </w:rPr>
      </w:pPr>
      <w:r>
        <w:rPr>
          <w:rFonts w:hint="eastAsia" w:ascii="方正黑体_GBK" w:hAnsi="方正黑体_GBK" w:eastAsia="方正黑体_GBK" w:cs="方正黑体_GBK"/>
          <w:kern w:val="0"/>
          <w:sz w:val="28"/>
          <w:szCs w:val="28"/>
        </w:rPr>
        <w:t>附件</w:t>
      </w:r>
    </w:p>
    <w:p w14:paraId="2255BEB2">
      <w:pPr>
        <w:pStyle w:val="5"/>
        <w:spacing w:line="580" w:lineRule="exact"/>
        <w:jc w:val="center"/>
        <w:rPr>
          <w:rFonts w:hint="eastAsia" w:ascii="方正小标宋_GBK" w:hAnsi="方正小标宋_GBK" w:eastAsia="方正小标宋_GBK" w:cs="方正小标宋_GBK"/>
          <w:kern w:val="0"/>
          <w:sz w:val="36"/>
          <w:szCs w:val="36"/>
        </w:rPr>
      </w:pPr>
      <w:r>
        <w:rPr>
          <w:rFonts w:hint="eastAsia" w:ascii="方正小标宋_GBK" w:hAnsi="方正小标宋_GBK" w:eastAsia="方正小标宋_GBK" w:cs="方正小标宋_GBK"/>
          <w:kern w:val="0"/>
          <w:sz w:val="36"/>
          <w:szCs w:val="36"/>
        </w:rPr>
        <w:t>黔江区2026年“四好农村路”城南街道南沟社区</w:t>
      </w:r>
    </w:p>
    <w:p w14:paraId="5FEB0B00">
      <w:pPr>
        <w:pStyle w:val="5"/>
        <w:spacing w:line="580" w:lineRule="exact"/>
        <w:jc w:val="center"/>
        <w:rPr>
          <w:rFonts w:hint="eastAsia" w:ascii="方正小标宋_GBK" w:hAnsi="方正小标宋_GBK" w:eastAsia="方正小标宋_GBK" w:cs="方正小标宋_GBK"/>
          <w:kern w:val="0"/>
          <w:sz w:val="36"/>
          <w:szCs w:val="36"/>
          <w:lang w:eastAsia="zh-CN"/>
        </w:rPr>
      </w:pPr>
      <w:r>
        <w:rPr>
          <w:rFonts w:hint="eastAsia" w:ascii="方正小标宋_GBK" w:hAnsi="方正小标宋_GBK" w:eastAsia="方正小标宋_GBK" w:cs="方正小标宋_GBK"/>
          <w:kern w:val="0"/>
          <w:sz w:val="36"/>
          <w:szCs w:val="36"/>
        </w:rPr>
        <w:t>打狗湾至黑山社区邬家院子道路工程投</w:t>
      </w:r>
      <w:r>
        <w:rPr>
          <w:rFonts w:hint="eastAsia" w:ascii="方正小标宋_GBK" w:hAnsi="方正小标宋_GBK" w:eastAsia="方正小标宋_GBK" w:cs="方正小标宋_GBK"/>
          <w:kern w:val="0"/>
          <w:sz w:val="36"/>
          <w:szCs w:val="36"/>
          <w:lang w:eastAsia="zh-CN"/>
        </w:rPr>
        <w:t>资概算表</w:t>
      </w:r>
    </w:p>
    <w:p w14:paraId="0B33B676">
      <w:pPr>
        <w:pStyle w:val="5"/>
        <w:spacing w:line="580" w:lineRule="exact"/>
        <w:jc w:val="both"/>
        <w:rPr>
          <w:rFonts w:hint="eastAsia" w:ascii="方正仿宋_GBK" w:hAnsi="方正仿宋_GBK" w:cs="方正仿宋_GBK"/>
          <w:kern w:val="0"/>
          <w:sz w:val="24"/>
          <w:szCs w:val="24"/>
        </w:rPr>
      </w:pPr>
      <w:r>
        <w:rPr>
          <w:rFonts w:hint="eastAsia" w:ascii="方正小标宋_GBK" w:hAnsi="方正小标宋_GBK" w:eastAsia="方正小标宋_GBK" w:cs="方正小标宋_GBK"/>
          <w:kern w:val="0"/>
          <w:sz w:val="44"/>
          <w:szCs w:val="44"/>
          <w:lang w:val="en-US" w:eastAsia="zh-CN"/>
        </w:rPr>
        <w:t xml:space="preserve">                                </w:t>
      </w:r>
      <w:r>
        <w:rPr>
          <w:rFonts w:hint="eastAsia" w:ascii="方正小标宋_GBK" w:hAnsi="方正小标宋_GBK" w:eastAsia="方正小标宋_GBK" w:cs="方正小标宋_GBK"/>
          <w:kern w:val="0"/>
          <w:sz w:val="44"/>
          <w:szCs w:val="44"/>
        </w:rPr>
        <w:t xml:space="preserve"> </w:t>
      </w:r>
      <w:r>
        <w:rPr>
          <w:rFonts w:hint="eastAsia" w:ascii="方正小标宋_GBK" w:hAnsi="方正小标宋_GBK" w:eastAsia="方正小标宋_GBK" w:cs="方正小标宋_GBK"/>
          <w:kern w:val="0"/>
          <w:sz w:val="24"/>
          <w:szCs w:val="24"/>
        </w:rPr>
        <w:t xml:space="preserve"> </w:t>
      </w:r>
      <w:r>
        <w:rPr>
          <w:rFonts w:hint="eastAsia" w:ascii="方正仿宋_GBK" w:hAnsi="方正仿宋_GBK" w:cs="方正仿宋_GBK"/>
          <w:kern w:val="0"/>
          <w:sz w:val="24"/>
          <w:szCs w:val="24"/>
        </w:rPr>
        <w:t>单位：万</w:t>
      </w:r>
      <w:r>
        <w:rPr>
          <w:rFonts w:hint="eastAsia" w:ascii="方正仿宋_GBK" w:hAnsi="方正仿宋_GBK" w:cs="方正仿宋_GBK"/>
          <w:kern w:val="0"/>
          <w:sz w:val="24"/>
          <w:szCs w:val="24"/>
          <w:lang w:eastAsia="zh-CN"/>
        </w:rPr>
        <w:t>元</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2760"/>
        <w:gridCol w:w="1425"/>
        <w:gridCol w:w="1650"/>
        <w:gridCol w:w="1905"/>
      </w:tblGrid>
      <w:tr w14:paraId="2102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trPr>
        <w:tc>
          <w:tcPr>
            <w:tcW w:w="1023" w:type="dxa"/>
            <w:noWrap w:val="0"/>
            <w:vAlign w:val="center"/>
          </w:tcPr>
          <w:p w14:paraId="58D6E6B9">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kern w:val="0"/>
                <w:sz w:val="30"/>
                <w:szCs w:val="30"/>
                <w:lang w:val="en-US" w:eastAsia="zh-CN" w:bidi="ar-SA"/>
              </w:rPr>
            </w:pPr>
            <w:r>
              <w:rPr>
                <w:rFonts w:hint="default" w:ascii="Times New Roman" w:hAnsi="Times New Roman" w:eastAsia="方正黑体_GBK" w:cs="Times New Roman"/>
                <w:kern w:val="0"/>
                <w:sz w:val="30"/>
                <w:szCs w:val="30"/>
              </w:rPr>
              <w:t>序号</w:t>
            </w:r>
          </w:p>
        </w:tc>
        <w:tc>
          <w:tcPr>
            <w:tcW w:w="2760" w:type="dxa"/>
            <w:noWrap w:val="0"/>
            <w:vAlign w:val="center"/>
          </w:tcPr>
          <w:p w14:paraId="1BE3C40E">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kern w:val="0"/>
                <w:sz w:val="30"/>
                <w:szCs w:val="30"/>
                <w:lang w:val="en-US" w:eastAsia="zh-CN" w:bidi="ar-SA"/>
              </w:rPr>
            </w:pPr>
            <w:r>
              <w:rPr>
                <w:rFonts w:hint="default" w:ascii="Times New Roman" w:hAnsi="Times New Roman" w:eastAsia="方正黑体_GBK" w:cs="Times New Roman"/>
                <w:kern w:val="0"/>
                <w:sz w:val="30"/>
                <w:szCs w:val="30"/>
              </w:rPr>
              <w:t>名   称</w:t>
            </w:r>
          </w:p>
        </w:tc>
        <w:tc>
          <w:tcPr>
            <w:tcW w:w="1425" w:type="dxa"/>
            <w:noWrap w:val="0"/>
            <w:vAlign w:val="center"/>
          </w:tcPr>
          <w:p w14:paraId="1CDE1B4E">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kern w:val="0"/>
                <w:sz w:val="30"/>
                <w:szCs w:val="30"/>
                <w:lang w:val="en-US" w:eastAsia="zh-CN" w:bidi="ar-SA"/>
              </w:rPr>
            </w:pPr>
            <w:r>
              <w:rPr>
                <w:rFonts w:hint="default" w:ascii="Times New Roman" w:hAnsi="Times New Roman" w:eastAsia="方正黑体_GBK" w:cs="Times New Roman"/>
                <w:kern w:val="0"/>
                <w:sz w:val="30"/>
                <w:szCs w:val="30"/>
                <w:lang w:eastAsia="zh-CN"/>
              </w:rPr>
              <w:t>规模</w:t>
            </w:r>
          </w:p>
        </w:tc>
        <w:tc>
          <w:tcPr>
            <w:tcW w:w="1650" w:type="dxa"/>
            <w:noWrap w:val="0"/>
            <w:vAlign w:val="center"/>
          </w:tcPr>
          <w:p w14:paraId="1E941D4F">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b/>
                <w:bCs/>
                <w:kern w:val="0"/>
                <w:sz w:val="22"/>
                <w:szCs w:val="22"/>
                <w:lang w:val="en-US" w:eastAsia="zh-CN" w:bidi="ar-SA"/>
              </w:rPr>
            </w:pPr>
            <w:r>
              <w:rPr>
                <w:rFonts w:hint="default" w:ascii="Times New Roman" w:hAnsi="Times New Roman" w:eastAsia="方正黑体_GBK" w:cs="Times New Roman"/>
                <w:b/>
                <w:bCs/>
                <w:kern w:val="0"/>
                <w:sz w:val="22"/>
                <w:szCs w:val="22"/>
                <w:lang w:val="en-US" w:eastAsia="zh-CN" w:bidi="ar-SA"/>
              </w:rPr>
              <w:t xml:space="preserve">审核单价 </w:t>
            </w:r>
          </w:p>
          <w:p w14:paraId="0E82E834">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kern w:val="0"/>
                <w:sz w:val="30"/>
                <w:szCs w:val="30"/>
                <w:lang w:val="en-US" w:eastAsia="zh-CN" w:bidi="ar-SA"/>
              </w:rPr>
            </w:pPr>
            <w:r>
              <w:rPr>
                <w:rFonts w:hint="default" w:ascii="Times New Roman" w:hAnsi="Times New Roman" w:eastAsia="方正黑体_GBK" w:cs="Times New Roman"/>
                <w:b/>
                <w:bCs/>
                <w:kern w:val="0"/>
                <w:sz w:val="22"/>
                <w:szCs w:val="22"/>
                <w:lang w:val="en-US" w:eastAsia="zh-CN" w:bidi="ar-SA"/>
              </w:rPr>
              <w:t>（或取费率）</w:t>
            </w:r>
          </w:p>
        </w:tc>
        <w:tc>
          <w:tcPr>
            <w:tcW w:w="1905" w:type="dxa"/>
            <w:noWrap w:val="0"/>
            <w:vAlign w:val="center"/>
          </w:tcPr>
          <w:p w14:paraId="3ABED682">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kern w:val="0"/>
                <w:sz w:val="30"/>
                <w:szCs w:val="30"/>
                <w:lang w:val="en-US" w:eastAsia="zh-CN" w:bidi="ar-SA"/>
              </w:rPr>
            </w:pPr>
            <w:r>
              <w:rPr>
                <w:rFonts w:hint="default" w:ascii="Times New Roman" w:hAnsi="Times New Roman" w:eastAsia="方正黑体_GBK" w:cs="Times New Roman"/>
                <w:kern w:val="0"/>
                <w:sz w:val="30"/>
                <w:szCs w:val="30"/>
              </w:rPr>
              <w:t>审核金额</w:t>
            </w:r>
          </w:p>
        </w:tc>
      </w:tr>
      <w:tr w14:paraId="327B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noWrap w:val="0"/>
            <w:vAlign w:val="center"/>
          </w:tcPr>
          <w:p w14:paraId="1E3BB82D">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b/>
                <w:bCs/>
                <w:i w:val="0"/>
                <w:iCs w:val="0"/>
                <w:color w:val="000000"/>
                <w:kern w:val="0"/>
                <w:sz w:val="24"/>
                <w:szCs w:val="24"/>
                <w:u w:val="none"/>
                <w:lang w:val="en-US" w:eastAsia="zh-CN" w:bidi="ar"/>
              </w:rPr>
              <w:t>一</w:t>
            </w:r>
          </w:p>
        </w:tc>
        <w:tc>
          <w:tcPr>
            <w:tcW w:w="2760" w:type="dxa"/>
            <w:noWrap w:val="0"/>
            <w:vAlign w:val="center"/>
          </w:tcPr>
          <w:p w14:paraId="13C129BD">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b/>
                <w:bCs/>
                <w:i w:val="0"/>
                <w:iCs w:val="0"/>
                <w:color w:val="000000"/>
                <w:kern w:val="0"/>
                <w:sz w:val="24"/>
                <w:szCs w:val="24"/>
                <w:u w:val="none"/>
                <w:lang w:val="en-US" w:eastAsia="zh-CN" w:bidi="ar"/>
              </w:rPr>
              <w:t>工程费用</w:t>
            </w:r>
          </w:p>
        </w:tc>
        <w:tc>
          <w:tcPr>
            <w:tcW w:w="1425" w:type="dxa"/>
            <w:noWrap w:val="0"/>
            <w:vAlign w:val="center"/>
          </w:tcPr>
          <w:p w14:paraId="1D5F9C92">
            <w:pPr>
              <w:jc w:val="center"/>
              <w:rPr>
                <w:rFonts w:hint="default" w:ascii="Times New Roman" w:hAnsi="Times New Roman" w:eastAsia="方正小标宋_GBK" w:cs="Times New Roman"/>
                <w:kern w:val="0"/>
                <w:sz w:val="22"/>
                <w:szCs w:val="22"/>
                <w:vertAlign w:val="baseline"/>
              </w:rPr>
            </w:pPr>
          </w:p>
        </w:tc>
        <w:tc>
          <w:tcPr>
            <w:tcW w:w="1650" w:type="dxa"/>
            <w:noWrap w:val="0"/>
            <w:vAlign w:val="center"/>
          </w:tcPr>
          <w:p w14:paraId="22E51D8A">
            <w:pPr>
              <w:jc w:val="center"/>
              <w:rPr>
                <w:rFonts w:hint="default" w:ascii="Times New Roman" w:hAnsi="Times New Roman" w:eastAsia="方正小标宋_GBK" w:cs="Times New Roman"/>
                <w:kern w:val="0"/>
                <w:sz w:val="22"/>
                <w:szCs w:val="22"/>
                <w:vertAlign w:val="baseline"/>
              </w:rPr>
            </w:pPr>
          </w:p>
        </w:tc>
        <w:tc>
          <w:tcPr>
            <w:tcW w:w="1905" w:type="dxa"/>
            <w:noWrap w:val="0"/>
            <w:vAlign w:val="center"/>
          </w:tcPr>
          <w:p w14:paraId="1034D803">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 xml:space="preserve">1668.6 </w:t>
            </w:r>
          </w:p>
        </w:tc>
      </w:tr>
      <w:tr w14:paraId="1003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exact"/>
        </w:trPr>
        <w:tc>
          <w:tcPr>
            <w:tcW w:w="1023" w:type="dxa"/>
            <w:noWrap w:val="0"/>
            <w:vAlign w:val="center"/>
          </w:tcPr>
          <w:p w14:paraId="000923FB">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1 </w:t>
            </w:r>
          </w:p>
        </w:tc>
        <w:tc>
          <w:tcPr>
            <w:tcW w:w="2760" w:type="dxa"/>
            <w:noWrap w:val="0"/>
            <w:vAlign w:val="center"/>
          </w:tcPr>
          <w:p w14:paraId="301FE7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黔江区2026年“四好农村路”建设项目城南街道南沟社区打狗湾至黑山社区邬家院子道路工程</w:t>
            </w:r>
          </w:p>
        </w:tc>
        <w:tc>
          <w:tcPr>
            <w:tcW w:w="1425" w:type="dxa"/>
            <w:noWrap w:val="0"/>
            <w:vAlign w:val="center"/>
          </w:tcPr>
          <w:p w14:paraId="70F95A66">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6.335km</w:t>
            </w:r>
          </w:p>
        </w:tc>
        <w:tc>
          <w:tcPr>
            <w:tcW w:w="1650" w:type="dxa"/>
            <w:noWrap w:val="0"/>
            <w:vAlign w:val="center"/>
          </w:tcPr>
          <w:p w14:paraId="091D6AFF">
            <w:pPr>
              <w:jc w:val="center"/>
              <w:rPr>
                <w:rFonts w:hint="default" w:ascii="Times New Roman" w:hAnsi="Times New Roman" w:eastAsia="方正小标宋_GBK" w:cs="Times New Roman"/>
                <w:kern w:val="0"/>
                <w:sz w:val="22"/>
                <w:szCs w:val="22"/>
                <w:vertAlign w:val="baseline"/>
              </w:rPr>
            </w:pPr>
          </w:p>
        </w:tc>
        <w:tc>
          <w:tcPr>
            <w:tcW w:w="1905" w:type="dxa"/>
            <w:noWrap w:val="0"/>
            <w:vAlign w:val="center"/>
          </w:tcPr>
          <w:p w14:paraId="19AB294B">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1668.6 </w:t>
            </w:r>
          </w:p>
        </w:tc>
      </w:tr>
      <w:tr w14:paraId="39FF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noWrap w:val="0"/>
            <w:vAlign w:val="center"/>
          </w:tcPr>
          <w:p w14:paraId="61AF9EB7">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b/>
                <w:bCs/>
                <w:i w:val="0"/>
                <w:iCs w:val="0"/>
                <w:color w:val="000000"/>
                <w:kern w:val="0"/>
                <w:sz w:val="24"/>
                <w:szCs w:val="24"/>
                <w:u w:val="none"/>
                <w:lang w:val="en-US" w:eastAsia="zh-CN" w:bidi="ar"/>
              </w:rPr>
              <w:t>二</w:t>
            </w:r>
          </w:p>
        </w:tc>
        <w:tc>
          <w:tcPr>
            <w:tcW w:w="2760" w:type="dxa"/>
            <w:noWrap w:val="0"/>
            <w:vAlign w:val="center"/>
          </w:tcPr>
          <w:p w14:paraId="5B966845">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b/>
                <w:bCs/>
                <w:i w:val="0"/>
                <w:iCs w:val="0"/>
                <w:color w:val="000000"/>
                <w:kern w:val="0"/>
                <w:sz w:val="24"/>
                <w:szCs w:val="24"/>
                <w:u w:val="none"/>
                <w:lang w:val="en-US" w:eastAsia="zh-CN" w:bidi="ar"/>
              </w:rPr>
              <w:t>工程建设其他费用</w:t>
            </w:r>
          </w:p>
        </w:tc>
        <w:tc>
          <w:tcPr>
            <w:tcW w:w="1425" w:type="dxa"/>
            <w:noWrap w:val="0"/>
            <w:vAlign w:val="center"/>
          </w:tcPr>
          <w:p w14:paraId="128AF10A">
            <w:pPr>
              <w:jc w:val="center"/>
              <w:rPr>
                <w:rFonts w:hint="default" w:ascii="Times New Roman" w:hAnsi="Times New Roman" w:eastAsia="方正小标宋_GBK" w:cs="Times New Roman"/>
                <w:kern w:val="0"/>
                <w:sz w:val="22"/>
                <w:szCs w:val="22"/>
                <w:vertAlign w:val="baseline"/>
              </w:rPr>
            </w:pPr>
          </w:p>
        </w:tc>
        <w:tc>
          <w:tcPr>
            <w:tcW w:w="1650" w:type="dxa"/>
            <w:noWrap w:val="0"/>
            <w:vAlign w:val="center"/>
          </w:tcPr>
          <w:p w14:paraId="77C81790">
            <w:pPr>
              <w:jc w:val="center"/>
              <w:rPr>
                <w:rFonts w:hint="default" w:ascii="Times New Roman" w:hAnsi="Times New Roman" w:eastAsia="方正小标宋_GBK" w:cs="Times New Roman"/>
                <w:kern w:val="0"/>
                <w:sz w:val="22"/>
                <w:szCs w:val="22"/>
                <w:vertAlign w:val="baseline"/>
              </w:rPr>
            </w:pPr>
          </w:p>
        </w:tc>
        <w:tc>
          <w:tcPr>
            <w:tcW w:w="1905" w:type="dxa"/>
            <w:noWrap w:val="0"/>
            <w:vAlign w:val="center"/>
          </w:tcPr>
          <w:p w14:paraId="1727DCEE">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 xml:space="preserve">138.4 </w:t>
            </w:r>
          </w:p>
        </w:tc>
      </w:tr>
      <w:tr w14:paraId="5772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noWrap w:val="0"/>
            <w:vAlign w:val="center"/>
          </w:tcPr>
          <w:p w14:paraId="5D709B71">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1 </w:t>
            </w:r>
          </w:p>
        </w:tc>
        <w:tc>
          <w:tcPr>
            <w:tcW w:w="2760" w:type="dxa"/>
            <w:noWrap w:val="0"/>
            <w:vAlign w:val="center"/>
          </w:tcPr>
          <w:p w14:paraId="3519BA16">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建设单位（业主）管理费</w:t>
            </w:r>
          </w:p>
        </w:tc>
        <w:tc>
          <w:tcPr>
            <w:tcW w:w="1425" w:type="dxa"/>
            <w:noWrap w:val="0"/>
            <w:vAlign w:val="center"/>
          </w:tcPr>
          <w:p w14:paraId="45E19377">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1项</w:t>
            </w:r>
          </w:p>
        </w:tc>
        <w:tc>
          <w:tcPr>
            <w:tcW w:w="1650" w:type="dxa"/>
            <w:noWrap w:val="0"/>
            <w:vAlign w:val="center"/>
          </w:tcPr>
          <w:p w14:paraId="6C5B6FBE">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累进制</w:t>
            </w:r>
          </w:p>
        </w:tc>
        <w:tc>
          <w:tcPr>
            <w:tcW w:w="1905" w:type="dxa"/>
            <w:noWrap w:val="0"/>
            <w:vAlign w:val="center"/>
          </w:tcPr>
          <w:p w14:paraId="4420CF05">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31.6 </w:t>
            </w:r>
          </w:p>
        </w:tc>
      </w:tr>
      <w:tr w14:paraId="6909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noWrap w:val="0"/>
            <w:vAlign w:val="center"/>
          </w:tcPr>
          <w:p w14:paraId="258C2D22">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2 </w:t>
            </w:r>
          </w:p>
        </w:tc>
        <w:tc>
          <w:tcPr>
            <w:tcW w:w="2760" w:type="dxa"/>
            <w:noWrap w:val="0"/>
            <w:vAlign w:val="center"/>
          </w:tcPr>
          <w:p w14:paraId="27FF4AE2">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建设项目信息化费</w:t>
            </w:r>
          </w:p>
        </w:tc>
        <w:tc>
          <w:tcPr>
            <w:tcW w:w="1425" w:type="dxa"/>
            <w:noWrap w:val="0"/>
            <w:vAlign w:val="center"/>
          </w:tcPr>
          <w:p w14:paraId="3DB04B3F">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1项</w:t>
            </w:r>
          </w:p>
        </w:tc>
        <w:tc>
          <w:tcPr>
            <w:tcW w:w="1650" w:type="dxa"/>
            <w:noWrap w:val="0"/>
            <w:vAlign w:val="center"/>
          </w:tcPr>
          <w:p w14:paraId="51B9AA75">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累进制</w:t>
            </w:r>
          </w:p>
        </w:tc>
        <w:tc>
          <w:tcPr>
            <w:tcW w:w="1905" w:type="dxa"/>
            <w:noWrap w:val="0"/>
            <w:vAlign w:val="center"/>
          </w:tcPr>
          <w:p w14:paraId="12890107">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7.5 </w:t>
            </w:r>
          </w:p>
        </w:tc>
      </w:tr>
      <w:tr w14:paraId="685B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noWrap w:val="0"/>
            <w:vAlign w:val="center"/>
          </w:tcPr>
          <w:p w14:paraId="4076DBBF">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3 </w:t>
            </w:r>
          </w:p>
        </w:tc>
        <w:tc>
          <w:tcPr>
            <w:tcW w:w="2760" w:type="dxa"/>
            <w:noWrap w:val="0"/>
            <w:vAlign w:val="center"/>
          </w:tcPr>
          <w:p w14:paraId="1B2CC8AB">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工程监理费</w:t>
            </w:r>
          </w:p>
        </w:tc>
        <w:tc>
          <w:tcPr>
            <w:tcW w:w="1425" w:type="dxa"/>
            <w:noWrap w:val="0"/>
            <w:vAlign w:val="center"/>
          </w:tcPr>
          <w:p w14:paraId="6EFCFBDA">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1项</w:t>
            </w:r>
          </w:p>
        </w:tc>
        <w:tc>
          <w:tcPr>
            <w:tcW w:w="1650" w:type="dxa"/>
            <w:noWrap w:val="0"/>
            <w:vAlign w:val="center"/>
          </w:tcPr>
          <w:p w14:paraId="0E0BA160">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累进制</w:t>
            </w:r>
          </w:p>
        </w:tc>
        <w:tc>
          <w:tcPr>
            <w:tcW w:w="1905" w:type="dxa"/>
            <w:noWrap w:val="0"/>
            <w:vAlign w:val="center"/>
          </w:tcPr>
          <w:p w14:paraId="4BFEBEB7">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40.4 </w:t>
            </w:r>
          </w:p>
        </w:tc>
      </w:tr>
      <w:tr w14:paraId="1D08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noWrap w:val="0"/>
            <w:vAlign w:val="center"/>
          </w:tcPr>
          <w:p w14:paraId="718F3371">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4 </w:t>
            </w:r>
          </w:p>
        </w:tc>
        <w:tc>
          <w:tcPr>
            <w:tcW w:w="2760" w:type="dxa"/>
            <w:noWrap w:val="0"/>
            <w:vAlign w:val="center"/>
          </w:tcPr>
          <w:p w14:paraId="493DE526">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设计文件审查费</w:t>
            </w:r>
          </w:p>
        </w:tc>
        <w:tc>
          <w:tcPr>
            <w:tcW w:w="1425" w:type="dxa"/>
            <w:noWrap w:val="0"/>
            <w:vAlign w:val="center"/>
          </w:tcPr>
          <w:p w14:paraId="18445162">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1项</w:t>
            </w:r>
          </w:p>
        </w:tc>
        <w:tc>
          <w:tcPr>
            <w:tcW w:w="1650" w:type="dxa"/>
            <w:noWrap w:val="0"/>
            <w:vAlign w:val="center"/>
          </w:tcPr>
          <w:p w14:paraId="5404C8B6">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累进制</w:t>
            </w:r>
          </w:p>
        </w:tc>
        <w:tc>
          <w:tcPr>
            <w:tcW w:w="1905" w:type="dxa"/>
            <w:noWrap w:val="0"/>
            <w:vAlign w:val="center"/>
          </w:tcPr>
          <w:p w14:paraId="4C509614">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1.2 </w:t>
            </w:r>
          </w:p>
        </w:tc>
      </w:tr>
      <w:tr w14:paraId="7E62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noWrap w:val="0"/>
            <w:vAlign w:val="center"/>
          </w:tcPr>
          <w:p w14:paraId="54F535C5">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5 </w:t>
            </w:r>
          </w:p>
        </w:tc>
        <w:tc>
          <w:tcPr>
            <w:tcW w:w="2760" w:type="dxa"/>
            <w:noWrap w:val="0"/>
            <w:vAlign w:val="center"/>
          </w:tcPr>
          <w:p w14:paraId="1982D72E">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竣（交）工验收试验检测费</w:t>
            </w:r>
          </w:p>
        </w:tc>
        <w:tc>
          <w:tcPr>
            <w:tcW w:w="1425" w:type="dxa"/>
            <w:noWrap w:val="0"/>
            <w:vAlign w:val="center"/>
          </w:tcPr>
          <w:p w14:paraId="5EB38EB5">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1项</w:t>
            </w:r>
          </w:p>
        </w:tc>
        <w:tc>
          <w:tcPr>
            <w:tcW w:w="1650" w:type="dxa"/>
            <w:noWrap w:val="0"/>
            <w:vAlign w:val="center"/>
          </w:tcPr>
          <w:p w14:paraId="4AE1174B">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5750元/km</w:t>
            </w:r>
          </w:p>
        </w:tc>
        <w:tc>
          <w:tcPr>
            <w:tcW w:w="1905" w:type="dxa"/>
            <w:noWrap w:val="0"/>
            <w:vAlign w:val="center"/>
          </w:tcPr>
          <w:p w14:paraId="15626392">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3.6 </w:t>
            </w:r>
          </w:p>
        </w:tc>
      </w:tr>
      <w:tr w14:paraId="7315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noWrap w:val="0"/>
            <w:vAlign w:val="center"/>
          </w:tcPr>
          <w:p w14:paraId="4667AF54">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6 </w:t>
            </w:r>
          </w:p>
        </w:tc>
        <w:tc>
          <w:tcPr>
            <w:tcW w:w="2760" w:type="dxa"/>
            <w:noWrap w:val="0"/>
            <w:vAlign w:val="center"/>
          </w:tcPr>
          <w:p w14:paraId="3FE7E2F5">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建设项目前期工作费</w:t>
            </w:r>
          </w:p>
        </w:tc>
        <w:tc>
          <w:tcPr>
            <w:tcW w:w="1425" w:type="dxa"/>
            <w:noWrap w:val="0"/>
            <w:vAlign w:val="center"/>
          </w:tcPr>
          <w:p w14:paraId="7877F66D">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1项</w:t>
            </w:r>
          </w:p>
        </w:tc>
        <w:tc>
          <w:tcPr>
            <w:tcW w:w="1650" w:type="dxa"/>
            <w:noWrap w:val="0"/>
            <w:vAlign w:val="center"/>
          </w:tcPr>
          <w:p w14:paraId="10B6A322">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累进制</w:t>
            </w:r>
          </w:p>
        </w:tc>
        <w:tc>
          <w:tcPr>
            <w:tcW w:w="1905" w:type="dxa"/>
            <w:noWrap w:val="0"/>
            <w:vAlign w:val="center"/>
          </w:tcPr>
          <w:p w14:paraId="01AA1215">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44.8 </w:t>
            </w:r>
          </w:p>
        </w:tc>
      </w:tr>
      <w:tr w14:paraId="3BF3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shd w:val="clear" w:color="auto" w:fill="auto"/>
            <w:noWrap w:val="0"/>
            <w:vAlign w:val="center"/>
          </w:tcPr>
          <w:p w14:paraId="182C2CD0">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7 </w:t>
            </w:r>
          </w:p>
        </w:tc>
        <w:tc>
          <w:tcPr>
            <w:tcW w:w="2760" w:type="dxa"/>
            <w:shd w:val="clear" w:color="FFFFFF" w:fill="FFFFFF"/>
            <w:noWrap w:val="0"/>
            <w:vAlign w:val="center"/>
          </w:tcPr>
          <w:p w14:paraId="6E8F97F9">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生产准备费</w:t>
            </w:r>
          </w:p>
        </w:tc>
        <w:tc>
          <w:tcPr>
            <w:tcW w:w="1425" w:type="dxa"/>
            <w:shd w:val="clear" w:color="FFFFFF" w:fill="FFFFFF"/>
            <w:noWrap w:val="0"/>
            <w:vAlign w:val="center"/>
          </w:tcPr>
          <w:p w14:paraId="14565EB8">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1项</w:t>
            </w:r>
          </w:p>
        </w:tc>
        <w:tc>
          <w:tcPr>
            <w:tcW w:w="1650" w:type="dxa"/>
            <w:shd w:val="clear" w:color="auto" w:fill="auto"/>
            <w:noWrap w:val="0"/>
            <w:vAlign w:val="center"/>
          </w:tcPr>
          <w:p w14:paraId="46CECFD2">
            <w:pPr>
              <w:jc w:val="center"/>
              <w:rPr>
                <w:rFonts w:hint="default" w:ascii="Times New Roman" w:hAnsi="Times New Roman" w:eastAsia="方正小标宋_GBK" w:cs="Times New Roman"/>
                <w:kern w:val="0"/>
                <w:sz w:val="22"/>
                <w:szCs w:val="22"/>
                <w:vertAlign w:val="baseline"/>
              </w:rPr>
            </w:pPr>
          </w:p>
        </w:tc>
        <w:tc>
          <w:tcPr>
            <w:tcW w:w="1905" w:type="dxa"/>
            <w:shd w:val="clear" w:color="FFFFFF" w:fill="FFFFFF"/>
            <w:noWrap w:val="0"/>
            <w:vAlign w:val="center"/>
          </w:tcPr>
          <w:p w14:paraId="15349287">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 xml:space="preserve">2.6 </w:t>
            </w:r>
          </w:p>
        </w:tc>
      </w:tr>
      <w:tr w14:paraId="4B15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shd w:val="clear" w:color="auto" w:fill="auto"/>
            <w:noWrap w:val="0"/>
            <w:vAlign w:val="center"/>
          </w:tcPr>
          <w:p w14:paraId="00C77EF9">
            <w:pPr>
              <w:keepNext w:val="0"/>
              <w:keepLines w:val="0"/>
              <w:widowControl/>
              <w:suppressLineNumbers w:val="0"/>
              <w:jc w:val="center"/>
              <w:textAlignment w:val="center"/>
              <w:rPr>
                <w:rFonts w:hint="default" w:ascii="Times New Roman" w:hAnsi="Times New Roman" w:cs="Times New Roman"/>
              </w:rPr>
            </w:pPr>
            <w:r>
              <w:rPr>
                <w:rFonts w:hint="eastAsia" w:cs="Times New Roman"/>
                <w:i w:val="0"/>
                <w:iCs w:val="0"/>
                <w:color w:val="000000"/>
                <w:kern w:val="0"/>
                <w:sz w:val="20"/>
                <w:szCs w:val="20"/>
                <w:u w:val="none"/>
                <w:lang w:val="en-US" w:eastAsia="zh-CN" w:bidi="ar"/>
              </w:rPr>
              <w:t>8</w:t>
            </w:r>
          </w:p>
        </w:tc>
        <w:tc>
          <w:tcPr>
            <w:tcW w:w="2760" w:type="dxa"/>
            <w:shd w:val="clear" w:color="auto" w:fill="auto"/>
            <w:noWrap w:val="0"/>
            <w:vAlign w:val="center"/>
          </w:tcPr>
          <w:p w14:paraId="7588775C">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工程保险费</w:t>
            </w:r>
          </w:p>
        </w:tc>
        <w:tc>
          <w:tcPr>
            <w:tcW w:w="1425" w:type="dxa"/>
            <w:shd w:val="clear" w:color="FFFFFF" w:fill="FFFFFF"/>
            <w:noWrap w:val="0"/>
            <w:vAlign w:val="center"/>
          </w:tcPr>
          <w:p w14:paraId="28901420">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1项</w:t>
            </w:r>
          </w:p>
        </w:tc>
        <w:tc>
          <w:tcPr>
            <w:tcW w:w="1650" w:type="dxa"/>
            <w:shd w:val="clear" w:color="FFFFFF" w:fill="FFFFFF"/>
            <w:noWrap w:val="0"/>
            <w:vAlign w:val="center"/>
          </w:tcPr>
          <w:p w14:paraId="40ABF23C">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1905" w:type="dxa"/>
            <w:shd w:val="clear" w:color="FFFFFF" w:fill="FFFFFF"/>
            <w:noWrap w:val="0"/>
            <w:vAlign w:val="center"/>
          </w:tcPr>
          <w:p w14:paraId="38DB9A30">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6.7 </w:t>
            </w:r>
          </w:p>
        </w:tc>
      </w:tr>
      <w:tr w14:paraId="570F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83" w:type="dxa"/>
            <w:gridSpan w:val="2"/>
            <w:shd w:val="clear" w:color="auto" w:fill="auto"/>
            <w:noWrap w:val="0"/>
            <w:vAlign w:val="center"/>
          </w:tcPr>
          <w:p w14:paraId="57B9528F">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b/>
                <w:bCs/>
                <w:i w:val="0"/>
                <w:iCs w:val="0"/>
                <w:color w:val="000000"/>
                <w:kern w:val="0"/>
                <w:sz w:val="24"/>
                <w:szCs w:val="24"/>
                <w:u w:val="none"/>
                <w:lang w:val="en-US" w:eastAsia="zh-CN" w:bidi="ar"/>
              </w:rPr>
              <w:t>第一、二部分费用总和</w:t>
            </w:r>
          </w:p>
        </w:tc>
        <w:tc>
          <w:tcPr>
            <w:tcW w:w="1425" w:type="dxa"/>
            <w:shd w:val="clear" w:color="FFFFFF" w:fill="FFFFFF"/>
            <w:noWrap w:val="0"/>
            <w:vAlign w:val="center"/>
          </w:tcPr>
          <w:p w14:paraId="42F231B2">
            <w:pPr>
              <w:jc w:val="center"/>
              <w:rPr>
                <w:rFonts w:hint="default" w:ascii="Times New Roman" w:hAnsi="Times New Roman" w:eastAsia="宋体" w:cs="Times New Roman"/>
                <w:b/>
                <w:i w:val="0"/>
                <w:color w:val="000000"/>
                <w:kern w:val="0"/>
                <w:sz w:val="20"/>
                <w:szCs w:val="20"/>
                <w:u w:val="none"/>
                <w:lang w:val="en-US" w:eastAsia="zh-CN" w:bidi="ar"/>
              </w:rPr>
            </w:pPr>
          </w:p>
        </w:tc>
        <w:tc>
          <w:tcPr>
            <w:tcW w:w="1650" w:type="dxa"/>
            <w:shd w:val="clear" w:color="FFFFFF" w:fill="FFFFFF"/>
            <w:noWrap w:val="0"/>
            <w:vAlign w:val="center"/>
          </w:tcPr>
          <w:p w14:paraId="5CBBB71C">
            <w:pPr>
              <w:jc w:val="center"/>
              <w:rPr>
                <w:rFonts w:hint="default" w:ascii="Times New Roman" w:hAnsi="Times New Roman" w:eastAsia="方正小标宋_GBK" w:cs="Times New Roman"/>
                <w:kern w:val="0"/>
                <w:sz w:val="22"/>
                <w:szCs w:val="22"/>
                <w:vertAlign w:val="baseline"/>
              </w:rPr>
            </w:pPr>
          </w:p>
        </w:tc>
        <w:tc>
          <w:tcPr>
            <w:tcW w:w="1905" w:type="dxa"/>
            <w:shd w:val="clear" w:color="FFFFFF" w:fill="FFFFFF"/>
            <w:noWrap w:val="0"/>
            <w:vAlign w:val="center"/>
          </w:tcPr>
          <w:p w14:paraId="6B2BA740">
            <w:pPr>
              <w:keepNext w:val="0"/>
              <w:keepLines w:val="0"/>
              <w:widowControl/>
              <w:suppressLineNumbers w:val="0"/>
              <w:jc w:val="center"/>
              <w:textAlignment w:val="center"/>
              <w:rPr>
                <w:rFonts w:hint="default" w:ascii="Times New Roman" w:hAnsi="Times New Roman" w:eastAsia="宋体" w:cs="Times New Roman"/>
                <w:b/>
                <w:i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1807.0 </w:t>
            </w:r>
          </w:p>
        </w:tc>
      </w:tr>
      <w:tr w14:paraId="483E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shd w:val="clear" w:color="auto" w:fill="auto"/>
            <w:noWrap w:val="0"/>
            <w:vAlign w:val="center"/>
          </w:tcPr>
          <w:p w14:paraId="59A13ACE">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三</w:t>
            </w:r>
          </w:p>
        </w:tc>
        <w:tc>
          <w:tcPr>
            <w:tcW w:w="2760" w:type="dxa"/>
            <w:shd w:val="clear" w:color="FFFFFF" w:fill="FFFFFF"/>
            <w:noWrap w:val="0"/>
            <w:vAlign w:val="center"/>
          </w:tcPr>
          <w:p w14:paraId="5A173028">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基本预备费</w:t>
            </w:r>
          </w:p>
        </w:tc>
        <w:tc>
          <w:tcPr>
            <w:tcW w:w="1425" w:type="dxa"/>
            <w:shd w:val="clear" w:color="FFFFFF" w:fill="FFFFFF"/>
            <w:noWrap w:val="0"/>
            <w:vAlign w:val="center"/>
          </w:tcPr>
          <w:p w14:paraId="4D8F8315">
            <w:pPr>
              <w:jc w:val="center"/>
              <w:rPr>
                <w:rFonts w:hint="default" w:ascii="Times New Roman" w:hAnsi="Times New Roman" w:eastAsia="宋体" w:cs="Times New Roman"/>
                <w:i w:val="0"/>
                <w:color w:val="000000"/>
                <w:kern w:val="0"/>
                <w:sz w:val="20"/>
                <w:szCs w:val="20"/>
                <w:u w:val="none"/>
                <w:lang w:val="en-US" w:eastAsia="zh-CN" w:bidi="ar"/>
              </w:rPr>
            </w:pPr>
          </w:p>
        </w:tc>
        <w:tc>
          <w:tcPr>
            <w:tcW w:w="1650" w:type="dxa"/>
            <w:shd w:val="clear" w:color="FFFFFF" w:fill="FFFFFF"/>
            <w:noWrap w:val="0"/>
            <w:vAlign w:val="center"/>
          </w:tcPr>
          <w:p w14:paraId="0014D633">
            <w:pPr>
              <w:keepNext w:val="0"/>
              <w:keepLines w:val="0"/>
              <w:widowControl/>
              <w:suppressLineNumbers w:val="0"/>
              <w:jc w:val="center"/>
              <w:textAlignment w:val="center"/>
              <w:rPr>
                <w:rFonts w:hint="default" w:ascii="Times New Roman" w:hAnsi="Times New Roman" w:eastAsia="方正小标宋_GBK" w:cs="Times New Roman"/>
                <w:kern w:val="0"/>
                <w:sz w:val="22"/>
                <w:szCs w:val="22"/>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5.0%</w:t>
            </w:r>
          </w:p>
        </w:tc>
        <w:tc>
          <w:tcPr>
            <w:tcW w:w="1905" w:type="dxa"/>
            <w:shd w:val="clear" w:color="FFFFFF" w:fill="FFFFFF"/>
            <w:noWrap w:val="0"/>
            <w:vAlign w:val="center"/>
          </w:tcPr>
          <w:p w14:paraId="2C1992CA">
            <w:pPr>
              <w:keepNext w:val="0"/>
              <w:keepLines w:val="0"/>
              <w:widowControl/>
              <w:suppressLineNumbers w:val="0"/>
              <w:jc w:val="center"/>
              <w:textAlignment w:val="center"/>
              <w:rPr>
                <w:rFonts w:hint="default" w:ascii="Times New Roman" w:hAnsi="Times New Roman" w:eastAsia="宋体" w:cs="Times New Roman"/>
                <w:b/>
                <w:i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90.3 </w:t>
            </w:r>
          </w:p>
        </w:tc>
      </w:tr>
      <w:tr w14:paraId="71C3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23" w:type="dxa"/>
            <w:shd w:val="clear" w:color="auto" w:fill="auto"/>
            <w:noWrap w:val="0"/>
            <w:vAlign w:val="center"/>
          </w:tcPr>
          <w:p w14:paraId="0A6A9B76">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四</w:t>
            </w:r>
          </w:p>
        </w:tc>
        <w:tc>
          <w:tcPr>
            <w:tcW w:w="2760" w:type="dxa"/>
            <w:shd w:val="clear" w:color="FFFFFF" w:fill="FFFFFF"/>
            <w:noWrap w:val="0"/>
            <w:vAlign w:val="center"/>
          </w:tcPr>
          <w:p w14:paraId="13FD6F04">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概算总投资</w:t>
            </w:r>
          </w:p>
        </w:tc>
        <w:tc>
          <w:tcPr>
            <w:tcW w:w="1425" w:type="dxa"/>
            <w:shd w:val="clear" w:color="FFFFFF" w:fill="FFFFFF"/>
            <w:noWrap w:val="0"/>
            <w:vAlign w:val="center"/>
          </w:tcPr>
          <w:p w14:paraId="5EC90D4B">
            <w:pPr>
              <w:jc w:val="center"/>
              <w:rPr>
                <w:rFonts w:hint="default" w:ascii="Times New Roman" w:hAnsi="Times New Roman" w:eastAsia="宋体" w:cs="Times New Roman"/>
                <w:i w:val="0"/>
                <w:color w:val="000000"/>
                <w:kern w:val="0"/>
                <w:sz w:val="20"/>
                <w:szCs w:val="20"/>
                <w:u w:val="none"/>
                <w:lang w:val="en-US" w:eastAsia="zh-CN" w:bidi="ar"/>
              </w:rPr>
            </w:pPr>
          </w:p>
        </w:tc>
        <w:tc>
          <w:tcPr>
            <w:tcW w:w="1650" w:type="dxa"/>
            <w:shd w:val="clear" w:color="FFFFFF" w:fill="FFFFFF"/>
            <w:noWrap w:val="0"/>
            <w:vAlign w:val="center"/>
          </w:tcPr>
          <w:p w14:paraId="52AE3FD8">
            <w:pPr>
              <w:jc w:val="center"/>
              <w:rPr>
                <w:rFonts w:hint="default" w:ascii="Times New Roman" w:hAnsi="Times New Roman" w:eastAsia="方正小标宋_GBK" w:cs="Times New Roman"/>
                <w:kern w:val="0"/>
                <w:sz w:val="22"/>
                <w:szCs w:val="22"/>
                <w:vertAlign w:val="baseline"/>
              </w:rPr>
            </w:pPr>
          </w:p>
        </w:tc>
        <w:tc>
          <w:tcPr>
            <w:tcW w:w="1905" w:type="dxa"/>
            <w:shd w:val="clear" w:color="FFFFFF" w:fill="FFFFFF"/>
            <w:noWrap w:val="0"/>
            <w:vAlign w:val="center"/>
          </w:tcPr>
          <w:p w14:paraId="77D887DD">
            <w:pPr>
              <w:keepNext w:val="0"/>
              <w:keepLines w:val="0"/>
              <w:widowControl/>
              <w:suppressLineNumbers w:val="0"/>
              <w:jc w:val="center"/>
              <w:textAlignment w:val="center"/>
              <w:rPr>
                <w:rFonts w:hint="default" w:ascii="Times New Roman" w:hAnsi="Times New Roman" w:eastAsia="宋体" w:cs="Times New Roman"/>
                <w:b/>
                <w:i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1897.3 </w:t>
            </w:r>
          </w:p>
        </w:tc>
      </w:tr>
    </w:tbl>
    <w:p w14:paraId="407DEB18">
      <w:pPr>
        <w:pStyle w:val="5"/>
        <w:spacing w:line="580" w:lineRule="exact"/>
        <w:jc w:val="both"/>
        <w:rPr>
          <w:rFonts w:hint="eastAsia" w:ascii="方正小标宋_GBK" w:hAnsi="方正小标宋_GBK" w:eastAsia="方正小标宋_GBK" w:cs="方正小标宋_GBK"/>
          <w:kern w:val="0"/>
          <w:sz w:val="24"/>
          <w:szCs w:val="24"/>
        </w:rPr>
      </w:pPr>
    </w:p>
    <w:p w14:paraId="7F12799C">
      <w:pPr>
        <w:pStyle w:val="5"/>
        <w:spacing w:line="580" w:lineRule="exact"/>
        <w:jc w:val="both"/>
        <w:rPr>
          <w:rFonts w:hint="eastAsia" w:ascii="方正小标宋_GBK" w:hAnsi="方正小标宋_GBK" w:eastAsia="方正小标宋_GBK" w:cs="方正小标宋_GBK"/>
          <w:kern w:val="0"/>
          <w:sz w:val="24"/>
          <w:szCs w:val="24"/>
        </w:rPr>
      </w:pPr>
    </w:p>
    <w:p w14:paraId="483C1E41">
      <w:pPr>
        <w:pStyle w:val="5"/>
        <w:spacing w:line="580" w:lineRule="exact"/>
        <w:jc w:val="both"/>
        <w:rPr>
          <w:rFonts w:hint="eastAsia" w:ascii="方正小标宋_GBK" w:hAnsi="方正小标宋_GBK" w:eastAsia="方正小标宋_GBK" w:cs="方正小标宋_GBK"/>
          <w:kern w:val="0"/>
          <w:sz w:val="24"/>
          <w:szCs w:val="24"/>
        </w:rPr>
      </w:pPr>
    </w:p>
    <w:p w14:paraId="746455C0">
      <w:pPr>
        <w:pStyle w:val="5"/>
        <w:spacing w:line="580" w:lineRule="exact"/>
        <w:jc w:val="both"/>
        <w:rPr>
          <w:rFonts w:hint="eastAsia" w:ascii="方正小标宋_GBK" w:hAnsi="方正小标宋_GBK" w:eastAsia="方正小标宋_GBK" w:cs="方正小标宋_GBK"/>
          <w:kern w:val="0"/>
          <w:sz w:val="24"/>
          <w:szCs w:val="24"/>
        </w:rPr>
      </w:pPr>
    </w:p>
    <w:p w14:paraId="341A1E1F">
      <w:pPr>
        <w:pStyle w:val="5"/>
        <w:spacing w:line="580" w:lineRule="exact"/>
        <w:jc w:val="both"/>
        <w:rPr>
          <w:rFonts w:hint="eastAsia" w:ascii="方正小标宋_GBK" w:hAnsi="方正小标宋_GBK" w:eastAsia="方正小标宋_GBK" w:cs="方正小标宋_GBK"/>
          <w:kern w:val="0"/>
          <w:sz w:val="24"/>
          <w:szCs w:val="24"/>
        </w:rPr>
      </w:pPr>
    </w:p>
    <w:p w14:paraId="0845E6E7">
      <w:pPr>
        <w:pStyle w:val="5"/>
        <w:spacing w:line="580" w:lineRule="exact"/>
        <w:jc w:val="both"/>
        <w:rPr>
          <w:rFonts w:hint="eastAsia" w:ascii="方正小标宋_GBK" w:hAnsi="方正小标宋_GBK" w:eastAsia="方正小标宋_GBK" w:cs="方正小标宋_GBK"/>
          <w:kern w:val="0"/>
          <w:sz w:val="24"/>
          <w:szCs w:val="24"/>
        </w:rPr>
      </w:pPr>
    </w:p>
    <w:p w14:paraId="173D378D">
      <w:pPr>
        <w:pStyle w:val="5"/>
        <w:spacing w:line="580" w:lineRule="exact"/>
        <w:jc w:val="both"/>
        <w:rPr>
          <w:rFonts w:hint="eastAsia" w:ascii="方正小标宋_GBK" w:hAnsi="方正小标宋_GBK" w:eastAsia="方正小标宋_GBK" w:cs="方正小标宋_GBK"/>
          <w:kern w:val="0"/>
          <w:sz w:val="24"/>
          <w:szCs w:val="24"/>
        </w:rPr>
      </w:pPr>
    </w:p>
    <w:p w14:paraId="07D0206C">
      <w:pPr>
        <w:pStyle w:val="5"/>
        <w:spacing w:line="580" w:lineRule="exact"/>
        <w:jc w:val="both"/>
        <w:rPr>
          <w:rFonts w:hint="eastAsia" w:ascii="方正小标宋_GBK" w:hAnsi="方正小标宋_GBK" w:eastAsia="方正小标宋_GBK" w:cs="方正小标宋_GBK"/>
          <w:kern w:val="0"/>
          <w:sz w:val="24"/>
          <w:szCs w:val="24"/>
        </w:rPr>
      </w:pPr>
    </w:p>
    <w:p w14:paraId="59554214">
      <w:pPr>
        <w:pStyle w:val="5"/>
        <w:spacing w:line="580" w:lineRule="exact"/>
        <w:jc w:val="both"/>
        <w:rPr>
          <w:rFonts w:hint="eastAsia" w:ascii="方正小标宋_GBK" w:hAnsi="方正小标宋_GBK" w:eastAsia="方正小标宋_GBK" w:cs="方正小标宋_GBK"/>
          <w:kern w:val="0"/>
          <w:sz w:val="24"/>
          <w:szCs w:val="24"/>
        </w:rPr>
      </w:pPr>
    </w:p>
    <w:p w14:paraId="199FEC10">
      <w:pPr>
        <w:pStyle w:val="5"/>
        <w:spacing w:line="580" w:lineRule="exact"/>
        <w:jc w:val="both"/>
        <w:rPr>
          <w:rFonts w:hint="eastAsia" w:ascii="方正小标宋_GBK" w:hAnsi="方正小标宋_GBK" w:eastAsia="方正小标宋_GBK" w:cs="方正小标宋_GBK"/>
          <w:kern w:val="0"/>
          <w:sz w:val="24"/>
          <w:szCs w:val="24"/>
        </w:rPr>
      </w:pPr>
    </w:p>
    <w:p w14:paraId="483908A6">
      <w:pPr>
        <w:pStyle w:val="5"/>
        <w:spacing w:line="580" w:lineRule="exact"/>
        <w:jc w:val="both"/>
        <w:rPr>
          <w:rFonts w:hint="eastAsia" w:ascii="方正小标宋_GBK" w:hAnsi="方正小标宋_GBK" w:eastAsia="方正小标宋_GBK" w:cs="方正小标宋_GBK"/>
          <w:kern w:val="0"/>
          <w:sz w:val="24"/>
          <w:szCs w:val="24"/>
        </w:rPr>
      </w:pPr>
    </w:p>
    <w:p w14:paraId="11133636">
      <w:pPr>
        <w:pStyle w:val="5"/>
        <w:spacing w:line="580" w:lineRule="exact"/>
        <w:jc w:val="both"/>
        <w:rPr>
          <w:rFonts w:hint="eastAsia" w:ascii="方正小标宋_GBK" w:hAnsi="方正小标宋_GBK" w:eastAsia="方正小标宋_GBK" w:cs="方正小标宋_GBK"/>
          <w:kern w:val="0"/>
          <w:sz w:val="24"/>
          <w:szCs w:val="24"/>
        </w:rPr>
      </w:pPr>
    </w:p>
    <w:p w14:paraId="489F8FAB">
      <w:pPr>
        <w:pStyle w:val="5"/>
        <w:spacing w:line="580" w:lineRule="exact"/>
        <w:jc w:val="both"/>
        <w:rPr>
          <w:rFonts w:hint="eastAsia" w:ascii="方正小标宋_GBK" w:hAnsi="方正小标宋_GBK" w:eastAsia="方正小标宋_GBK" w:cs="方正小标宋_GBK"/>
          <w:kern w:val="0"/>
          <w:sz w:val="24"/>
          <w:szCs w:val="24"/>
        </w:rPr>
      </w:pPr>
    </w:p>
    <w:p w14:paraId="7F92E330">
      <w:pPr>
        <w:pStyle w:val="5"/>
        <w:spacing w:line="580" w:lineRule="exact"/>
        <w:jc w:val="both"/>
        <w:rPr>
          <w:rFonts w:hint="eastAsia" w:ascii="方正小标宋_GBK" w:hAnsi="方正小标宋_GBK" w:eastAsia="方正小标宋_GBK" w:cs="方正小标宋_GBK"/>
          <w:kern w:val="0"/>
          <w:sz w:val="24"/>
          <w:szCs w:val="24"/>
        </w:rPr>
      </w:pPr>
    </w:p>
    <w:p w14:paraId="5129AC7C">
      <w:pPr>
        <w:pStyle w:val="5"/>
        <w:spacing w:line="580" w:lineRule="exact"/>
        <w:jc w:val="both"/>
        <w:rPr>
          <w:rFonts w:hint="eastAsia" w:ascii="方正小标宋_GBK" w:hAnsi="方正小标宋_GBK" w:eastAsia="方正小标宋_GBK" w:cs="方正小标宋_GBK"/>
          <w:kern w:val="0"/>
          <w:sz w:val="24"/>
          <w:szCs w:val="24"/>
        </w:rPr>
      </w:pPr>
    </w:p>
    <w:p w14:paraId="0F3D344E">
      <w:pPr>
        <w:pStyle w:val="5"/>
        <w:spacing w:line="580" w:lineRule="exact"/>
        <w:jc w:val="both"/>
        <w:rPr>
          <w:rFonts w:hint="eastAsia" w:ascii="方正小标宋_GBK" w:hAnsi="方正小标宋_GBK" w:eastAsia="方正小标宋_GBK" w:cs="方正小标宋_GBK"/>
          <w:kern w:val="0"/>
          <w:sz w:val="24"/>
          <w:szCs w:val="24"/>
        </w:rPr>
      </w:pPr>
    </w:p>
    <w:p w14:paraId="21C593AD">
      <w:pPr>
        <w:pStyle w:val="5"/>
        <w:spacing w:line="580" w:lineRule="exact"/>
        <w:jc w:val="both"/>
        <w:rPr>
          <w:rFonts w:hint="eastAsia" w:ascii="方正小标宋_GBK" w:hAnsi="方正小标宋_GBK" w:eastAsia="方正小标宋_GBK" w:cs="方正小标宋_GBK"/>
          <w:kern w:val="0"/>
          <w:sz w:val="24"/>
          <w:szCs w:val="24"/>
        </w:rPr>
      </w:pPr>
      <w:bookmarkStart w:id="0" w:name="_GoBack"/>
      <w:bookmarkEnd w:id="0"/>
    </w:p>
    <w:p w14:paraId="6CCF0566">
      <w:pPr>
        <w:pStyle w:val="5"/>
        <w:spacing w:line="580" w:lineRule="exact"/>
        <w:jc w:val="both"/>
        <w:rPr>
          <w:rFonts w:hint="eastAsia" w:ascii="方正小标宋_GBK" w:hAnsi="方正小标宋_GBK" w:eastAsia="方正小标宋_GBK" w:cs="方正小标宋_GBK"/>
          <w:kern w:val="0"/>
          <w:sz w:val="24"/>
          <w:szCs w:val="24"/>
        </w:rPr>
      </w:pPr>
    </w:p>
    <w:p w14:paraId="653D77F8">
      <w:pPr>
        <w:pStyle w:val="5"/>
        <w:spacing w:line="580" w:lineRule="exact"/>
        <w:jc w:val="both"/>
        <w:rPr>
          <w:rFonts w:hint="eastAsia" w:ascii="方正小标宋_GBK" w:hAnsi="方正小标宋_GBK" w:eastAsia="方正小标宋_GBK" w:cs="方正小标宋_GBK"/>
          <w:kern w:val="0"/>
          <w:sz w:val="24"/>
          <w:szCs w:val="24"/>
        </w:rPr>
      </w:pPr>
    </w:p>
    <w:p w14:paraId="722D3205">
      <w:pPr>
        <w:pStyle w:val="5"/>
        <w:spacing w:line="580" w:lineRule="exact"/>
        <w:jc w:val="both"/>
        <w:rPr>
          <w:rFonts w:hint="eastAsia" w:ascii="方正小标宋_GBK" w:hAnsi="方正小标宋_GBK" w:eastAsia="方正小标宋_GBK" w:cs="方正小标宋_GBK"/>
          <w:kern w:val="0"/>
          <w:sz w:val="24"/>
          <w:szCs w:val="24"/>
        </w:rPr>
      </w:pPr>
    </w:p>
    <w:p w14:paraId="3DBC55BB">
      <w:pPr>
        <w:pStyle w:val="5"/>
        <w:spacing w:line="580" w:lineRule="exact"/>
        <w:jc w:val="both"/>
        <w:rPr>
          <w:rFonts w:hint="eastAsia" w:ascii="方正小标宋_GBK" w:hAnsi="方正小标宋_GBK" w:eastAsia="方正小标宋_GBK" w:cs="方正小标宋_GBK"/>
          <w:kern w:val="0"/>
          <w:sz w:val="24"/>
          <w:szCs w:val="24"/>
        </w:rPr>
      </w:pPr>
    </w:p>
    <w:p w14:paraId="427F83EB">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30</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ABECA9E2-5235-4E81-A0EB-DE934D065C97}"/>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8BCCB776-F86E-4C51-9827-10D7F1954D65}"/>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74A6D5F4-98FF-4F08-BC78-C9982F9258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3"/>
        <w:rFonts w:hint="eastAsia" w:ascii="宋体" w:hAnsi="宋体" w:cs="宋体"/>
        <w:sz w:val="28"/>
        <w:szCs w:val="28"/>
      </w:rPr>
    </w:pPr>
    <w:r>
      <w:rPr>
        <w:rFonts w:hint="eastAsia" w:ascii="宋体" w:hAnsi="宋体" w:cs="宋体"/>
        <w:sz w:val="28"/>
        <w:szCs w:val="28"/>
      </w:rPr>
      <w:fldChar w:fldCharType="begin"/>
    </w:r>
    <w:r>
      <w:rPr>
        <w:rStyle w:val="13"/>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3"/>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224362A"/>
    <w:rsid w:val="02B26E88"/>
    <w:rsid w:val="04BB474E"/>
    <w:rsid w:val="06B156A8"/>
    <w:rsid w:val="06CB4FA1"/>
    <w:rsid w:val="09FA769E"/>
    <w:rsid w:val="0B7A378A"/>
    <w:rsid w:val="0C2D2A4E"/>
    <w:rsid w:val="0C443D5D"/>
    <w:rsid w:val="0C4A4FFD"/>
    <w:rsid w:val="0CFC0645"/>
    <w:rsid w:val="0D37421D"/>
    <w:rsid w:val="0DB25F8E"/>
    <w:rsid w:val="0E090617"/>
    <w:rsid w:val="113759E8"/>
    <w:rsid w:val="119A3908"/>
    <w:rsid w:val="12FB03D7"/>
    <w:rsid w:val="138E124B"/>
    <w:rsid w:val="14CA633F"/>
    <w:rsid w:val="14D507B4"/>
    <w:rsid w:val="15636F5B"/>
    <w:rsid w:val="16730284"/>
    <w:rsid w:val="175C5702"/>
    <w:rsid w:val="181B2628"/>
    <w:rsid w:val="18365A0D"/>
    <w:rsid w:val="193E59D1"/>
    <w:rsid w:val="1A261065"/>
    <w:rsid w:val="1B214753"/>
    <w:rsid w:val="1D5C1A72"/>
    <w:rsid w:val="1F013809"/>
    <w:rsid w:val="1F950368"/>
    <w:rsid w:val="208F215E"/>
    <w:rsid w:val="226F3FF6"/>
    <w:rsid w:val="230C7A96"/>
    <w:rsid w:val="242A28CA"/>
    <w:rsid w:val="24394CB3"/>
    <w:rsid w:val="250D18ED"/>
    <w:rsid w:val="254A0970"/>
    <w:rsid w:val="269E30FB"/>
    <w:rsid w:val="27F93F48"/>
    <w:rsid w:val="28D139F4"/>
    <w:rsid w:val="2A636B36"/>
    <w:rsid w:val="2AD46A97"/>
    <w:rsid w:val="2B801021"/>
    <w:rsid w:val="2C6426F1"/>
    <w:rsid w:val="2D851931"/>
    <w:rsid w:val="2E402CEA"/>
    <w:rsid w:val="2E8E1CA7"/>
    <w:rsid w:val="31943A79"/>
    <w:rsid w:val="31A87524"/>
    <w:rsid w:val="34E02B31"/>
    <w:rsid w:val="35B53FBD"/>
    <w:rsid w:val="3639699D"/>
    <w:rsid w:val="3701395E"/>
    <w:rsid w:val="39705D78"/>
    <w:rsid w:val="397671E0"/>
    <w:rsid w:val="3B007A89"/>
    <w:rsid w:val="3C3F2833"/>
    <w:rsid w:val="3CEF6007"/>
    <w:rsid w:val="3DE43692"/>
    <w:rsid w:val="3EF47EDA"/>
    <w:rsid w:val="40A351EE"/>
    <w:rsid w:val="42212F8E"/>
    <w:rsid w:val="42957651"/>
    <w:rsid w:val="431F6F1A"/>
    <w:rsid w:val="487D33E1"/>
    <w:rsid w:val="4E50267E"/>
    <w:rsid w:val="4F735634"/>
    <w:rsid w:val="4FFB4CF6"/>
    <w:rsid w:val="505A50ED"/>
    <w:rsid w:val="5130612A"/>
    <w:rsid w:val="526173FA"/>
    <w:rsid w:val="534E1E00"/>
    <w:rsid w:val="557B4484"/>
    <w:rsid w:val="5726180C"/>
    <w:rsid w:val="57A8352A"/>
    <w:rsid w:val="57DD0F68"/>
    <w:rsid w:val="5DB06C95"/>
    <w:rsid w:val="5DFC7A57"/>
    <w:rsid w:val="5F75634D"/>
    <w:rsid w:val="5FFE1A79"/>
    <w:rsid w:val="616F605C"/>
    <w:rsid w:val="61BC3E5A"/>
    <w:rsid w:val="61FC4B9F"/>
    <w:rsid w:val="6223212B"/>
    <w:rsid w:val="62AC0373"/>
    <w:rsid w:val="62F45876"/>
    <w:rsid w:val="653B0AE4"/>
    <w:rsid w:val="6609788A"/>
    <w:rsid w:val="66560D21"/>
    <w:rsid w:val="678D70A8"/>
    <w:rsid w:val="69E421A0"/>
    <w:rsid w:val="6A6C1DE8"/>
    <w:rsid w:val="6AF30A16"/>
    <w:rsid w:val="6BAE6A0F"/>
    <w:rsid w:val="6C68355C"/>
    <w:rsid w:val="6CE440E0"/>
    <w:rsid w:val="6D806684"/>
    <w:rsid w:val="6E301E58"/>
    <w:rsid w:val="6EF61234"/>
    <w:rsid w:val="6F80296B"/>
    <w:rsid w:val="6FFB0243"/>
    <w:rsid w:val="72141C90"/>
    <w:rsid w:val="72785B7B"/>
    <w:rsid w:val="760313E2"/>
    <w:rsid w:val="764E6BC5"/>
    <w:rsid w:val="78624336"/>
    <w:rsid w:val="798F3B70"/>
    <w:rsid w:val="79D0629D"/>
    <w:rsid w:val="7AED1855"/>
    <w:rsid w:val="7CE02C9B"/>
    <w:rsid w:val="7DDD542C"/>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customStyle="1" w:styleId="14">
    <w:name w:val="页眉 Char"/>
    <w:basedOn w:val="12"/>
    <w:link w:val="9"/>
    <w:semiHidden/>
    <w:qFormat/>
    <w:locked/>
    <w:uiPriority w:val="0"/>
    <w:rPr>
      <w:rFonts w:eastAsia="宋体"/>
      <w:kern w:val="2"/>
      <w:sz w:val="18"/>
      <w:szCs w:val="18"/>
      <w:lang w:val="en-US" w:eastAsia="zh-CN" w:bidi="ar-SA"/>
    </w:rPr>
  </w:style>
  <w:style w:type="character" w:customStyle="1" w:styleId="15">
    <w:name w:val="font21"/>
    <w:basedOn w:val="12"/>
    <w:qFormat/>
    <w:uiPriority w:val="0"/>
    <w:rPr>
      <w:rFonts w:hint="eastAsia" w:ascii="宋体" w:hAnsi="宋体" w:eastAsia="宋体" w:cs="宋体"/>
      <w:color w:val="000000"/>
      <w:sz w:val="24"/>
      <w:szCs w:val="24"/>
      <w:u w:val="none"/>
    </w:rPr>
  </w:style>
  <w:style w:type="character" w:customStyle="1" w:styleId="16">
    <w:name w:val="font41"/>
    <w:basedOn w:val="12"/>
    <w:qFormat/>
    <w:uiPriority w:val="0"/>
    <w:rPr>
      <w:rFonts w:hint="eastAsia" w:ascii="方正仿宋_GBK" w:hAnsi="方正仿宋_GBK" w:eastAsia="方正仿宋_GBK" w:cs="方正仿宋_GBK"/>
      <w:color w:val="000000"/>
      <w:sz w:val="28"/>
      <w:szCs w:val="28"/>
      <w:u w:val="none"/>
    </w:rPr>
  </w:style>
  <w:style w:type="paragraph" w:customStyle="1" w:styleId="17">
    <w:name w:val="默认段落字体 Para Char Char Char Char"/>
    <w:basedOn w:val="1"/>
    <w:qFormat/>
    <w:uiPriority w:val="0"/>
    <w:rPr>
      <w:szCs w:val="20"/>
    </w:rPr>
  </w:style>
  <w:style w:type="paragraph" w:customStyle="1" w:styleId="18">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9">
    <w:name w:val="font71"/>
    <w:basedOn w:val="12"/>
    <w:qFormat/>
    <w:uiPriority w:val="0"/>
    <w:rPr>
      <w:rFonts w:ascii="方正黑体_GBK" w:hAnsi="方正黑体_GBK" w:eastAsia="方正黑体_GBK" w:cs="方正黑体_GBK"/>
      <w:color w:val="000000"/>
      <w:sz w:val="28"/>
      <w:szCs w:val="28"/>
      <w:u w:val="none"/>
    </w:rPr>
  </w:style>
  <w:style w:type="character" w:customStyle="1" w:styleId="20">
    <w:name w:val="font81"/>
    <w:basedOn w:val="12"/>
    <w:qFormat/>
    <w:uiPriority w:val="0"/>
    <w:rPr>
      <w:rFonts w:ascii="方正楷体_GBK" w:hAnsi="方正楷体_GBK" w:eastAsia="方正楷体_GBK" w:cs="方正楷体_GBK"/>
      <w:b/>
      <w:bCs/>
      <w:color w:val="000000"/>
      <w:sz w:val="24"/>
      <w:szCs w:val="24"/>
      <w:u w:val="none"/>
    </w:rPr>
  </w:style>
  <w:style w:type="character" w:customStyle="1" w:styleId="21">
    <w:name w:val="font91"/>
    <w:basedOn w:val="12"/>
    <w:qFormat/>
    <w:uiPriority w:val="0"/>
    <w:rPr>
      <w:rFonts w:ascii="方正仿宋_GBK" w:hAnsi="方正仿宋_GBK" w:eastAsia="方正仿宋_GBK" w:cs="方正仿宋_GBK"/>
      <w:color w:val="000000"/>
      <w:sz w:val="24"/>
      <w:szCs w:val="24"/>
      <w:u w:val="none"/>
    </w:rPr>
  </w:style>
  <w:style w:type="character" w:customStyle="1" w:styleId="22">
    <w:name w:val="font101"/>
    <w:basedOn w:val="12"/>
    <w:qFormat/>
    <w:uiPriority w:val="0"/>
    <w:rPr>
      <w:rFonts w:hint="eastAsia" w:ascii="方正仿宋_GBK" w:hAnsi="方正仿宋_GBK" w:eastAsia="方正仿宋_GBK" w:cs="方正仿宋_GBK"/>
      <w:color w:val="000000"/>
      <w:sz w:val="24"/>
      <w:szCs w:val="24"/>
      <w:u w:val="none"/>
    </w:rPr>
  </w:style>
  <w:style w:type="character" w:customStyle="1" w:styleId="23">
    <w:name w:val="font61"/>
    <w:basedOn w:val="12"/>
    <w:qFormat/>
    <w:uiPriority w:val="0"/>
    <w:rPr>
      <w:rFonts w:hint="default" w:ascii="Times New Roman" w:hAnsi="Times New Roman" w:cs="Times New Roman"/>
      <w:color w:val="000000"/>
      <w:sz w:val="24"/>
      <w:szCs w:val="24"/>
      <w:u w:val="none"/>
    </w:rPr>
  </w:style>
  <w:style w:type="paragraph" w:customStyle="1" w:styleId="24">
    <w:name w:val="默认"/>
    <w:qFormat/>
    <w:uiPriority w:val="0"/>
    <w:rPr>
      <w:rFonts w:ascii="Helvetica" w:hAnsi="Helvetica" w:eastAsia="Helvetica" w:cs="Helvetica"/>
      <w:color w:val="000000"/>
      <w:sz w:val="22"/>
      <w:szCs w:val="22"/>
      <w:lang w:val="en-US" w:eastAsia="zh-CN" w:bidi="ar-SA"/>
    </w:rPr>
  </w:style>
  <w:style w:type="paragraph" w:customStyle="1" w:styleId="25">
    <w:name w:val="_Style 5"/>
    <w:basedOn w:val="1"/>
    <w:qFormat/>
    <w:uiPriority w:val="0"/>
  </w:style>
  <w:style w:type="character" w:customStyle="1" w:styleId="26">
    <w:name w:val="font51"/>
    <w:basedOn w:val="12"/>
    <w:qFormat/>
    <w:uiPriority w:val="0"/>
    <w:rPr>
      <w:rFonts w:ascii="方正黑体_GBK" w:hAnsi="方正黑体_GBK" w:eastAsia="方正黑体_GBK" w:cs="方正黑体_GBK"/>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1011</Words>
  <Characters>1159</Characters>
  <Lines>11</Lines>
  <Paragraphs>3</Paragraphs>
  <TotalTime>4</TotalTime>
  <ScaleCrop>false</ScaleCrop>
  <LinksUpToDate>false</LinksUpToDate>
  <CharactersWithSpaces>1374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2026-07-29T08:38:00Z</cp:lastPrinted>
  <dcterms:modified xsi:type="dcterms:W3CDTF">2026-07-30T01:35:47Z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