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278</w:t>
      </w:r>
      <w:bookmarkStart w:id="0" w:name="_GoBack"/>
      <w:bookmarkEnd w:id="0"/>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F396B8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关于黔江区城市桥隧隐患整治及安全终端</w:t>
      </w:r>
    </w:p>
    <w:p w14:paraId="382AF985">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信息化建设工程可行性研究报告的批复</w:t>
      </w:r>
    </w:p>
    <w:p w14:paraId="04D6D84E">
      <w:pPr>
        <w:keepNext w:val="0"/>
        <w:keepLines w:val="0"/>
        <w:pageBreakBefore w:val="0"/>
        <w:widowControl w:val="0"/>
        <w:kinsoku/>
        <w:wordWrap/>
        <w:overflowPunct/>
        <w:topLinePunct w:val="0"/>
        <w:bidi w:val="0"/>
        <w:adjustRightInd w:val="0"/>
        <w:snapToGrid w:val="0"/>
        <w:spacing w:line="595" w:lineRule="exact"/>
        <w:ind w:firstLine="420" w:firstLineChars="200"/>
        <w:textAlignment w:val="auto"/>
        <w:rPr>
          <w:rFonts w:hint="default" w:ascii="Times New Roman" w:hAnsi="Times New Roman" w:cs="Times New Roman"/>
        </w:rPr>
      </w:pPr>
    </w:p>
    <w:p w14:paraId="25F669DC">
      <w:pPr>
        <w:keepNext w:val="0"/>
        <w:keepLines w:val="0"/>
        <w:pageBreakBefore w:val="0"/>
        <w:widowControl w:val="0"/>
        <w:kinsoku/>
        <w:wordWrap/>
        <w:overflowPunct/>
        <w:topLinePunct w:val="0"/>
        <w:bidi w:val="0"/>
        <w:adjustRightInd w:val="0"/>
        <w:snapToGrid w:val="0"/>
        <w:spacing w:line="595" w:lineRule="exac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区城管局：</w:t>
      </w:r>
    </w:p>
    <w:p w14:paraId="639E21B6">
      <w:pPr>
        <w:keepNext w:val="0"/>
        <w:keepLines w:val="0"/>
        <w:pageBreakBefore w:val="0"/>
        <w:widowControl w:val="0"/>
        <w:kinsoku/>
        <w:wordWrap/>
        <w:overflowPunct/>
        <w:topLinePunct w:val="0"/>
        <w:bidi w:val="0"/>
        <w:adjustRightInd w:val="0"/>
        <w:snapToGrid w:val="0"/>
        <w:spacing w:line="59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lang w:val="en-US" w:eastAsia="zh-CN" w:bidi="ar-SA"/>
        </w:rPr>
        <w:t>你单位《关于黔江区城市桥隧隐患整治及安全终端信息化建设工程可行性研究报告审查的函》（黔江城市管理函〔2026〕69号）收悉。结合黔江区政府投资项目前期工作服务中心的评审意见，经研究，同意实施黔江区城市桥隧隐患整治及安全终端信息化建设工程（项目代码：2605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500114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05</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972070）。现将项目可行性研究报告批复如下：</w:t>
      </w:r>
    </w:p>
    <w:p w14:paraId="29BAEB68">
      <w:pPr>
        <w:keepNext w:val="0"/>
        <w:keepLines w:val="0"/>
        <w:pageBreakBefore w:val="0"/>
        <w:widowControl w:val="0"/>
        <w:kinsoku/>
        <w:wordWrap/>
        <w:overflowPunct/>
        <w:topLinePunct w:val="0"/>
        <w:autoSpaceDE/>
        <w:autoSpaceDN/>
        <w:bidi w:val="0"/>
        <w:adjustRightInd w:val="0"/>
        <w:snapToGrid w:val="0"/>
        <w:spacing w:line="595"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一、项目名称：</w:t>
      </w:r>
      <w:r>
        <w:rPr>
          <w:rFonts w:hint="default" w:ascii="Times New Roman" w:hAnsi="Times New Roman" w:eastAsia="方正仿宋_GBK" w:cs="Times New Roman"/>
          <w:sz w:val="32"/>
          <w:szCs w:val="32"/>
        </w:rPr>
        <w:t>黔江区城市桥隧隐患整治及安全终端信息化建设工程</w:t>
      </w:r>
    </w:p>
    <w:p w14:paraId="3DCEAC93">
      <w:pPr>
        <w:keepNext w:val="0"/>
        <w:keepLines w:val="0"/>
        <w:pageBreakBefore w:val="0"/>
        <w:widowControl w:val="0"/>
        <w:kinsoku/>
        <w:wordWrap/>
        <w:overflowPunct/>
        <w:topLinePunct w:val="0"/>
        <w:autoSpaceDE/>
        <w:autoSpaceDN/>
        <w:bidi w:val="0"/>
        <w:adjustRightInd w:val="0"/>
        <w:snapToGrid w:val="0"/>
        <w:spacing w:line="595" w:lineRule="exact"/>
        <w:ind w:firstLine="640" w:firstLineChars="200"/>
        <w:textAlignment w:val="auto"/>
        <w:rPr>
          <w:rFonts w:hint="default" w:ascii="Times New Roman" w:hAnsi="Times New Roman" w:eastAsia="方正仿宋_GBK" w:cs="Times New Roman"/>
          <w:caps w:val="0"/>
          <w:smallCaps w:val="0"/>
          <w:color w:val="auto"/>
          <w:sz w:val="32"/>
          <w:szCs w:val="32"/>
          <w:highlight w:val="none"/>
          <w:lang w:val="en-US" w:eastAsia="zh-CN"/>
        </w:rPr>
      </w:pPr>
      <w:r>
        <w:rPr>
          <w:rFonts w:hint="eastAsia" w:ascii="方正黑体_GBK" w:hAnsi="方正黑体_GBK" w:eastAsia="方正黑体_GBK" w:cs="方正黑体_GBK"/>
          <w:sz w:val="32"/>
          <w:szCs w:val="32"/>
        </w:rPr>
        <w:t>二、项目</w:t>
      </w:r>
      <w:r>
        <w:rPr>
          <w:rFonts w:hint="eastAsia" w:ascii="方正黑体_GBK" w:hAnsi="方正黑体_GBK" w:eastAsia="方正黑体_GBK" w:cs="方正黑体_GBK"/>
          <w:sz w:val="32"/>
          <w:szCs w:val="32"/>
          <w:lang w:eastAsia="zh-CN"/>
        </w:rPr>
        <w:t>法人</w:t>
      </w:r>
      <w:r>
        <w:rPr>
          <w:rFonts w:hint="eastAsia" w:ascii="方正黑体_GBK" w:hAnsi="方正黑体_GBK" w:eastAsia="方正黑体_GBK" w:cs="方正黑体_GBK"/>
          <w:sz w:val="32"/>
          <w:szCs w:val="32"/>
        </w:rPr>
        <w:t>：</w:t>
      </w:r>
      <w:r>
        <w:rPr>
          <w:rFonts w:hint="default" w:ascii="Times New Roman" w:hAnsi="Times New Roman" w:eastAsia="方正仿宋_GBK" w:cs="Times New Roman"/>
          <w:caps w:val="0"/>
          <w:smallCaps w:val="0"/>
          <w:color w:val="auto"/>
          <w:sz w:val="32"/>
          <w:szCs w:val="32"/>
          <w:highlight w:val="none"/>
          <w:lang w:val="en-US" w:eastAsia="zh-CN"/>
        </w:rPr>
        <w:t>重庆市黔江区市政设施所</w:t>
      </w:r>
    </w:p>
    <w:p w14:paraId="191E9458">
      <w:pPr>
        <w:keepNext w:val="0"/>
        <w:keepLines w:val="0"/>
        <w:pageBreakBefore w:val="0"/>
        <w:widowControl w:val="0"/>
        <w:kinsoku/>
        <w:wordWrap/>
        <w:overflowPunct/>
        <w:topLinePunct w:val="0"/>
        <w:autoSpaceDE/>
        <w:autoSpaceDN/>
        <w:bidi w:val="0"/>
        <w:adjustRightInd w:val="0"/>
        <w:snapToGrid w:val="0"/>
        <w:spacing w:line="595"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方正黑体_GBK" w:hAnsi="方正黑体_GBK" w:eastAsia="方正黑体_GBK" w:cs="方正黑体_GBK"/>
          <w:sz w:val="32"/>
          <w:szCs w:val="32"/>
        </w:rPr>
        <w:t>三、建设地点：</w:t>
      </w:r>
      <w:r>
        <w:rPr>
          <w:rFonts w:hint="default" w:ascii="Times New Roman" w:hAnsi="Times New Roman" w:eastAsia="方正仿宋_GBK" w:cs="Times New Roman"/>
          <w:kern w:val="0"/>
          <w:sz w:val="32"/>
          <w:szCs w:val="32"/>
          <w:lang w:val="en-US" w:eastAsia="zh-CN"/>
        </w:rPr>
        <w:t>重庆市黔江区</w:t>
      </w:r>
    </w:p>
    <w:p w14:paraId="78DAA79F">
      <w:pPr>
        <w:keepNext w:val="0"/>
        <w:keepLines w:val="0"/>
        <w:pageBreakBefore w:val="0"/>
        <w:widowControl w:val="0"/>
        <w:numPr>
          <w:ilvl w:val="0"/>
          <w:numId w:val="0"/>
        </w:numPr>
        <w:kinsoku/>
        <w:wordWrap/>
        <w:overflowPunct/>
        <w:topLinePunct w:val="0"/>
        <w:autoSpaceDE/>
        <w:autoSpaceDN/>
        <w:bidi w:val="0"/>
        <w:adjustRightInd w:val="0"/>
        <w:snapToGrid w:val="0"/>
        <w:spacing w:line="595"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sz w:val="32"/>
          <w:szCs w:val="32"/>
        </w:rPr>
        <w:t>四、主要建设内容及规模：</w:t>
      </w:r>
      <w:r>
        <w:rPr>
          <w:rFonts w:hint="default" w:ascii="Times New Roman" w:hAnsi="Times New Roman" w:eastAsia="方正仿宋_GBK" w:cs="Times New Roman"/>
          <w:sz w:val="32"/>
          <w:szCs w:val="32"/>
          <w:lang w:val="en-US" w:eastAsia="zh-CN"/>
        </w:rPr>
        <w:t>对城区37座桥梁、13座隧道开展抗震检测、结构检测、病害整治、前端感知设备建设、安防设备建设、一体化智能管控系统建设等内容。</w:t>
      </w:r>
    </w:p>
    <w:p w14:paraId="01F4526A">
      <w:pPr>
        <w:keepNext w:val="0"/>
        <w:keepLines w:val="0"/>
        <w:pageBreakBefore w:val="0"/>
        <w:widowControl w:val="0"/>
        <w:numPr>
          <w:ilvl w:val="0"/>
          <w:numId w:val="0"/>
        </w:numPr>
        <w:kinsoku/>
        <w:wordWrap/>
        <w:overflowPunct/>
        <w:topLinePunct w:val="0"/>
        <w:autoSpaceDE/>
        <w:autoSpaceDN/>
        <w:bidi w:val="0"/>
        <w:adjustRightInd w:val="0"/>
        <w:snapToGrid w:val="0"/>
        <w:spacing w:line="595"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lang w:val="zh-CN"/>
        </w:rPr>
        <w:t>五、建设工期：</w:t>
      </w:r>
      <w:r>
        <w:rPr>
          <w:rFonts w:hint="default" w:ascii="Times New Roman" w:hAnsi="Times New Roman" w:eastAsia="方正仿宋_GBK" w:cs="Times New Roman"/>
          <w:color w:val="000000"/>
          <w:kern w:val="0"/>
          <w:sz w:val="32"/>
          <w:szCs w:val="32"/>
          <w:lang w:val="en-US" w:eastAsia="zh-CN"/>
        </w:rPr>
        <w:t>15</w:t>
      </w:r>
      <w:r>
        <w:rPr>
          <w:rFonts w:hint="default" w:ascii="Times New Roman" w:hAnsi="Times New Roman" w:eastAsia="方正仿宋_GBK" w:cs="Times New Roman"/>
          <w:color w:val="000000"/>
          <w:kern w:val="0"/>
          <w:sz w:val="32"/>
          <w:szCs w:val="32"/>
          <w:lang w:val="zh-CN"/>
        </w:rPr>
        <w:t>个月</w:t>
      </w:r>
    </w:p>
    <w:p w14:paraId="70FF5FB1">
      <w:pPr>
        <w:keepNext w:val="0"/>
        <w:keepLines w:val="0"/>
        <w:pageBreakBefore w:val="0"/>
        <w:widowControl w:val="0"/>
        <w:kinsoku/>
        <w:wordWrap/>
        <w:overflowPunct/>
        <w:topLinePunct w:val="0"/>
        <w:autoSpaceDE/>
        <w:autoSpaceDN/>
        <w:bidi w:val="0"/>
        <w:spacing w:line="595"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六、项目资金来源：</w:t>
      </w:r>
      <w:r>
        <w:rPr>
          <w:rFonts w:hint="default" w:ascii="Times New Roman" w:hAnsi="Times New Roman" w:eastAsia="方正仿宋_GBK" w:cs="Times New Roman"/>
          <w:color w:val="auto"/>
          <w:spacing w:val="0"/>
          <w:position w:val="0"/>
          <w:sz w:val="32"/>
          <w:szCs w:val="32"/>
          <w:shd w:val="clear" w:color="auto" w:fill="auto"/>
          <w:lang w:eastAsia="zh-CN"/>
        </w:rPr>
        <w:t>项目估算总投资</w:t>
      </w:r>
      <w:r>
        <w:rPr>
          <w:rFonts w:hint="default" w:ascii="Times New Roman" w:hAnsi="Times New Roman" w:eastAsia="方正仿宋_GBK" w:cs="Times New Roman"/>
          <w:color w:val="auto"/>
          <w:spacing w:val="0"/>
          <w:position w:val="0"/>
          <w:sz w:val="32"/>
          <w:szCs w:val="32"/>
          <w:shd w:val="clear" w:color="auto" w:fill="auto"/>
          <w:lang w:val="en-US" w:eastAsia="zh-CN"/>
        </w:rPr>
        <w:t>28589.85</w:t>
      </w:r>
      <w:r>
        <w:rPr>
          <w:rFonts w:hint="default" w:ascii="Times New Roman" w:hAnsi="Times New Roman" w:eastAsia="方正仿宋_GBK" w:cs="Times New Roman"/>
          <w:color w:val="auto"/>
          <w:spacing w:val="0"/>
          <w:position w:val="0"/>
          <w:sz w:val="32"/>
          <w:szCs w:val="32"/>
          <w:shd w:val="clear" w:color="auto" w:fill="auto"/>
          <w:lang w:eastAsia="zh-CN"/>
        </w:rPr>
        <w:t>万元，其中：工程费用</w:t>
      </w:r>
      <w:r>
        <w:rPr>
          <w:rFonts w:hint="default" w:ascii="Times New Roman" w:hAnsi="Times New Roman" w:eastAsia="方正仿宋_GBK" w:cs="Times New Roman"/>
          <w:color w:val="auto"/>
          <w:spacing w:val="0"/>
          <w:position w:val="0"/>
          <w:sz w:val="32"/>
          <w:szCs w:val="32"/>
          <w:shd w:val="clear" w:color="auto" w:fill="auto"/>
          <w:lang w:val="en-US" w:eastAsia="zh-CN"/>
        </w:rPr>
        <w:t>24391.21</w:t>
      </w:r>
      <w:r>
        <w:rPr>
          <w:rFonts w:hint="default" w:ascii="Times New Roman" w:hAnsi="Times New Roman" w:eastAsia="方正仿宋_GBK" w:cs="Times New Roman"/>
          <w:color w:val="auto"/>
          <w:spacing w:val="0"/>
          <w:position w:val="0"/>
          <w:sz w:val="32"/>
          <w:szCs w:val="32"/>
          <w:shd w:val="clear" w:color="auto" w:fill="auto"/>
          <w:lang w:eastAsia="zh-CN"/>
        </w:rPr>
        <w:t>万元，工程建设其他费用</w:t>
      </w:r>
      <w:r>
        <w:rPr>
          <w:rFonts w:hint="default" w:ascii="Times New Roman" w:hAnsi="Times New Roman" w:eastAsia="方正仿宋_GBK" w:cs="Times New Roman"/>
          <w:color w:val="auto"/>
          <w:spacing w:val="0"/>
          <w:position w:val="0"/>
          <w:sz w:val="32"/>
          <w:szCs w:val="32"/>
          <w:shd w:val="clear" w:color="auto" w:fill="auto"/>
          <w:lang w:val="en-US" w:eastAsia="zh-CN"/>
        </w:rPr>
        <w:t>2080.87</w:t>
      </w:r>
      <w:r>
        <w:rPr>
          <w:rFonts w:hint="default" w:ascii="Times New Roman" w:hAnsi="Times New Roman" w:eastAsia="方正仿宋_GBK" w:cs="Times New Roman"/>
          <w:color w:val="auto"/>
          <w:spacing w:val="0"/>
          <w:position w:val="0"/>
          <w:sz w:val="32"/>
          <w:szCs w:val="32"/>
          <w:shd w:val="clear" w:color="auto" w:fill="auto"/>
          <w:lang w:eastAsia="zh-CN"/>
        </w:rPr>
        <w:t>万元，预备费</w:t>
      </w:r>
      <w:r>
        <w:rPr>
          <w:rFonts w:hint="default" w:ascii="Times New Roman" w:hAnsi="Times New Roman" w:eastAsia="方正仿宋_GBK" w:cs="Times New Roman"/>
          <w:color w:val="auto"/>
          <w:spacing w:val="0"/>
          <w:position w:val="0"/>
          <w:sz w:val="32"/>
          <w:szCs w:val="32"/>
          <w:shd w:val="clear" w:color="auto" w:fill="auto"/>
          <w:lang w:val="en-US" w:eastAsia="zh-CN"/>
        </w:rPr>
        <w:t>2117.77</w:t>
      </w:r>
      <w:r>
        <w:rPr>
          <w:rFonts w:hint="default" w:ascii="Times New Roman" w:hAnsi="Times New Roman" w:eastAsia="方正仿宋_GBK" w:cs="Times New Roman"/>
          <w:color w:val="auto"/>
          <w:spacing w:val="0"/>
          <w:position w:val="0"/>
          <w:sz w:val="32"/>
          <w:szCs w:val="32"/>
          <w:shd w:val="clear" w:color="auto" w:fill="auto"/>
          <w:lang w:eastAsia="zh-CN"/>
        </w:rPr>
        <w:t>万元。</w:t>
      </w:r>
      <w:r>
        <w:rPr>
          <w:rFonts w:hint="default" w:ascii="Times New Roman" w:hAnsi="Times New Roman" w:eastAsia="方正仿宋_GBK" w:cs="Times New Roman"/>
          <w:color w:val="auto"/>
          <w:spacing w:val="0"/>
          <w:position w:val="0"/>
          <w:sz w:val="32"/>
          <w:szCs w:val="32"/>
          <w:shd w:val="clear" w:color="auto" w:fill="auto"/>
          <w:lang w:val="en-US" w:eastAsia="zh-CN"/>
        </w:rPr>
        <w:t>申请国市补助资金，不足部分业主自筹</w:t>
      </w:r>
      <w:r>
        <w:rPr>
          <w:rFonts w:hint="default" w:ascii="Times New Roman" w:hAnsi="Times New Roman" w:eastAsia="方正仿宋_GBK" w:cs="Times New Roman"/>
          <w:color w:val="auto"/>
          <w:spacing w:val="0"/>
          <w:position w:val="0"/>
          <w:sz w:val="32"/>
          <w:szCs w:val="32"/>
          <w:shd w:val="clear" w:color="auto" w:fill="auto"/>
          <w:lang w:eastAsia="zh-CN"/>
        </w:rPr>
        <w:t>。</w:t>
      </w:r>
    </w:p>
    <w:p w14:paraId="35157EE6">
      <w:pPr>
        <w:keepNext w:val="0"/>
        <w:keepLines w:val="0"/>
        <w:pageBreakBefore w:val="0"/>
        <w:widowControl w:val="0"/>
        <w:kinsoku/>
        <w:wordWrap/>
        <w:overflowPunct/>
        <w:topLinePunct w:val="0"/>
        <w:autoSpaceDE/>
        <w:autoSpaceDN/>
        <w:bidi w:val="0"/>
        <w:adjustRightInd/>
        <w:snapToGrid/>
        <w:spacing w:line="600" w:lineRule="exact"/>
        <w:ind w:left="0" w:right="0" w:rightChars="0" w:firstLine="640"/>
        <w:jc w:val="both"/>
        <w:textAlignment w:val="auto"/>
        <w:outlineLvl w:val="9"/>
        <w:rPr>
          <w:rFonts w:hint="default" w:ascii="Times New Roman" w:hAnsi="Times New Roman" w:eastAsia="方正仿宋_GBK" w:cs="Times New Roman"/>
          <w:color w:val="auto"/>
          <w:spacing w:val="0"/>
          <w:kern w:val="2"/>
          <w:position w:val="0"/>
          <w:sz w:val="32"/>
          <w:szCs w:val="32"/>
          <w:shd w:val="clear" w:color="auto" w:fill="auto"/>
          <w:lang w:val="en-US" w:eastAsia="zh-CN" w:bidi="ar-SA"/>
        </w:rPr>
      </w:pPr>
      <w:r>
        <w:rPr>
          <w:rFonts w:hint="eastAsia" w:ascii="方正黑体_GBK" w:hAnsi="方正黑体_GBK" w:eastAsia="方正黑体_GBK" w:cs="方正黑体_GBK"/>
          <w:sz w:val="32"/>
          <w:szCs w:val="32"/>
          <w:lang w:val="zh-CN"/>
        </w:rPr>
        <w:t>七、</w:t>
      </w:r>
      <w:r>
        <w:rPr>
          <w:rFonts w:hint="eastAsia" w:ascii="方正黑体_GBK" w:hAnsi="方正黑体_GBK" w:eastAsia="方正黑体_GBK" w:cs="方正黑体_GBK"/>
          <w:sz w:val="32"/>
          <w:szCs w:val="32"/>
        </w:rPr>
        <w:t>招标核准：</w:t>
      </w:r>
      <w:r>
        <w:rPr>
          <w:rFonts w:hint="default" w:ascii="Times New Roman" w:hAnsi="Times New Roman" w:eastAsia="方正仿宋_GBK" w:cs="Times New Roman"/>
          <w:color w:val="auto"/>
          <w:spacing w:val="0"/>
          <w:position w:val="0"/>
          <w:sz w:val="32"/>
          <w:szCs w:val="32"/>
          <w:shd w:val="clear" w:color="auto" w:fill="auto"/>
        </w:rPr>
        <w:t>招标范围、招标方式及招标组织形式严格按照《中华人民共和国招标投标法实施条例》</w:t>
      </w:r>
      <w:r>
        <w:rPr>
          <w:rFonts w:hint="default" w:ascii="Times New Roman" w:hAnsi="Times New Roman" w:eastAsia="方正仿宋_GBK" w:cs="Times New Roman"/>
          <w:color w:val="auto"/>
          <w:spacing w:val="0"/>
          <w:position w:val="0"/>
          <w:sz w:val="32"/>
          <w:szCs w:val="32"/>
          <w:shd w:val="clear" w:color="auto" w:fill="auto"/>
          <w:lang w:eastAsia="zh-CN"/>
        </w:rPr>
        <w:t>《重庆市招标投标条例》</w:t>
      </w:r>
      <w:r>
        <w:rPr>
          <w:rFonts w:hint="default" w:ascii="Times New Roman" w:hAnsi="Times New Roman" w:eastAsia="方正仿宋_GBK" w:cs="Times New Roman"/>
          <w:color w:val="auto"/>
          <w:spacing w:val="0"/>
          <w:position w:val="0"/>
          <w:sz w:val="32"/>
          <w:szCs w:val="32"/>
          <w:shd w:val="clear" w:color="auto" w:fill="auto"/>
        </w:rPr>
        <w:t>及相关法律规定组织实施。</w:t>
      </w:r>
      <w:r>
        <w:rPr>
          <w:rFonts w:hint="default" w:ascii="Times New Roman" w:hAnsi="Times New Roman" w:eastAsia="方正仿宋_GBK" w:cs="Times New Roman"/>
          <w:color w:val="auto"/>
          <w:spacing w:val="0"/>
          <w:kern w:val="2"/>
          <w:position w:val="0"/>
          <w:sz w:val="32"/>
          <w:szCs w:val="32"/>
          <w:shd w:val="clear" w:color="auto" w:fill="auto"/>
          <w:lang w:val="en-US" w:eastAsia="zh-CN" w:bidi="ar-SA"/>
        </w:rPr>
        <w:t>请你单位根据本批复，抓紧开展下步工作。要严格执行项目法人责任制、招标投标制、工程监理制、合同管理制，严格控制工程投资标准，防止工程超过审定投资。</w:t>
      </w:r>
    </w:p>
    <w:p w14:paraId="6308F3D5">
      <w:pPr>
        <w:keepNext w:val="0"/>
        <w:keepLines w:val="0"/>
        <w:pageBreakBefore w:val="0"/>
        <w:widowControl w:val="0"/>
        <w:kinsoku/>
        <w:wordWrap/>
        <w:overflowPunct/>
        <w:topLinePunct w:val="0"/>
        <w:autoSpaceDE/>
        <w:autoSpaceDN/>
        <w:bidi w:val="0"/>
        <w:adjustRightInd/>
        <w:snapToGrid/>
        <w:spacing w:line="400" w:lineRule="exact"/>
        <w:ind w:left="0" w:right="0" w:rightChars="0" w:firstLine="641"/>
        <w:jc w:val="both"/>
        <w:textAlignment w:val="auto"/>
        <w:outlineLvl w:val="9"/>
        <w:rPr>
          <w:rFonts w:hint="default"/>
        </w:rPr>
      </w:pPr>
    </w:p>
    <w:p w14:paraId="26D8B36F">
      <w:pPr>
        <w:keepNext w:val="0"/>
        <w:keepLines w:val="0"/>
        <w:pageBreakBefore w:val="0"/>
        <w:widowControl w:val="0"/>
        <w:kinsoku/>
        <w:wordWrap/>
        <w:overflowPunct/>
        <w:topLinePunct w:val="0"/>
        <w:autoSpaceDE/>
        <w:autoSpaceDN/>
        <w:bidi w:val="0"/>
        <w:adjustRightInd w:val="0"/>
        <w:snapToGrid w:val="0"/>
        <w:spacing w:line="59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附件：黔江区城市桥隧隐患整治及安全终端信息化建设工程</w:t>
      </w:r>
    </w:p>
    <w:p w14:paraId="49655539">
      <w:pPr>
        <w:autoSpaceDE w:val="0"/>
        <w:autoSpaceDN w:val="0"/>
        <w:adjustRightInd w:val="0"/>
        <w:snapToGrid w:val="0"/>
        <w:spacing w:line="510" w:lineRule="exact"/>
        <w:ind w:firstLine="1600" w:firstLineChars="5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投资估算表</w:t>
      </w:r>
    </w:p>
    <w:p w14:paraId="65857727">
      <w:pPr>
        <w:adjustRightInd w:val="0"/>
        <w:snapToGrid w:val="0"/>
        <w:spacing w:line="510" w:lineRule="exact"/>
        <w:jc w:val="left"/>
        <w:rPr>
          <w:rFonts w:hint="default" w:ascii="Times New Roman" w:hAnsi="Times New Roman" w:cs="Times New Roman"/>
        </w:rPr>
      </w:pPr>
    </w:p>
    <w:p w14:paraId="3B2587FB">
      <w:pPr>
        <w:snapToGrid w:val="0"/>
        <w:spacing w:line="595" w:lineRule="exact"/>
        <w:jc w:val="center"/>
        <w:rPr>
          <w:rFonts w:hint="default" w:ascii="Times New Roman" w:hAnsi="Times New Roman" w:eastAsia="方正仿宋_GBK" w:cs="Times New Roman"/>
          <w:sz w:val="32"/>
          <w:szCs w:val="32"/>
        </w:rPr>
      </w:pPr>
      <w:r>
        <w:rPr>
          <w:rFonts w:hint="default" w:ascii="Times New Roman" w:hAnsi="Times New Roman" w:cs="Times New Roman"/>
          <w:szCs w:val="22"/>
        </w:rPr>
        <w:t xml:space="preserve">    </w:t>
      </w:r>
      <w:r>
        <w:rPr>
          <w:rFonts w:hint="default" w:ascii="Times New Roman" w:hAnsi="Times New Roman" w:eastAsia="方正仿宋_GBK" w:cs="Times New Roman"/>
          <w:sz w:val="32"/>
          <w:szCs w:val="32"/>
        </w:rPr>
        <w:t xml:space="preserve">            重庆市黔江区</w:t>
      </w:r>
      <w:r>
        <w:rPr>
          <w:rFonts w:hint="default" w:ascii="Times New Roman" w:hAnsi="Times New Roman" w:eastAsia="方正仿宋_GBK" w:cs="Times New Roman"/>
          <w:sz w:val="32"/>
          <w:szCs w:val="32"/>
          <w:lang w:eastAsia="zh-CN"/>
        </w:rPr>
        <w:t>发展和改革委员会</w:t>
      </w:r>
      <w:r>
        <w:rPr>
          <w:rFonts w:hint="default" w:ascii="Times New Roman" w:hAnsi="Times New Roman" w:eastAsia="方正仿宋_GBK" w:cs="Times New Roman"/>
          <w:sz w:val="32"/>
          <w:szCs w:val="32"/>
        </w:rPr>
        <w:t xml:space="preserve"> </w:t>
      </w:r>
    </w:p>
    <w:p w14:paraId="6B7B03E1">
      <w:pPr>
        <w:snapToGrid w:val="0"/>
        <w:spacing w:line="595"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2026年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日</w:t>
      </w:r>
    </w:p>
    <w:p w14:paraId="45F506C7">
      <w:pPr>
        <w:pStyle w:val="2"/>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65560B20">
      <w:pPr>
        <w:pStyle w:val="3"/>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黔江区城市桥隧隐患整治及安全终端信息化建设</w:t>
      </w:r>
    </w:p>
    <w:p w14:paraId="020A0AFD">
      <w:pPr>
        <w:pStyle w:val="3"/>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工程投资估算表</w:t>
      </w:r>
    </w:p>
    <w:tbl>
      <w:tblPr>
        <w:tblStyle w:val="12"/>
        <w:tblW w:w="914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0"/>
        <w:gridCol w:w="5642"/>
        <w:gridCol w:w="2388"/>
      </w:tblGrid>
      <w:tr w14:paraId="17B6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1591">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序号</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3EAE">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052C">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r>
      <w:tr w14:paraId="5184D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ED99">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一</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8FA5">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工程费用</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DFB7">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24391.21 </w:t>
            </w:r>
          </w:p>
        </w:tc>
      </w:tr>
      <w:tr w14:paraId="49383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A9F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5CA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桥梁感知端</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69E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2567.66 </w:t>
            </w:r>
          </w:p>
        </w:tc>
      </w:tr>
      <w:tr w14:paraId="21847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7D0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53A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隧道感知端</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FB3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3587.51 </w:t>
            </w:r>
          </w:p>
        </w:tc>
      </w:tr>
      <w:tr w14:paraId="0E582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908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C94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无人巡检装备</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5CD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508.72 </w:t>
            </w:r>
          </w:p>
        </w:tc>
      </w:tr>
      <w:tr w14:paraId="0CF63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B32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793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边坡周边监测</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C12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418.33 </w:t>
            </w:r>
          </w:p>
        </w:tc>
      </w:tr>
      <w:tr w14:paraId="3D777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58E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A87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平台研发</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F50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2442.00 </w:t>
            </w:r>
          </w:p>
        </w:tc>
      </w:tr>
      <w:tr w14:paraId="6CA4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696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A43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Style w:val="21"/>
                <w:rFonts w:hint="default" w:ascii="Times New Roman" w:hAnsi="Times New Roman" w:cs="Times New Roman"/>
                <w:lang w:val="en-US" w:eastAsia="zh-CN" w:bidi="ar"/>
              </w:rPr>
              <w:t>AI</w:t>
            </w:r>
            <w:r>
              <w:rPr>
                <w:rStyle w:val="22"/>
                <w:rFonts w:hint="default" w:ascii="Times New Roman" w:hAnsi="Times New Roman" w:cs="Times New Roman"/>
                <w:lang w:val="en-US" w:eastAsia="zh-CN" w:bidi="ar"/>
              </w:rPr>
              <w:t>算法</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085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1850.00 </w:t>
            </w:r>
          </w:p>
        </w:tc>
      </w:tr>
      <w:tr w14:paraId="26891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47A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0DF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数字孪生</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7E3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974.00 </w:t>
            </w:r>
          </w:p>
        </w:tc>
      </w:tr>
      <w:tr w14:paraId="37ED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057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8</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855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服务器网络安全</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38D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1205.87 </w:t>
            </w:r>
          </w:p>
        </w:tc>
      </w:tr>
      <w:tr w14:paraId="116E7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56C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9</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D98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通信保障</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4E83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887.50 </w:t>
            </w:r>
          </w:p>
        </w:tc>
      </w:tr>
      <w:tr w14:paraId="31634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F69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10</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0E3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桥梁隐患整治</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776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3618.17 </w:t>
            </w:r>
          </w:p>
        </w:tc>
      </w:tr>
      <w:tr w14:paraId="533BA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367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11</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508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隧道隐患整治</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91A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6331.45 </w:t>
            </w:r>
          </w:p>
        </w:tc>
      </w:tr>
      <w:tr w14:paraId="0DB6E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F01C">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二</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53A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工程建设其他费用</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2B5A">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2080.87 </w:t>
            </w:r>
          </w:p>
        </w:tc>
      </w:tr>
      <w:tr w14:paraId="46E37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F22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2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场地准备及临时设施费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6EF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50.00 </w:t>
            </w:r>
          </w:p>
        </w:tc>
      </w:tr>
      <w:tr w14:paraId="02547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320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1DA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项目建设管理费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B73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322.67 </w:t>
            </w:r>
          </w:p>
        </w:tc>
      </w:tr>
      <w:tr w14:paraId="045A2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D20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FEF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工程建设监理费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E98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334.02 </w:t>
            </w:r>
          </w:p>
        </w:tc>
      </w:tr>
      <w:tr w14:paraId="476E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FF8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90E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招标代理服务费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B2E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26.43 </w:t>
            </w:r>
          </w:p>
        </w:tc>
      </w:tr>
      <w:tr w14:paraId="31946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14A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006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可行性研究费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034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30.11 </w:t>
            </w:r>
          </w:p>
        </w:tc>
      </w:tr>
      <w:tr w14:paraId="2509F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680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D4C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地质灾害评估费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C45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30.00 </w:t>
            </w:r>
          </w:p>
        </w:tc>
      </w:tr>
      <w:tr w14:paraId="59E54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918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820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工程勘察设计费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7A7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750.37 </w:t>
            </w:r>
          </w:p>
        </w:tc>
      </w:tr>
      <w:tr w14:paraId="5F6FB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B2A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8</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0FA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施工图审查费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EE1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31.53 </w:t>
            </w:r>
          </w:p>
        </w:tc>
      </w:tr>
      <w:tr w14:paraId="5F431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F32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9</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0C1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工程造价咨询服务费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28A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188.66 </w:t>
            </w:r>
          </w:p>
        </w:tc>
      </w:tr>
      <w:tr w14:paraId="1FD0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19F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10</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C912">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工程保险费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9C7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73.17 </w:t>
            </w:r>
          </w:p>
        </w:tc>
      </w:tr>
      <w:tr w14:paraId="7A2B1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49C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11</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701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安全生产保障费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2C2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243.91 </w:t>
            </w:r>
          </w:p>
        </w:tc>
      </w:tr>
      <w:tr w14:paraId="3284E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ABB7">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三</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D3D0">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预备费</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F93F">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2117.77 </w:t>
            </w:r>
          </w:p>
        </w:tc>
      </w:tr>
      <w:tr w14:paraId="6E805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2130">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四</w:t>
            </w:r>
          </w:p>
        </w:tc>
        <w:tc>
          <w:tcPr>
            <w:tcW w:w="56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ED1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项目总投资</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D5C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28589.85 </w:t>
            </w:r>
          </w:p>
        </w:tc>
      </w:tr>
    </w:tbl>
    <w:p w14:paraId="4C201257">
      <w:pPr>
        <w:pStyle w:val="3"/>
        <w:rPr>
          <w:rFonts w:hint="default" w:ascii="Times New Roman" w:hAnsi="Times New Roman" w:cs="Times New Roman"/>
        </w:rPr>
      </w:pPr>
    </w:p>
    <w:p w14:paraId="5950D30D">
      <w:pPr>
        <w:pStyle w:val="6"/>
        <w:rPr>
          <w:rFonts w:hint="eastAsia" w:ascii="方正黑体_GBK" w:hAnsi="方正黑体_GBK" w:eastAsia="方正黑体_GBK" w:cs="方正黑体_GBK"/>
          <w:sz w:val="32"/>
          <w:szCs w:val="32"/>
        </w:rPr>
      </w:pPr>
    </w:p>
    <w:p w14:paraId="506743A8">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p w14:paraId="0F498EE5">
      <w:pPr>
        <w:pStyle w:val="3"/>
      </w:pPr>
    </w:p>
    <w:p w14:paraId="561BB587">
      <w:pPr>
        <w:pStyle w:val="3"/>
      </w:pPr>
    </w:p>
    <w:p w14:paraId="006D4B1B">
      <w:pPr>
        <w:pStyle w:val="3"/>
      </w:pPr>
    </w:p>
    <w:p w14:paraId="1E86686B">
      <w:pPr>
        <w:pStyle w:val="3"/>
      </w:pPr>
    </w:p>
    <w:p w14:paraId="3B0048B6">
      <w:pPr>
        <w:pStyle w:val="3"/>
      </w:pPr>
    </w:p>
    <w:p w14:paraId="0BB91185">
      <w:pPr>
        <w:pStyle w:val="3"/>
      </w:pPr>
    </w:p>
    <w:p w14:paraId="7CFC6C46">
      <w:pPr>
        <w:pStyle w:val="3"/>
      </w:pPr>
    </w:p>
    <w:p w14:paraId="2A2BE028">
      <w:pPr>
        <w:pStyle w:val="3"/>
      </w:pPr>
    </w:p>
    <w:p w14:paraId="0B6F2469">
      <w:pPr>
        <w:pStyle w:val="3"/>
      </w:pPr>
    </w:p>
    <w:p w14:paraId="1D28BAA1">
      <w:pPr>
        <w:pStyle w:val="3"/>
      </w:pPr>
    </w:p>
    <w:p w14:paraId="591BDFC4">
      <w:pPr>
        <w:pStyle w:val="3"/>
      </w:pPr>
    </w:p>
    <w:p w14:paraId="0D1468D1">
      <w:pPr>
        <w:pStyle w:val="3"/>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F382AA21-D1DB-4E2F-BD61-C3192F221BD8}"/>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44E8EFE9-B686-4079-BEC4-78B69DA1D0D7}"/>
  </w:font>
  <w:font w:name="方正楷体_GBK">
    <w:panose1 w:val="03000509000000000000"/>
    <w:charset w:val="86"/>
    <w:family w:val="auto"/>
    <w:pitch w:val="default"/>
    <w:sig w:usb0="00000001" w:usb1="080E0000" w:usb2="00000000" w:usb3="00000000" w:csb0="00040000" w:csb1="00000000"/>
    <w:embedRegular r:id="rId3" w:fontKey="{625DF7F2-BA5D-456E-91FC-F0CC5B9880E3}"/>
  </w:font>
  <w:font w:name="方正小标宋_GBK">
    <w:panose1 w:val="03000509000000000000"/>
    <w:charset w:val="86"/>
    <w:family w:val="script"/>
    <w:pitch w:val="default"/>
    <w:sig w:usb0="00000001" w:usb1="080E0000" w:usb2="00000000" w:usb3="00000000" w:csb0="00040000" w:csb1="00000000"/>
    <w:embedRegular r:id="rId4" w:fontKey="{B5E3DB2D-7153-4ED6-8725-471D11F80E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9"/>
      <w:framePr w:wrap="around" w:vAnchor="text" w:hAnchor="margin" w:xAlign="outside" w:y="1"/>
      <w:rPr>
        <w:rStyle w:val="15"/>
        <w:rFonts w:hint="eastAsia" w:ascii="宋体" w:hAnsi="宋体" w:cs="宋体"/>
        <w:sz w:val="28"/>
        <w:szCs w:val="28"/>
      </w:rPr>
    </w:pPr>
    <w:r>
      <w:rPr>
        <w:rFonts w:hint="eastAsia" w:ascii="宋体" w:hAnsi="宋体" w:cs="宋体"/>
        <w:sz w:val="28"/>
        <w:szCs w:val="28"/>
      </w:rPr>
      <w:fldChar w:fldCharType="begin"/>
    </w:r>
    <w:r>
      <w:rPr>
        <w:rStyle w:val="15"/>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5"/>
        <w:rFonts w:ascii="宋体" w:hAnsi="宋体" w:cs="宋体"/>
        <w:sz w:val="28"/>
        <w:szCs w:val="28"/>
      </w:rPr>
      <w:t>- 2 -</w:t>
    </w:r>
    <w:r>
      <w:rPr>
        <w:rFonts w:hint="eastAsia" w:ascii="宋体" w:hAnsi="宋体" w:cs="宋体"/>
        <w:sz w:val="28"/>
        <w:szCs w:val="28"/>
      </w:rPr>
      <w:fldChar w:fldCharType="end"/>
    </w:r>
  </w:p>
  <w:p w14:paraId="74BECCB4">
    <w:pPr>
      <w:pStyle w:val="9"/>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0"/>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4CA633F"/>
    <w:rsid w:val="15636F5B"/>
    <w:rsid w:val="175C5702"/>
    <w:rsid w:val="181B2628"/>
    <w:rsid w:val="18365A0D"/>
    <w:rsid w:val="193E59D1"/>
    <w:rsid w:val="1A261065"/>
    <w:rsid w:val="1F013809"/>
    <w:rsid w:val="1F950368"/>
    <w:rsid w:val="208F215E"/>
    <w:rsid w:val="240B2444"/>
    <w:rsid w:val="242A28CA"/>
    <w:rsid w:val="24635540"/>
    <w:rsid w:val="250D18ED"/>
    <w:rsid w:val="254A0970"/>
    <w:rsid w:val="27F93F48"/>
    <w:rsid w:val="28D139F4"/>
    <w:rsid w:val="2AD46A97"/>
    <w:rsid w:val="31A87524"/>
    <w:rsid w:val="33906696"/>
    <w:rsid w:val="34E02B31"/>
    <w:rsid w:val="39705D78"/>
    <w:rsid w:val="397671E0"/>
    <w:rsid w:val="3B007A89"/>
    <w:rsid w:val="3DE43692"/>
    <w:rsid w:val="3EF47EDA"/>
    <w:rsid w:val="40A351EE"/>
    <w:rsid w:val="42212F8E"/>
    <w:rsid w:val="44483E35"/>
    <w:rsid w:val="487D33E1"/>
    <w:rsid w:val="4E50267E"/>
    <w:rsid w:val="4F735634"/>
    <w:rsid w:val="4FFB4CF6"/>
    <w:rsid w:val="505A50ED"/>
    <w:rsid w:val="5130612A"/>
    <w:rsid w:val="534E1E00"/>
    <w:rsid w:val="5726180C"/>
    <w:rsid w:val="57A8352A"/>
    <w:rsid w:val="57DD0F68"/>
    <w:rsid w:val="5DFC7A57"/>
    <w:rsid w:val="5E896845"/>
    <w:rsid w:val="5F75634D"/>
    <w:rsid w:val="5FFE1A79"/>
    <w:rsid w:val="613D1187"/>
    <w:rsid w:val="616F605C"/>
    <w:rsid w:val="63C94F54"/>
    <w:rsid w:val="653B0AE4"/>
    <w:rsid w:val="66560D21"/>
    <w:rsid w:val="678D70A8"/>
    <w:rsid w:val="6A6C1DE8"/>
    <w:rsid w:val="6AF30A16"/>
    <w:rsid w:val="6BAE6A0F"/>
    <w:rsid w:val="6C68355C"/>
    <w:rsid w:val="6CE440E0"/>
    <w:rsid w:val="6EF61234"/>
    <w:rsid w:val="72141C90"/>
    <w:rsid w:val="764E6BC5"/>
    <w:rsid w:val="78624336"/>
    <w:rsid w:val="798F3B70"/>
    <w:rsid w:val="7AED1855"/>
    <w:rsid w:val="7CE02C9B"/>
    <w:rsid w:val="7EA45468"/>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4">
    <w:name w:val="Body Text Indent"/>
    <w:basedOn w:val="1"/>
    <w:qFormat/>
    <w:uiPriority w:val="0"/>
    <w:pPr>
      <w:ind w:firstLine="640" w:firstLineChars="200"/>
    </w:pPr>
    <w:rPr>
      <w:rFonts w:eastAsia="仿宋_GB2312"/>
      <w:sz w:val="32"/>
    </w:rPr>
  </w:style>
  <w:style w:type="paragraph" w:styleId="5">
    <w:name w:val="toc 5"/>
    <w:basedOn w:val="1"/>
    <w:next w:val="1"/>
    <w:qFormat/>
    <w:uiPriority w:val="0"/>
    <w:pPr>
      <w:ind w:left="840"/>
    </w:pPr>
    <w:rPr>
      <w:sz w:val="18"/>
      <w:szCs w:val="18"/>
    </w:rPr>
  </w:style>
  <w:style w:type="paragraph" w:styleId="6">
    <w:name w:val="Plain Text"/>
    <w:basedOn w:val="1"/>
    <w:unhideWhenUsed/>
    <w:qFormat/>
    <w:uiPriority w:val="99"/>
    <w:rPr>
      <w:rFonts w:ascii="宋体" w:hAnsi="Courier New"/>
    </w:rPr>
  </w:style>
  <w:style w:type="paragraph" w:styleId="7">
    <w:name w:val="Body Text Indent 2"/>
    <w:basedOn w:val="1"/>
    <w:qFormat/>
    <w:uiPriority w:val="0"/>
    <w:pPr>
      <w:ind w:firstLine="645"/>
    </w:pPr>
    <w:rPr>
      <w:rFonts w:ascii="黑体" w:eastAsia="黑体"/>
      <w:sz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页眉 Char"/>
    <w:basedOn w:val="14"/>
    <w:link w:val="10"/>
    <w:semiHidden/>
    <w:qFormat/>
    <w:locked/>
    <w:uiPriority w:val="0"/>
    <w:rPr>
      <w:rFonts w:eastAsia="宋体"/>
      <w:kern w:val="2"/>
      <w:sz w:val="18"/>
      <w:szCs w:val="18"/>
      <w:lang w:val="en-US" w:eastAsia="zh-CN" w:bidi="ar-SA"/>
    </w:rPr>
  </w:style>
  <w:style w:type="character" w:customStyle="1" w:styleId="17">
    <w:name w:val="font21"/>
    <w:basedOn w:val="14"/>
    <w:qFormat/>
    <w:uiPriority w:val="0"/>
    <w:rPr>
      <w:rFonts w:hint="eastAsia" w:ascii="宋体" w:hAnsi="宋体" w:eastAsia="宋体" w:cs="宋体"/>
      <w:color w:val="000000"/>
      <w:sz w:val="24"/>
      <w:szCs w:val="24"/>
      <w:u w:val="none"/>
    </w:rPr>
  </w:style>
  <w:style w:type="character" w:customStyle="1" w:styleId="18">
    <w:name w:val="font41"/>
    <w:basedOn w:val="14"/>
    <w:qFormat/>
    <w:uiPriority w:val="0"/>
    <w:rPr>
      <w:rFonts w:hint="eastAsia" w:ascii="方正仿宋_GBK" w:hAnsi="方正仿宋_GBK" w:eastAsia="方正仿宋_GBK" w:cs="方正仿宋_GBK"/>
      <w:color w:val="000000"/>
      <w:sz w:val="28"/>
      <w:szCs w:val="28"/>
      <w:u w:val="none"/>
    </w:rPr>
  </w:style>
  <w:style w:type="paragraph" w:customStyle="1" w:styleId="19">
    <w:name w:val="默认段落字体 Para Char Char Char Char"/>
    <w:basedOn w:val="1"/>
    <w:qFormat/>
    <w:uiPriority w:val="0"/>
    <w:rPr>
      <w:szCs w:val="20"/>
    </w:rPr>
  </w:style>
  <w:style w:type="paragraph" w:customStyle="1" w:styleId="2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1">
    <w:name w:val="font71"/>
    <w:basedOn w:val="14"/>
    <w:qFormat/>
    <w:uiPriority w:val="0"/>
    <w:rPr>
      <w:rFonts w:ascii="方正黑体_GBK" w:hAnsi="方正黑体_GBK" w:eastAsia="方正黑体_GBK" w:cs="方正黑体_GBK"/>
      <w:color w:val="000000"/>
      <w:sz w:val="28"/>
      <w:szCs w:val="28"/>
      <w:u w:val="none"/>
    </w:rPr>
  </w:style>
  <w:style w:type="character" w:customStyle="1" w:styleId="22">
    <w:name w:val="font81"/>
    <w:basedOn w:val="14"/>
    <w:qFormat/>
    <w:uiPriority w:val="0"/>
    <w:rPr>
      <w:rFonts w:ascii="方正楷体_GBK" w:hAnsi="方正楷体_GBK" w:eastAsia="方正楷体_GBK" w:cs="方正楷体_GBK"/>
      <w:b/>
      <w:bCs/>
      <w:color w:val="000000"/>
      <w:sz w:val="24"/>
      <w:szCs w:val="24"/>
      <w:u w:val="none"/>
    </w:rPr>
  </w:style>
  <w:style w:type="character" w:customStyle="1" w:styleId="23">
    <w:name w:val="font91"/>
    <w:basedOn w:val="14"/>
    <w:qFormat/>
    <w:uiPriority w:val="0"/>
    <w:rPr>
      <w:rFonts w:ascii="方正仿宋_GBK" w:hAnsi="方正仿宋_GBK" w:eastAsia="方正仿宋_GBK" w:cs="方正仿宋_GBK"/>
      <w:color w:val="000000"/>
      <w:sz w:val="24"/>
      <w:szCs w:val="24"/>
      <w:u w:val="none"/>
    </w:rPr>
  </w:style>
  <w:style w:type="character" w:customStyle="1" w:styleId="24">
    <w:name w:val="font101"/>
    <w:basedOn w:val="14"/>
    <w:qFormat/>
    <w:uiPriority w:val="0"/>
    <w:rPr>
      <w:rFonts w:hint="eastAsia" w:ascii="方正仿宋_GBK" w:hAnsi="方正仿宋_GBK" w:eastAsia="方正仿宋_GBK" w:cs="方正仿宋_GBK"/>
      <w:color w:val="000000"/>
      <w:sz w:val="24"/>
      <w:szCs w:val="24"/>
      <w:u w:val="none"/>
    </w:rPr>
  </w:style>
  <w:style w:type="character" w:customStyle="1" w:styleId="25">
    <w:name w:val="font61"/>
    <w:basedOn w:val="14"/>
    <w:qFormat/>
    <w:uiPriority w:val="0"/>
    <w:rPr>
      <w:rFonts w:hint="default" w:ascii="Times New Roman" w:hAnsi="Times New Roman" w:cs="Times New Roman"/>
      <w:color w:val="000000"/>
      <w:sz w:val="24"/>
      <w:szCs w:val="24"/>
      <w:u w:val="none"/>
    </w:rPr>
  </w:style>
  <w:style w:type="paragraph" w:customStyle="1" w:styleId="26">
    <w:name w:val="_Style 5"/>
    <w:basedOn w:val="1"/>
    <w:qFormat/>
    <w:uiPriority w:val="0"/>
  </w:style>
  <w:style w:type="character" w:customStyle="1" w:styleId="27">
    <w:name w:val="font51"/>
    <w:basedOn w:val="14"/>
    <w:qFormat/>
    <w:uiPriority w:val="0"/>
    <w:rPr>
      <w:rFonts w:ascii="方正黑体_GBK" w:hAnsi="方正黑体_GBK" w:eastAsia="方正黑体_GBK" w:cs="方正黑体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900</Words>
  <Characters>1107</Characters>
  <Lines>11</Lines>
  <Paragraphs>3</Paragraphs>
  <TotalTime>7</TotalTime>
  <ScaleCrop>false</ScaleCrop>
  <LinksUpToDate>false</LinksUpToDate>
  <CharactersWithSpaces>1272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2026-07-23T03:39:00Z</cp:lastPrinted>
  <dcterms:modified xsi:type="dcterms:W3CDTF">2026-08-05T07:08:06Z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